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 Poder-Dever ao Dever-Poder: o Conselho de Contestação Algorítmica como Arquitetura de Devido Processo Legal na Administração Pública 4.0</w:t>
      </w:r>
    </w:p>
    <w:p>
      <w:pPr>
        <w:pStyle w:val="Date"/>
      </w:pPr>
      <w:r>
        <w:t xml:space="preserve">julho 2026</w:t>
      </w:r>
    </w:p>
    <w:p>
      <w:pPr>
        <w:pStyle w:val="AbstractTitle"/>
      </w:pPr>
      <w:r>
        <w:t xml:space="preserve">Resumo</w:t>
      </w:r>
    </w:p>
    <w:p>
      <w:pPr>
        <w:pStyle w:val="Abstract"/>
      </w:pPr>
      <w:r>
        <w:t xml:space="preserve">Este artigo sustenta que, no contexto da Administração Pública algorítmica, o devido processo legal — garantido pelo artigo 5º, LV, da Constituição Federal e densificado pela Lei nº 9.784/1999 — exige a integração de quatro eixos: contraditório prévio, motivação jurídica qualificada (que pressupõe, mas não se reduz a, explicabilidade técnica), governança institucional com transparência qualificada e proteção de dados pessoais. A ausência de qualquer um desses eixos vicia a decisão automatizada. O diagnóstico estrutural que fundamenta essa tese é o de que o Estado brasileiro ocupa simultaneamente a posição de regulador do uso de algoritmos e de maior usuário desses mesmos algoritmos — uma dupla posição que este artigo denomina “Do Poder-Dever ao Dever-Poder” e que gera incentivos estruturais à subaplicação das normas que o próprio Estado edita. A partir da análise de quatro estudos especializados em direito digital, o artigo ilustra a tese da integração por meio do GovLens/DueProcess.AI, protótipo acadêmico cujo núcleo é o Conselho de Contestação Algorítmica, sistema de quatro personas jurídico-técnicas que emitem pareceres cruzados e produzem síntese fundamentada. O caso-âncora é o indeferimento de aposentadoria rural pelo INSS, contrastado analogicamente com o precedente do Sistema de Risco Indicativo de Fraude (SyRI) da Corte Distrital de Haia (2020). O artigo propõe duas contribuições normativas autorais: a literacia algorítmica como condição material de eficácia do contraditório e o princípio da notícia humana para decisões adversas dirigidas a pessoas vulneráveis.</w:t>
      </w:r>
    </w:p>
    <w:p>
      <w:pPr>
        <w:pStyle w:val="FirstParagraph"/>
      </w:pPr>
      <w:r>
        <w:t xml:space="preserve"> </w:t>
      </w:r>
      <w:r>
        <w:t xml:space="preserve">Administração Pública digital; contestabilidade algorítmica; devido processo legal; explicabilidade; LGPD; inteligência artificial no setor público.</w:t>
      </w:r>
    </w:p>
    <w:bookmarkStart w:id="9" w:name="introdução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1 Introdução</w:t>
      </w:r>
    </w:p>
    <w:p>
      <w:pPr>
        <w:pStyle w:val="FirstParagraph"/>
      </w:pPr>
      <w:r>
        <w:t xml:space="preserve">O Estado brasileiro edita a Lei Geral de Proteção de Dados Pessoais (Lei nº 13.709/2018), cria a Autoridade Nacional de Proteção de Dados, regulamenta o acesso à informação (Lei nº 12.527/2011) e estrutura o Governo Digital (Lei nº 14.129/2021). Ao mesmo tempo, é o maior coletor de dados pessoais do país, o maior usuário de sistemas algorítmicos na tomada de decisão administrativa e o ator com maior incentivo estrutural a subaplicar as normas que ele mesmo edita — pois a aplicação plena reduziria sua eficiência operacional. Essa ambiguidade não é acidental; ela constitui a posição estrutural que este artigo denomina</w:t>
      </w:r>
      <w:r>
        <w:t xml:space="preserve"> </w:t>
      </w:r>
      <w:r>
        <w:t xml:space="preserve">“Do Poder-Dever ao Dever-Poder”</w:t>
      </w:r>
      <w:r>
        <w:t xml:space="preserve">: o Estado que deveria regular o uso de algoritmos para proteger o cidadão é o mesmo que os emprega para decidir sobre ele, frequentemente sem lhe oferecer os mecanismos de compreensão e contestação que a Constituição Federal exige.</w:t>
      </w:r>
    </w:p>
    <w:p>
      <w:pPr>
        <w:pStyle w:val="BodyText"/>
      </w:pPr>
      <w:r>
        <w:t xml:space="preserve">A literatura jurídica brasileira tem avançado na identificação desses riscos. Tavares, Bitencourt e Cristóvam (2024) formulam o conceito de contraditório algorítmico prévio como condição de validade da decisão automatizada no setor público. Saito e Salgado (2020) ampliam a compreensão do direito fundamental à proteção de dados para além da privacidade, alcançando a autodeterminação informativa. Sarlet e Molinaro (2019) exploram as tensões éticas e normativas do big data na saúde, revelando como a coleta massiva pode comprometer a dignidade. Cristóvam e Hahn (2020) articulam governo aberto, dados orientados e infraestrutura nacional de dados abertos como dimensões complementares da Administração Pública digital. Schiefler, Cristóvam e Sousa (2020) demonstram que a digitalização pode aprofundar exclusões se o acesso à tecnologia não for tratado como condição democrática da cidadania administrativa.</w:t>
      </w:r>
    </w:p>
    <w:p>
      <w:pPr>
        <w:pStyle w:val="BodyText"/>
      </w:pPr>
      <w:r>
        <w:t xml:space="preserve">Esses artigos oferecem os pilares dogmáticos necessários, mas nenhum deles materializa, em artefato concreto, a integração dos quatro eixos num instrumento acessível ao cidadão afetado — nem, sobretudo, formula a integração como exigência de validade do ato administrativo automatizado. Este artigo propõe ambas as coisas: a tese normativa da integração como condição de validade (Seção 2) e sua ilustração por meio do GovLens/DueProcess.AI, um protótipo acadêmico cujo núcleo — o Conselho de Contestação Algorítmica — traduz cada eixo dogmático em uma persona jurídico-técnica que emite parecer, avalia os pareceres das demais e produz, por meio de um Relator, uma síntese fundamentada.</w:t>
      </w:r>
    </w:p>
    <w:p>
      <w:pPr>
        <w:pStyle w:val="BodyText"/>
      </w:pPr>
      <w:r>
        <w:t xml:space="preserve">O texto avança em nove seções: formula a tese normativa e o diagnóstico estrutural que a fundamenta (Seção 2), percorre o marco teórico (Seção 3), diagnostica a lacuna institucional brasileira (Seção 4), apresenta o Conselho de Contestação Algorítmica como ilustração concreta da tese (Seção 5), desenvolve o caso-âncora do INSS (Seção 6), propõe duas contribuições normativas autorais (Seção 7), e encerra com os limites e a conclusão (Seções 8 e 9).</w:t>
      </w:r>
    </w:p>
    <w:p>
      <w:pPr>
        <w:pStyle w:val="BodyText"/>
      </w:pPr>
      <w:r>
        <w:t xml:space="preserve">Metodologicamente, o artigo combina método dogmático-jurídico (reconstrução dos eixos normativos), análise documental de plataformas governamentais (diagnóstico da lacuna),</w:t>
      </w:r>
      <w:r>
        <w:t xml:space="preserve"> </w:t>
      </w:r>
      <w:r>
        <w:rPr>
          <w:i/>
          <w:iCs/>
        </w:rPr>
        <w:t xml:space="preserve">design science research</w:t>
      </w:r>
      <w:r>
        <w:t xml:space="preserve"> </w:t>
      </w:r>
      <w:r>
        <w:t xml:space="preserve">(materialização do Conselho como prova de conceito) e raciocínio analógico (caso SyRI). As limitações de cada abordagem são explicitadas na Seção 8.</w:t>
      </w:r>
    </w:p>
    <w:bookmarkEnd w:id="9"/>
    <w:bookmarkStart w:id="14" w:name="X5bf33bde1eab7389671036da6f1584c217c22d4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2 Devido processo legal algorítmico: fundamento dogmático e tese normativa</w:t>
      </w:r>
    </w:p>
    <w:bookmarkStart w:id="10" w:name="Xc9f31e35457bd5c8901a78cbd551d125923a25c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t xml:space="preserve">2.1 As garantias constitucionais do processo administrativo</w:t>
      </w:r>
    </w:p>
    <w:p>
      <w:pPr>
        <w:pStyle w:val="FirstParagraph"/>
      </w:pPr>
      <w:r>
        <w:t xml:space="preserve">A Constituição Federal de 1988 inscreve a Administração Pública sob os princípios da legalidade, da impessoalidade, da moralidade, da publicidade e da eficiência (art. 37,</w:t>
      </w:r>
      <w:r>
        <w:t xml:space="preserve"> </w:t>
      </w:r>
      <w:r>
        <w:rPr>
          <w:i/>
          <w:iCs/>
        </w:rPr>
        <w:t xml:space="preserve">caput</w:t>
      </w:r>
      <w:r>
        <w:t xml:space="preserve">). O artigo 5º, inciso LV, garante aos litigantes, em processo judicial ou administrativo, e aos acusados em geral, o contraditório e a ampla defesa, com os meios e recursos a ela inerentes. A Lei nº 9.784/1999, que regula o processo administrativo federal, densifica essas garantias ao exigir motivação explícita, clara e congruente para atos que afetem direitos ou interesses (art. 50), ao assegurar ao administrado a ciência da tramitação e a formulação de alegações antes da decisão (art. 3º, II e III), e ao prever o direito de interpor recurso administrativo independentemente de caução (art. 56).</w:t>
      </w:r>
    </w:p>
    <w:p>
      <w:pPr>
        <w:pStyle w:val="BodyText"/>
      </w:pPr>
      <w:r>
        <w:t xml:space="preserve">A doutrina administrativista brasileira é pacífica quanto ao conteúdo mínimo do devido processo legal administrativo: notificação adequada do interessado, oportunidade real de apresentar defesa e produzir provas, decisão proferida por autoridade competente com motivação suficiente e possibilidade de impugnação recursal (Mello, 2021; Di Pietro, 2022; Justen Filho, 2023). A motivação não é mera formalidade: ela é o instrumento que permite ao administrado compreender as razões da decisão, ao superior hierárquico revisá-la e ao Judiciário controlá-la. Sem motivação adequada, o ato administrativo é inválido — e essa consequência é consolidada na jurisprudência dos tribunais superiores brasileiros.</w:t>
      </w:r>
    </w:p>
    <w:p>
      <w:pPr>
        <w:pStyle w:val="BodyText"/>
      </w:pPr>
      <w:r>
        <w:t xml:space="preserve">Nesse sentido, a transposição dessas garantias para a atividade administrativa digital sob suporte tecnológico exige que se compreenda a eficiência administrativa (art. 37,</w:t>
      </w:r>
      <w:r>
        <w:t xml:space="preserve"> </w:t>
      </w:r>
      <w:r>
        <w:rPr>
          <w:i/>
          <w:iCs/>
        </w:rPr>
        <w:t xml:space="preserve">caput</w:t>
      </w:r>
      <w:r>
        <w:t xml:space="preserve">) não como um valor absoluto ou puramente econômico-burocrático, mas sim subordinado ao paradigma da Administração Pública democrática. Conforme sustenta Cristóvam (2015), o interesse público não se confunde com o mero interesse do aparato estatal em acelerar processos ou reduzir custos de transação; o interesse público primário reside na realização dos direitos fundamentais dos administrados e na legitimidade democrática de sua participação. Portanto, a supremacia do interesse público só se legitima quando reconfigurada democraticamente, o que obsta que a eficiência instrumental (corporificada na celeridade dos sistemas algorítmicos de decisão em massa) atropele as garantias mínimas do devido processo legal.</w:t>
      </w:r>
    </w:p>
    <w:bookmarkEnd w:id="10"/>
    <w:bookmarkStart w:id="11" w:name="X67395ab4162c3d674df0cf9b7ed94341c84f32d"/>
    <w:p>
      <w:pPr>
        <w:pStyle w:val="Heading3"/>
      </w:pPr>
      <w:r>
        <w:rPr>
          <w:rStyle w:val="SectionNumber"/>
        </w:rPr>
        <w:t xml:space="preserve">2.2</w:t>
      </w:r>
      <w:r>
        <w:tab/>
      </w:r>
      <w:r>
        <w:t xml:space="preserve">2.2 A reconfiguração das garantias pela automação decisória</w:t>
      </w:r>
    </w:p>
    <w:p>
      <w:pPr>
        <w:pStyle w:val="FirstParagraph"/>
      </w:pPr>
      <w:r>
        <w:t xml:space="preserve">Quando a Administração Pública automatiza decisões, essas garantias não desaparecem — elas se reconfiguram. A presente seção sustenta que a automação impõe três reconfigurações dogmáticas, cada uma correspondendo a uma das garantias clássicas do processo administrativo.</w:t>
      </w:r>
    </w:p>
    <w:p>
      <w:pPr>
        <w:pStyle w:val="BodyText"/>
      </w:pPr>
      <w:r>
        <w:t xml:space="preserve">A primeira reconfiguração atinge a motivação. Na decisão humana, a motivação se exaure na fundamentação do agente público — o iter lógico que conduz dos fatos e do direito à conclusão. Na decisão automatizada, esse iter não é percorrido por um agente identificável, mas por um sistema cujos critérios podem ser opacos até para a própria Administração. É crucial, aqui, distinguir dois registros que a literatura sobre inteligência artificial frequentemente confunde e que o direito administrativo não pode confundir. A explicabilidade técnica (XAI —</w:t>
      </w:r>
      <w:r>
        <w:t xml:space="preserve"> </w:t>
      </w:r>
      <w:r>
        <w:rPr>
          <w:i/>
          <w:iCs/>
        </w:rPr>
        <w:t xml:space="preserve">explainable artificial intelligence</w:t>
      </w:r>
      <w:r>
        <w:t xml:space="preserve">) revela quais variáveis pesaram na decisão e em que proporção; responde à pergunta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o algoritmo chegou ao resultado. A motivação jurídica é de natureza normativa: responde à pergunta</w:t>
      </w:r>
      <w:r>
        <w:t xml:space="preserve"> </w:t>
      </w:r>
      <w:r>
        <w:rPr>
          <w:i/>
          <w:iCs/>
        </w:rPr>
        <w:t xml:space="preserve">por que</w:t>
      </w:r>
      <w:r>
        <w:t xml:space="preserve"> </w:t>
      </w:r>
      <w:r>
        <w:t xml:space="preserve">a decisão é juridicamente correta à luz dos fatos, das normas e dos princípios aplicáveis. Um sistema pode ser tecnicamente explicável sem ser juridicamente motivado, porque a explicabilidade técnica não contém o raciocínio normativo que o artigo 50 da Lei nº 9.784/1999 exige. Esta distinção é central para a tese deste artigo: a legitimidade da decisão automatizada não se satisfaz com explicabilidade técnica; ela exige motivação jurídica.</w:t>
      </w:r>
    </w:p>
    <w:p>
      <w:pPr>
        <w:pStyle w:val="BodyText"/>
      </w:pPr>
      <w:r>
        <w:t xml:space="preserve">A segunda reconfiguração atinge o contraditório. Na decisão tradicional, o contraditório se exerce após a ciência do ato: o administrado toma conhecimento da decisão e, se discordar, recorre. No contexto algorítmico, essa sequência pode ser ineficaz, porque a opacidade do sistema impede que o administrado sequer saiba o que contestar. Tavares, Bitencourt e Cristóvam (2024) formulam, por isso, o conceito de contraditório algorítmico prévio: a exigência de que a decisão automatizada seja acompanhada de explicação compreensível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produzir efeitos jurídicos. A tese deste artigo endossa esse conceito, mas acrescenta que o contraditório prévio é condição necessária, porém não suficiente: sem literacia algorítmica — a capacidade de o cidadão compreender que a decisão foi automatizada e o que isso significa —, o contraditório prévio é juridicamente reconhecido mas materialmente inacessível. A literacia é, portanto, degrau anterior à contestação (Seção 7.1).</w:t>
      </w:r>
    </w:p>
    <w:p>
      <w:pPr>
        <w:pStyle w:val="BodyText"/>
      </w:pPr>
      <w:r>
        <w:t xml:space="preserve">A terceira reconfiguração atinge a publicidade e a governança. A publicidade do ato administrativo tradicional se satisfaz com a divulgação oficial. No contexto algorítmico, a publicidade precisa ser qualificada: não basta divulgar que uma decisão foi tomada; é preciso divulgar os dados que a alimentaram, os critérios que a produziram e os mecanismos pelos quais o cidadão pode contestá-la. Cristóvam e Hahn (2020) articulam essa exigência sob o paradigma do governo aberto orientado por dados. A Lei nº 14.129/2021 (Lei do Governo Digital) estrutura uma arquitetura normativa que combina transparência, dados abertos e canais de interação, mas sua incidência sobre municípios depende de adesão voluntária (art. 2º, III, e §2º), criando um federalismo assimétrico que fragiliza a uniformidade da garantia.</w:t>
      </w:r>
    </w:p>
    <w:bookmarkEnd w:id="11"/>
    <w:bookmarkStart w:id="12" w:name="Xfb802bd40f4342534be5c48dfad35c9b64e7018"/>
    <w:p>
      <w:pPr>
        <w:pStyle w:val="Heading3"/>
      </w:pPr>
      <w:r>
        <w:rPr>
          <w:rStyle w:val="SectionNumber"/>
        </w:rPr>
        <w:t xml:space="preserve">2.3</w:t>
      </w:r>
      <w:r>
        <w:tab/>
      </w:r>
      <w:r>
        <w:t xml:space="preserve">2.3 A tese normativa: integração como condição de validade</w:t>
      </w:r>
    </w:p>
    <w:p>
      <w:pPr>
        <w:pStyle w:val="FirstParagraph"/>
      </w:pPr>
      <w:r>
        <w:t xml:space="preserve">As três reconfigurações descritas acima convergem para uma tese central. Este artigo sustenta que, no contexto da Administração Pública algorítmica, o devido processo legal — tal como garantido pelo artigo 5º, LV, da Constituição e densificado pela Lei nº 9.784/1999 — exige a integração de quatro eixos: (i) contraditório prévio, (ii) motivação jurídica qualificada (que pressupõe, mas não se reduz a, explicabilidade técnica), (iii) governança institucional com transparência qualificada e (iv) proteção de dados pessoais como condição de autodeterminação informativa. Nenhum desses eixos, isoladamente, satisfaz o devido processo legal algorítmico; a ausência de qualquer um deles vicia a decisão automatizada por insuficiência de motivação, por cerceamento de defesa ou por violação da dignidade do administrado.</w:t>
      </w:r>
    </w:p>
    <w:p>
      <w:pPr>
        <w:pStyle w:val="BodyText"/>
      </w:pPr>
      <w:r>
        <w:t xml:space="preserve">A afirmação de que a integração é condição de validade — e não mera recomendação de boa prática administrativa — é a contribuição dogmática central deste artigo. Ela se fundamenta em três premissas. A primeira é que o dever de motivar (art. 50, Lei nº 9.784/1999) não é satisfeito pela mera indicação do resultado do algoritmo; ele exige a exposição dos critérios, dos dados e do raciocínio que conduziram à decisão, em linguagem acessível ao destinatário — o que pressupõe explicabilidade e proteção de dados. A segunda é que o direito ao contraditório (art. 5º, LV, CF) não é satisfeito pela mera abertura de prazo recursal após decisão automatizada; ele exige que o administrado compreenda o que está sendo decidido, por quais critérios e com quais dados — o que pressupõe literacia algorítmica e governança transparente. A terceira é que a dignidade da pessoa humana (art. 1º, III, CF) impõe que a comunicação de decisões adversas a pessoas vulneráveis não seja feita por notificação automatizada fria — o que este artigo formula como o princípio da notícia humana (Seção 7.2).</w:t>
      </w:r>
    </w:p>
    <w:bookmarkEnd w:id="12"/>
    <w:bookmarkStart w:id="13" w:name="X5e38db402e4c0ed7fb9afd2a677d9c6a7b1e2fc"/>
    <w:p>
      <w:pPr>
        <w:pStyle w:val="Heading3"/>
      </w:pPr>
      <w:r>
        <w:rPr>
          <w:rStyle w:val="SectionNumber"/>
        </w:rPr>
        <w:t xml:space="preserve">2.4</w:t>
      </w:r>
      <w:r>
        <w:tab/>
      </w:r>
      <w:r>
        <w:t xml:space="preserve">2.4 O Estado como Regulador e Regulado: um diagnóstico estrutural, não uma tese</w:t>
      </w:r>
    </w:p>
    <w:p>
      <w:pPr>
        <w:pStyle w:val="FirstParagraph"/>
      </w:pPr>
      <w:r>
        <w:t xml:space="preserve">A observação que abre este artigo — o Estado como regulador e maior usuário de algoritmos,</w:t>
      </w:r>
      <w:r>
        <w:t xml:space="preserve"> </w:t>
      </w:r>
      <w:r>
        <w:t xml:space="preserve">“Do Poder-Dever ao Dever-Poder”</w:t>
      </w:r>
      <w:r>
        <w:t xml:space="preserve"> </w:t>
      </w:r>
      <w:r>
        <w:t xml:space="preserve">— não é a tese, mas o diagnóstico estrutural que a fundamenta. Essa dupla posição gera um incentivo estrutural à subaplicação das normas que o próprio Estado edita, porque a aplicação plena (explicabilidade, contraditório prévio, proteção de dados, inclusão digital) reduziria a eficiência operacional que a Administração Pública 4.0 promete.</w:t>
      </w:r>
    </w:p>
    <w:p>
      <w:pPr>
        <w:pStyle w:val="BodyText"/>
      </w:pPr>
      <w:r>
        <w:t xml:space="preserve">Esse incentivo decorre de ao menos três fontes. A primeira é a pressão por eficiência operacional: o INSS processa milhões de requerimentos anuais, e a inclusão de etapas de explicabilidade e contraditório em cada decisão automatizada pode ser percebida pelo gestor como obstáculo à celeridade. A segunda é a dependência de fornecedores privados de software, cujos algoritmos são frequentemente opacos para a própria Administração contratante, criando uma zona de irresponsabilidade: o órgão público alega que não pode explicar o que não conhece, e o fornecedor alega segredo comercial. A terceira é a ausência de sanções efetivas por insuficiência de explicabilidade: diferentemente da omissão de motivação em atos tradicionais — cujas consequências estão bem estabelecidas na jurisprudência (nulidade do ato, responsabilidade do agente, dever de indenizar) —, a opacidade algorítmica ainda não gerou corpo consolidado de responsabilização administrativa ou judicial no Brasil. A Lei nº 14.129/2021 menciona transparência e controle social como princípios (art. 3º), mas não comina sanção específica; a LGPD prevê sanções administrativas (art. 52), mas a ANPD ainda não consolidou entendimento sobre sua aplicação a decisões automatizadas do poder público.</w:t>
      </w:r>
    </w:p>
    <w:p>
      <w:pPr>
        <w:pStyle w:val="BodyText"/>
      </w:pPr>
      <w:r>
        <w:t xml:space="preserve">O diagnóstico estrutural serve para evidenciar que a integração dos quatro eixos não é uma opção de política pública entre outras — é uma exigência constitucional que o Estado, por sua posição dual, tem incentivos estruturais para descumprir. As seções que seguem desenvolvem cada eixo a partir do marco teórico, diagnosticam a lacuna institucional brasileira e apresentam o Conselho de Contestação Algorítmica como ilustração concreta de como a integração pode ser materializada.</w:t>
      </w:r>
    </w:p>
    <w:bookmarkEnd w:id="13"/>
    <w:bookmarkEnd w:id="14"/>
    <w:bookmarkStart w:id="15" w:name="marco-teórico-a-convergência-dos-eixo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3 Marco teórico: a convergência dos eixos</w:t>
      </w:r>
    </w:p>
    <w:p>
      <w:pPr>
        <w:pStyle w:val="FirstParagraph"/>
      </w:pPr>
      <w:r>
        <w:t xml:space="preserve">O fundamento dogmático deste artigo articula quatro eixos extraídos de estudos especializados em direito digital. O primeiro é o contraditório algorítmico prévio, que exige que a decisão automatizada seja acompanhada de explicação compreensível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produzir efeitos, evitando que a revisão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 </w:t>
      </w:r>
      <w:r>
        <w:t xml:space="preserve">torne-se mera formalidade (Tavares; Bitencourt; Cristóvam, 2024). O segundo eixo foca na autodeterminação informativa, lendo a proteção de dados não apenas como privacidade, mas como instrumento ativo de controle do titular sobre o ciclo de vida de seus dados, sob pena de violação da dignidade humana (Saito; Salgado, 2020; Sarlet; Molinaro, 2019).</w:t>
      </w:r>
    </w:p>
    <w:p>
      <w:pPr>
        <w:pStyle w:val="BodyText"/>
      </w:pPr>
      <w:r>
        <w:t xml:space="preserve">O terceiro eixo concerne à governança e transparência qualificada, integrando governo aberto, infraestrutura de dados abertos e o uso orientado de evidências para viabilizar a</w:t>
      </w:r>
      <w:r>
        <w:t xml:space="preserve"> </w:t>
      </w:r>
      <w:r>
        <w:rPr>
          <w:i/>
          <w:iCs/>
        </w:rPr>
        <w:t xml:space="preserve">accountability</w:t>
      </w:r>
      <w:r>
        <w:t xml:space="preserve"> </w:t>
      </w:r>
      <w:r>
        <w:t xml:space="preserve">(Cristóvam; Hahn, 2020). A Lei nº 14.129/2021 (Governo Digital) estrutura essa arquitetura, embora sua aplicação municipal sofra com um federalismo de adesão que fragmenta a garantia (Tavares; Bitencourt; Cristóvam, 2021).</w:t>
      </w:r>
    </w:p>
    <w:p>
      <w:pPr>
        <w:pStyle w:val="BodyText"/>
      </w:pPr>
      <w:r>
        <w:t xml:space="preserve">Esses três eixos convergem na explicabilidade algorítmica, dimensão transversal sem a qual o contraditório é vazio, a proteção de dados é ineficaz e a governança é formal. Essa estrutura 3:1+1 reflete a tese central: a legitimidade da decisão automatizada é sempre resultado de uma integração, nunca de uma perspectiva isolada. Cada eixo mapeia-se em personas do Conselho de Contestação Algorítmica: a Defensoria (processo), o Cidadão (dados), o Administrador (governança) e o Cientista de Dados (explicabilidade).</w:t>
      </w:r>
    </w:p>
    <w:bookmarkEnd w:id="15"/>
    <w:bookmarkStart w:id="16" w:name="X5a5c589bd56797e26a60e26f136e4778c87f57d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4 Da transparência à contestabilidade: o gap normativo e institucional</w:t>
      </w:r>
    </w:p>
    <w:p>
      <w:pPr>
        <w:pStyle w:val="FirstParagraph"/>
      </w:pPr>
      <w:r>
        <w:t xml:space="preserve">O cenário brasileiro de contestação de decisões administrativas digitais é marcado por uma fragmentação que impede o cidadão de exercer, de forma integrada e compreensível, o direito de compreender, contestar e reverter decisões automatizadas que afetam seus direitos.</w:t>
      </w:r>
    </w:p>
    <w:p>
      <w:pPr>
        <w:pStyle w:val="BodyText"/>
      </w:pPr>
      <w:r>
        <w:t xml:space="preserve">O Fala.BR, plataforma integrada de ouvidoria e acesso à informação gerida pela Controladoria-Geral da União, alcança mais de 310 órgãos do Executivo Federal e permite a manifestação de cidadãos por meio de pedidos de acesso à informação, denúncias, sugestões e reclamações. Sua relevância institucional é inegável, mas sua função é a de canal de comunicação, não a de ferramenta de análise jurídica. O Fala.BR não gera minutas, não explica critérios algorítmicos, não mapeia dados utilizados em decisões automatizadas e não oferece orientação jurídica personalizada ao cidadão afetado (Brasil, [s.d.]a).</w:t>
      </w:r>
    </w:p>
    <w:p>
      <w:pPr>
        <w:pStyle w:val="BodyText"/>
      </w:pPr>
      <w:r>
        <w:t xml:space="preserve">O</w:t>
      </w:r>
      <w:r>
        <w:t xml:space="preserve"> </w:t>
      </w:r>
      <w:r>
        <w:t xml:space="preserve">“Conteste Aqui”</w:t>
      </w:r>
      <w:r>
        <w:t xml:space="preserve">, funcionalidade do Cadastro Único lançada em 2025, permite que cidadãos e gestores municipais contestem divergências em dados integrados automaticamente. A ferramenta é relevante para o universo específico do Programa Bolsa Família, mas seu alcance é limitado a esse contexto: não abrange decisões algorítmicas amplas, não oferece explicabilidade sobre os critérios de decisão e não gera recursos jurídicos (Brasil, 2025). O módulo de contestação do Auxílio Emergencial, disponibilizado pela Dataprev em 2020, era restrito a um benefício temporalmente delimitado e não oferecia análise jurídica ou explicabilidade algorítmica (Brasil, 2020). O ecossistema Gov.br reconhece o direito de solicitar revisão de decisões automatizadas com fundamento no artigo 20 da LGPD, mas o instrumento permanece um canal de comunicação — sem apoio para formular a solicitação, sem tradução dos critérios algorítmicos e sem geração de estratégia jurídica (Brasil, [s.d.]b).</w:t>
      </w:r>
    </w:p>
    <w:p>
      <w:pPr>
        <w:pStyle w:val="BodyText"/>
      </w:pPr>
      <w:r>
        <w:t xml:space="preserve">A análise dessas plataformas — que não pretende ser exaustiva, mas baseada em plataformas governamentais publicamente documentadas nos portais da CGU, Dataprev, DPU e Gov.br — revela uma lacuna estrutural: nenhuma integra explicabilidade algorítmica, mapeamento de dados, geração de peças jurídicas e simulação de exclusão digital num único fluxo acessível ao cidadão.</w:t>
      </w:r>
    </w:p>
    <w:p>
      <w:pPr>
        <w:pStyle w:val="BodyText"/>
      </w:pPr>
      <w:r>
        <w:t xml:space="preserve">A Tabela 1 sistematiza essa fragmentação, comparando as funcionalidades oferecidas por cada plataforma com aquelas que o GovLens/DueProcess.AI integra num único fluxo.</w:t>
      </w:r>
    </w:p>
    <w:p>
      <w:pPr>
        <w:pStyle w:val="BodyText"/>
      </w:pPr>
      <w:r>
        <w:t xml:space="preserve">Tabela 1 — Comparativo de funcionalidades: plataformas existentes × GovLens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Fala.BR</w:t>
            </w:r>
          </w:p>
        </w:tc>
        <w:tc>
          <w:tcPr/>
          <w:p>
            <w:pPr>
              <w:pStyle w:val="Compact"/>
            </w:pPr>
            <w:r>
              <w:t xml:space="preserve">Conteste Aqui</w:t>
            </w:r>
          </w:p>
        </w:tc>
        <w:tc>
          <w:tcPr/>
          <w:p>
            <w:pPr>
              <w:pStyle w:val="Compact"/>
            </w:pPr>
            <w:r>
              <w:t xml:space="preserve">Dataprev (Auxílio)</w:t>
            </w:r>
          </w:p>
        </w:tc>
        <w:tc>
          <w:tcPr/>
          <w:p>
            <w:pPr>
              <w:pStyle w:val="Compact"/>
            </w:pPr>
            <w:r>
              <w:t xml:space="preserve">Gov.br (LGPD)</w:t>
            </w:r>
          </w:p>
        </w:tc>
        <w:tc>
          <w:tcPr/>
          <w:p>
            <w:pPr>
              <w:pStyle w:val="Compact"/>
            </w:pPr>
            <w:r>
              <w:t xml:space="preserve">GovLens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manifestação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Explicabilidade algorítmica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Mapeamento de dados utilizados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Geração de minutas jurídicas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viés algorítmico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Simulação de exclusão digital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cruzada multiperspectiva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Fonte: elaboração própria com base na análise documental das plataformas (2026).</w:t>
      </w:r>
    </w:p>
    <w:p>
      <w:pPr>
        <w:pStyle w:val="BodyText"/>
      </w:pPr>
      <w:r>
        <w:t xml:space="preserve">As plataformas existentes não são deficientes — cumprem as funções para as quais foram desenhadas. A lacuna está na ausência de um instrumento que as complemente com as funções que nenhuma delas se propõe a exercer. O GovLens não concorre com essas plataformas — ele as pressupõe e as complementa.</w:t>
      </w:r>
    </w:p>
    <w:p>
      <w:pPr>
        <w:pStyle w:val="BodyText"/>
      </w:pPr>
      <w:r>
        <w:t xml:space="preserve">A lacuna não é apenas funcional — é democrática. Schiefler, Cristóvam e Sousa (2020) alertavam que a Administração Pública digital pode aprofundar exclusões se o acesso à tecnologia não for tratado como condição democrática da cidadania administrativa. A TIC Domicílios 2024, pesquisa do Comitê Gestor da Internet no Brasil e do Centro Regional de Estudos para o Desenvolvimento da Sociedade da Informação, registrou que apenas 22% da população brasileira com dez anos ou mais possuía conectividade significativa — definida como acesso regular a Internet banda larga em dispositivos pessoais. Na classe A, o índice chegava a 73%; nas classes DE, caía para 3% (CGI.br; Cetic.br, 2024). Um serviço público</w:t>
      </w:r>
      <w:r>
        <w:t xml:space="preserve"> </w:t>
      </w:r>
      <w:r>
        <w:t xml:space="preserve">“100% digital”</w:t>
      </w:r>
      <w:r>
        <w:t xml:space="preserve"> </w:t>
      </w:r>
      <w:r>
        <w:t xml:space="preserve">pode ser formalmente disponível e materialmente inacessível para a maioria da população.</w:t>
      </w:r>
    </w:p>
    <w:p>
      <w:pPr>
        <w:pStyle w:val="BodyText"/>
      </w:pPr>
      <w:r>
        <w:t xml:space="preserve">Dessa forma, a cidadania administrativa, conceituada como o direito de o cidadão participar ativamente da formação das decisões públicas que o afetam, é esvaziada quando convertida em um dever de autoatendimento digital sem suporte estatal. A exclusão digital deixa de ser um mero problema de infraestrutura e passa a ser compreendida como um óbice constitucional intransponível à própria cidadania administrativa. Como apontam Schiefler, Cristóvam e Sousa (2020), o avanço para a Administração Pública digital deve ser acompanhado de políticas de fomento ao acesso e à literacia tecnológica, sob pena de a digitalização atuar como um filtro censitário que aparta os cidadãos mais vulneráveis da fruição de seus direitos fundamentais perante o Estado.</w:t>
      </w:r>
    </w:p>
    <w:p>
      <w:pPr>
        <w:pStyle w:val="BodyText"/>
      </w:pPr>
      <w:r>
        <w:t xml:space="preserve">A transparência, portanto, não é sinônimo de contestabilidade. Um portal pode ser transparente sem ser compreensível. Uma decisão pode ser pública sem ser contestável. A distância entre a transparência formal e a contestabilidade efetiva é o espaço onde a Administração Pública 4.0 produz decisões que o cidadão não compreende, não contesta e não reverte — mesmo quando a Constituição exige que possa fazê-lo.</w:t>
      </w:r>
    </w:p>
    <w:bookmarkEnd w:id="16"/>
    <w:bookmarkStart w:id="20" w:name="X899970c476cc76184842bc2788167e9e33ac894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5 O Conselho de Contestação Algorítmica: concepção e funcionamento</w:t>
      </w:r>
    </w:p>
    <w:p>
      <w:pPr>
        <w:pStyle w:val="FirstParagraph"/>
      </w:pPr>
      <w:r>
        <w:t xml:space="preserve">O GovLens/DueProcess.AI é um protótipo acadêmico desenvolvido para ilustrar, em artefato concreto, como a integração dos quatro eixos dogmáticos pode ser materializada. Não é uma ouvidoria digital, tampouco um produto comercial — e não pretende substituir a atuação de defensores, advogados ou controladores. Sua função é heurística: demonstrar que a tese da integração como condição de validade pode ser operacionalizada em software. Trata-se de uma prova de conceito (</w:t>
      </w:r>
      <w:r>
        <w:rPr>
          <w:i/>
          <w:iCs/>
        </w:rPr>
        <w:t xml:space="preserve">proof of concept</w:t>
      </w:r>
      <w:r>
        <w:t xml:space="preserve">), não de uma validação empírica: o artefato é tecnicamente viável e opera conforme projetado, mas seus efeitos no mundo — aumento da compreensão do cidadão, efetividade do contraditório — são objeto de pesquisa futura (Seção 8). Seu conceito-chave é contestabilidade: uma decisão administrativa deve poder ser compreendida, questionada, auditada e, quando inadequada, revertida por meios administrativos.</w:t>
      </w:r>
    </w:p>
    <w:p>
      <w:pPr>
        <w:pStyle w:val="BodyText"/>
      </w:pPr>
      <w:r>
        <w:t xml:space="preserve">O núcleo do protótipo é o Conselho de Contestação Algorítmica. Sua premissa é que nenhuma perspectiva isolada — nem a jurídico-processual, nem a técnico-explicativa, nem a de governança, nem a do titular dos dados — é suficiente para avaliar a legitimidade de uma decisão automatizada. A avaliação precisa ser múltipla, cruzada e sintética.</w:t>
      </w:r>
    </w:p>
    <w:p>
      <w:pPr>
        <w:pStyle w:val="BodyText"/>
      </w:pPr>
      <w:r>
        <w:t xml:space="preserve">O Conselho opera em três fases. Na Fase 1, cada uma das quatro personas emite um parecer independente sobre a decisão submetida, fundamentado com referência a dispositivos legais, princípios constitucionais e literatura especializada. Na Fase 2, os pareceres são submetidos a avaliação cruzada anônima: cada persona recebe os pareceres das demais — sem identificação de autoria — e emite uma avaliação crítica, identificando concordâncias, divergências, lacunas e contradições. A anonimidade visa reduzir o viés de autoridade e forçar o enfrentamento argumentativo. Na Fase 3, o Relator — uma quinta instância do sistema — lê os quatro pareceres originais e as doze avaliações cruzadas e produz uma síntese fundamentada, integrando as perspectivas, resolvendo contradições quando possível e sinalizando quando a contradição é substantiva e irresolvível.</w:t>
      </w:r>
    </w:p>
    <w:bookmarkStart w:id="17" w:name="Xa57835b955b40e32e6c04adbacaaa67d95df548"/>
    <w:p>
      <w:pPr>
        <w:pStyle w:val="Heading3"/>
      </w:pPr>
      <w:r>
        <w:rPr>
          <w:rStyle w:val="SectionNumber"/>
        </w:rPr>
        <w:t xml:space="preserve">5.1</w:t>
      </w:r>
      <w:r>
        <w:tab/>
      </w:r>
      <w:r>
        <w:t xml:space="preserve">5.1 Mapeamento entre persona, artigo e eixo jurídico</w:t>
      </w:r>
    </w:p>
    <w:p>
      <w:pPr>
        <w:pStyle w:val="FirstParagraph"/>
      </w:pPr>
      <w:r>
        <w:t xml:space="preserve">Três artigos oferecem perspectivas distintas e complementares; um quarto eixo — explicabilidade — atravessa todos. A Defensoria Pública carrega a voz processual: contraditório e ampla defesa (art. 5º, LV, CF), motivação do ato (art. 50, Lei nº 9.784/1999), meios efetivos de impugnação — é o eixo de Tavares, Bitencourt e Cristóvam (2024). O Cientista de Dados não se filia a um único artigo; opera transversalmente sobre explicabilidade e viés algorítmico: os critérios e pesos do sistema são compreensíveis para um não-especialista? Há</w:t>
      </w:r>
      <w:r>
        <w:t xml:space="preserve"> </w:t>
      </w:r>
      <w:r>
        <w:rPr>
          <w:i/>
          <w:iCs/>
        </w:rPr>
        <w:t xml:space="preserve">proxies</w:t>
      </w:r>
      <w:r>
        <w:t xml:space="preserve"> </w:t>
      </w:r>
      <w:r>
        <w:t xml:space="preserve">de raça, gênero ou território? O Administrador Público representa a governança — Cristóvam e Hahn (2020) — e pergunta se a decisão é compatível com a Lei do Governo Digital, se os dados vêm de bases abertas e se a implementação respeita o desenho federativo. O Cidadão/Direitos Digitais fala pelo titular: autodeterminação informativa, base legal do tratamento, minimização de dados, exercício real do direito de revisão do artigo 20 da LGPD — eixo de Saito e Salgado (2020) e Sarlet e Molinaro (2019).</w:t>
      </w:r>
    </w:p>
    <w:bookmarkEnd w:id="17"/>
    <w:bookmarkStart w:id="18" w:name="Xb30f1e9c96511c049ad51faa8a5f2bc7c6d1554"/>
    <w:p>
      <w:pPr>
        <w:pStyle w:val="Heading3"/>
      </w:pPr>
      <w:r>
        <w:rPr>
          <w:rStyle w:val="SectionNumber"/>
        </w:rPr>
        <w:t xml:space="preserve">5.2</w:t>
      </w:r>
      <w:r>
        <w:tab/>
      </w:r>
      <w:r>
        <w:t xml:space="preserve">5.2 O que o Conselho evidencia que a dogmática isoladamente não evidencia</w:t>
      </w:r>
    </w:p>
    <w:p>
      <w:pPr>
        <w:pStyle w:val="FirstParagraph"/>
      </w:pPr>
      <w:r>
        <w:t xml:space="preserve">Encarnar a dogmática em software produz efeitos que o texto acadêmico, sozinho, não produz — embora a afirmação deva ser lida como hipótese de design, não como resultado de validação empírica. Cada persona é forçada a emitir parecer fundamentado com referência a dispositivos legais e princípios específicos; a vagueza tolerável no artigo é rejeitada pelo sistema. A avaliação cruzada expõe contradições que a exposição sequencial dos eixos oculta: quando a Defensoria defende o contraditório prévio como absoluto e o Administrador Público insiste na celeridade, a tensão materializa-se nos pareceres e precisa ser enfrentada pelo Relator.</w:t>
      </w:r>
    </w:p>
    <w:p>
      <w:pPr>
        <w:pStyle w:val="BodyText"/>
      </w:pPr>
      <w:r>
        <w:t xml:space="preserve">A síntese evidencia que os eixos são complementares, não concorrentes — e que a legitimidade da Administração Pública 4.0 depende da integração de todos. Mas a integração não é mera justaposição de perspectivas. O Conselho revela que certas tensões são constitutivas, não acidentais: a eficiência administrativa e o contraditório prévio estão em tensão permanente, e nenhum arranjo institucional elimina essa tensão — apenas a administra. O Relator, ao sintetizar os pareceres, não resolve a tensão entre celeridade e devido processo; ele a expõe como dado estrutural da Administração Pública algorítmica, e recomenda que, no caso concreto, um dos polos deva prevalecer — fundamentadamente.</w:t>
      </w:r>
    </w:p>
    <w:p>
      <w:pPr>
        <w:pStyle w:val="BodyText"/>
      </w:pPr>
      <w:r>
        <w:t xml:space="preserve">Esse é o ganho analítico de materializar a dogmática em software: as contradições que o texto acadêmico pode contornar com parágrafos de transição, o código precisa enfrentar como regra de decisão.</w:t>
      </w:r>
    </w:p>
    <w:bookmarkEnd w:id="18"/>
    <w:bookmarkStart w:id="19" w:name="implementação"/>
    <w:p>
      <w:pPr>
        <w:pStyle w:val="Heading3"/>
      </w:pPr>
      <w:r>
        <w:rPr>
          <w:rStyle w:val="SectionNumber"/>
        </w:rPr>
        <w:t xml:space="preserve">5.3</w:t>
      </w:r>
      <w:r>
        <w:tab/>
      </w:r>
      <w:r>
        <w:t xml:space="preserve">5.3 Implementação</w:t>
      </w:r>
    </w:p>
    <w:p>
      <w:pPr>
        <w:pStyle w:val="FirstParagraph"/>
      </w:pPr>
      <w:r>
        <w:t xml:space="preserve">O GovLens/DueProcess.AI é um protótipo</w:t>
      </w:r>
      <w:r>
        <w:t xml:space="preserve"> </w:t>
      </w:r>
      <w:r>
        <w:rPr>
          <w:i/>
          <w:iCs/>
        </w:rPr>
        <w:t xml:space="preserve">full-stack</w:t>
      </w:r>
      <w:r>
        <w:t xml:space="preserve"> </w:t>
      </w:r>
      <w:r>
        <w:t xml:space="preserve">com código aberto, implementado em Python (FastAPI) no backend e React (Vite) no frontend, com comunicação com os modelos de linguagem intermediada pelo OpenRouter. O código-fonte está disponível publicamente no repositório</w:t>
      </w:r>
      <w:r>
        <w:t xml:space="preserve"> </w:t>
      </w:r>
      <w:r>
        <w:rPr>
          <w:rStyle w:val="VerbatimChar"/>
        </w:rPr>
        <w:t xml:space="preserve">github.com/anavvanzin/algoritmo-em-disputa</w:t>
      </w:r>
      <w:r>
        <w:t xml:space="preserve">. O detalhamento da arquitetura foge ao escopo jurídico deste artigo; o que importa reter é que o Conselho é um sistema funcional que, alimentado com um caso, produz pareceres fundamentados, avaliações cruzadas e minutas jurídicas.</w:t>
      </w:r>
    </w:p>
    <w:bookmarkEnd w:id="19"/>
    <w:bookmarkEnd w:id="20"/>
    <w:bookmarkStart w:id="21" w:name="Xd3e7e622637dfbb93bdf69f958ebf8f0a715e64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6 Caso-âncora: o INSS e a negativa automática de aposentadoria rural</w:t>
      </w:r>
    </w:p>
    <w:p>
      <w:pPr>
        <w:pStyle w:val="FirstParagraph"/>
      </w:pPr>
      <w:r>
        <w:t xml:space="preserve">O cenário que ancora a proposta é o indeferimento de aposentadoria rural pelo Instituto Nacional do Seguro Social — situação reconhecível por profissionais da Defensoria Pública e da advocacia previdenciária. O segurado rural, frequentemente em situação de vulnerabilidade socioeconômica e digital, solicita o benefício; o sistema do INSS cruza dados do Cadastro Nacional de Informações Sociais e de outras bases; e o indeferimento é emitido com motivação padronizada que, segundo relatos de defensores públicos, pode não identificar quais dados foram utilizados, quais critérios foram aplicados ou como contestar. A descrição baseia-se em padrões documentados na literatura previdenciária e em relatos de órgãos de defesa, embora o artigo não disponha de levantamento empírico próprio sobre a frequência de indeferimentos automatizados.</w:t>
      </w:r>
    </w:p>
    <w:p>
      <w:pPr>
        <w:pStyle w:val="BodyText"/>
      </w:pPr>
      <w:r>
        <w:t xml:space="preserve">O caso do segurado rural exemplifica com precisão o que Tavares, Bitencourt e Cristóvam (2024) denominam como o</w:t>
      </w:r>
      <w:r>
        <w:t xml:space="preserve"> </w:t>
      </w:r>
      <w:r>
        <w:t xml:space="preserve">“problema da redução da realidade a dados”</w:t>
      </w:r>
      <w:r>
        <w:t xml:space="preserve">. A atividade do trabalhador rural é marcada pela informalidade, sazonalidade e, frequentemente, pela escassez de registros digitais formais. Sua vida de trabalho, vivida de forma corpórea no campo, é uma realidade complexa e multifacetada que não se deixa apreender de modo integral por cadastros de dados padronizados. Ao realizar o cruzamento automático de bases de dados administrativas (como o CNIS e o CPF), o sistema operacionaliza uma redução ontológica: o trabalhador real é substituído por sua representação cadastral incompleta. Se um dado inexiste no cadastro, para o algoritmo, o fato simplesmente inexiste na realidade. Essa redução funciona como uma barreira invisível e intransponível para o cidadão vulnerável, cuja subsistência depende justamente de elementos fáticos (prova testemunhal, início de prova material precária, verificação de condições de vida locais) que a frieza dos cruzamentos automatizados descarta em nome da padronização e da eficiência administrativa.</w:t>
      </w:r>
    </w:p>
    <w:p>
      <w:pPr>
        <w:pStyle w:val="BodyText"/>
      </w:pPr>
      <w:r>
        <w:t xml:space="preserve">A situação agrava-se quando o indeferimento é emitido em desconformidade com a Instrução Normativa nº 128/2022 do INSS, que regula a concessão de benefícios previdenciários e estabelece critérios específicos para a comprovação de atividade rural — incluindo a admissão de início de prova material e de prova testemunhal complementar. Se um sistema automatizado ignorasse ou subaplicasse esses critérios, produzindo indeferimentos que a instrução normativa não autoriza, a decisão violaria simultaneamente o princípio da legalidade (art. 5º, II, CF), o contraditório e a ampla defesa (art. 5º, LV, CF) e a motivação obrigatória de atos administrativos (art. 50, Lei nº 9.784/1999).</w:t>
      </w:r>
    </w:p>
    <w:p>
      <w:pPr>
        <w:pStyle w:val="BodyText"/>
      </w:pPr>
      <w:r>
        <w:t xml:space="preserve">O precedente internacional que ilumina o caso por analogia é o do Sistema de Risco Indicativo de Fraude (SyRI), utilizado pelo governo dos Países Baixos para detectar fraudes em benefícios sociais. Em 5 de fevereiro de 2020, a Corte Distrital de Haia (</w:t>
      </w:r>
      <w:r>
        <w:rPr>
          <w:i/>
          <w:iCs/>
        </w:rPr>
        <w:t xml:space="preserve">Rechtbank Den Haag</w:t>
      </w:r>
      <w:r>
        <w:t xml:space="preserve">, ECLI:NL:RBDHA:2020:1878) declarou que o sistema violava o artigo 8º da Convenção Europeia de Direitos Humanos por insuficiência de salvaguardas legais e operacionais. A Corte considerou que a opacidade do algoritmo, a ausência de supervisão humana efetiva e o impacto desproporcional sobre populações vulneráveis tornavam o sistema incompatível com os direitos fundamentais. O precedente é frequentemente citado na literatura brasileira sobre governança algorítmica, e a sua</w:t>
      </w:r>
      <w:r>
        <w:t xml:space="preserve"> </w:t>
      </w:r>
      <w:r>
        <w:rPr>
          <w:i/>
          <w:iCs/>
        </w:rPr>
        <w:t xml:space="preserve">ratio decidendi</w:t>
      </w:r>
      <w:r>
        <w:t xml:space="preserve"> </w:t>
      </w:r>
      <w:r>
        <w:t xml:space="preserve">é transponível ao contexto nacional por analogia, ainda que a Convenção Europeia não se aplique ao ordenamento jurídico brasileiro.</w:t>
      </w:r>
    </w:p>
    <w:p>
      <w:pPr>
        <w:pStyle w:val="BodyText"/>
      </w:pPr>
      <w:r>
        <w:t xml:space="preserve">A transposição exige, porém, cautela. A Corte Distrital de Haia decidiu com base no artigo 8º da Convenção Europeia de Direitos Humanos, que protege o direito ao respeito à vida privada e familiar — um registro normativo distinto do artigo 5º, LV, da Constituição Federal, que garante o contraditório e a ampla defesa. No Brasil, a ausência de precedente judicial equivalente sobre automação decisória administrativa significa que a</w:t>
      </w:r>
      <w:r>
        <w:t xml:space="preserve"> </w:t>
      </w:r>
      <w:r>
        <w:rPr>
          <w:i/>
          <w:iCs/>
        </w:rPr>
        <w:t xml:space="preserve">ratio decidendi</w:t>
      </w:r>
      <w:r>
        <w:t xml:space="preserve"> </w:t>
      </w:r>
      <w:r>
        <w:t xml:space="preserve">do SyRI precisa ser reconstruída sobre fundamentos constitucionais próprios — o que este artigo esboça, mas não esgota. O SyRI é, portanto, ilustração comparada, não precedente direto.</w:t>
      </w:r>
    </w:p>
    <w:p>
      <w:pPr>
        <w:pStyle w:val="BodyText"/>
      </w:pPr>
      <w:r>
        <w:t xml:space="preserve">O cenário do INSS apresenta, hipoteticamente, elementos análogos àqueles que a Corte Distrital de Haia condenou: opacidade algorítmica, impacto sobre população vulnerável, ausência de contraditório prévio e motivação insuficiente.</w:t>
      </w:r>
    </w:p>
    <w:p>
      <w:pPr>
        <w:pStyle w:val="BodyText"/>
      </w:pPr>
      <w:r>
        <w:t xml:space="preserve">Quando alimentado com o caso INSS, o Conselho produziria um parecer no qual a Defensoria Pública identifica a ausência de contraditório prévio e a motivação insuficiente; o Cientista de Dados sinaliza o risco de viés territorial (segurados rurais em municípios com menor cobertura digital podem ter dados cadastrais menos atualizados); o Administrador Público avalia a compatibilidade com a Lei do Governo Digital e a IN 128/2022; e o Cidadão/Direitos Digitais examina se o segurado foi informado da automação e se pode exercer o direito de revisão do artigo 20 da LGPD. O Relator sintetiza os pareceres e recomenda: pedido de acesso à informação; requerimento de revisão com fundamento no artigo 20 da LGPD; recurso administrativo (arts. 56 e seguintes da Lei nº 9.784/1999); e comunicação à Defensoria Pública da União.</w:t>
      </w:r>
    </w:p>
    <w:p>
      <w:pPr>
        <w:pStyle w:val="BodyText"/>
      </w:pPr>
      <w:r>
        <w:t xml:space="preserve">A demonstração com o caso INSS permite três observações de design — hipóteses a validar, não resultados empíricos. Primeiro, as personas convergiram na identificação da violação de direitos, mas divergiram na ênfase: a Defensoria priorizou o vício processual, o Cientista de Dados o viés sistêmico, o Administrador Público a desconformidade normativa e o Cidadão a violação da autodeterminação informativa. Essa divergência não é fraqueza — é o que a avaliação cruzada se propõe a expor: a mesma decisão parece diferente conforme o eixo de análise, e a tarefa do Relator é integrar essas diferenças sem apagá-las.</w:t>
      </w:r>
    </w:p>
    <w:p>
      <w:pPr>
        <w:pStyle w:val="BodyText"/>
      </w:pPr>
      <w:r>
        <w:t xml:space="preserve">Segundo, a Fase 2 capturou uma imprecisão relevante: o Cientista de Dados mencionou</w:t>
      </w:r>
      <w:r>
        <w:t xml:space="preserve"> </w:t>
      </w:r>
      <w:r>
        <w:t xml:space="preserve">“algoritmo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”</w:t>
      </w:r>
      <w:r>
        <w:t xml:space="preserve"> </w:t>
      </w:r>
      <w:r>
        <w:t xml:space="preserve">como hipótese, mas a Defensoria observou, na avaliação cruzada, que o sistema do INSS pode operar com regras determinísticas — e que a distinção entre sistema opaco por complexidade e sistema opaco por falta de transparência é juridicamente relevante. O Relator incorporou a correção na síntese.</w:t>
      </w:r>
    </w:p>
    <w:p>
      <w:pPr>
        <w:pStyle w:val="BodyText"/>
      </w:pPr>
      <w:r>
        <w:t xml:space="preserve">Terceiro, o Conselho gerou minutas operacionais — pedido de acesso à informação, requerimento de revisão e recurso administrativo — que, embora não substituam defensor ou advogado, oferecem ao cidadão um ponto de partida concreto, com campos a preencher e estrutura jurídica preservada.</w:t>
      </w:r>
    </w:p>
    <w:bookmarkEnd w:id="21"/>
    <w:bookmarkStart w:id="24" w:name="X8ee896826131824a39b84d44742facd084717e0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7 Contribuições normativas: literacia algorítmica e notícia humana</w:t>
      </w:r>
    </w:p>
    <w:p>
      <w:pPr>
        <w:pStyle w:val="FirstParagraph"/>
      </w:pPr>
      <w:r>
        <w:t xml:space="preserve">Além do mapeamento entre persona e artigo, o GovLens/DueProcess.AI incorpora duas contribuições normativas que ultrapassam a dogmática apresentada nos artigos do seminário e que constituem a camada autoral diferenciadora da proposta.</w:t>
      </w:r>
    </w:p>
    <w:bookmarkStart w:id="22" w:name="X4b98a777431ca4f99793381ba5302ca2e241dd0"/>
    <w:p>
      <w:pPr>
        <w:pStyle w:val="Heading3"/>
      </w:pPr>
      <w:r>
        <w:rPr>
          <w:rStyle w:val="SectionNumber"/>
        </w:rPr>
        <w:t xml:space="preserve">7.1</w:t>
      </w:r>
      <w:r>
        <w:tab/>
      </w:r>
      <w:r>
        <w:t xml:space="preserve">7.1 Literacia algorítmica como condição de eficácia do contraditório</w:t>
      </w:r>
    </w:p>
    <w:p>
      <w:pPr>
        <w:pStyle w:val="FirstParagraph"/>
      </w:pPr>
      <w:r>
        <w:t xml:space="preserve">O contraditório algorítmico, tal como formulado por Tavares, Bitencourt e Cristóvam (2024), pressupõe que o cidadão saiba que a decisão que o afetou foi automatizada e compreenda, em termos básicos, o que isso significa. A experiência empírica demonstra que essa premissa frequentemente não se sustenta. Muitos cidadãos não distinguem uma decisão administrativa tomada por um servidor daquela produzida por um sistema algorítmico; recebem a negativa do INSS como se fosse uma decisão humana e não sabem que o contraditório prévio foi suprimido por automação.</w:t>
      </w:r>
    </w:p>
    <w:p>
      <w:pPr>
        <w:pStyle w:val="BodyText"/>
      </w:pPr>
      <w:r>
        <w:t xml:space="preserve">A literacia algorítmica — isto é, a capacidade de compreender que decisões são tomadas por algoritmos, de identificar os dados que as alimentam e de saber que o direito de contestar existe — constitui um degrau anterior à contestação. Distingue-se da transparência: um portal pode ser transparente (disponibilizando dados e critérios) sem ser compreensível (se o cidadão não dispõe de ferramentas cognitivas para processar a informação). A inteligibilidade é a propriedade de a informação ser processável por seu destinatário; a transparência é a propriedade de a informação estar disponível.</w:t>
      </w:r>
    </w:p>
    <w:p>
      <w:pPr>
        <w:pStyle w:val="BodyText"/>
      </w:pPr>
      <w:r>
        <w:t xml:space="preserve">O protótipo materializa essa contribuição por meio de uma camada propedêutica — denominada</w:t>
      </w:r>
      <w:r>
        <w:t xml:space="preserve"> </w:t>
      </w:r>
      <w:r>
        <w:t xml:space="preserve">“Você sabe que foi uma máquina?”</w:t>
      </w:r>
      <w:r>
        <w:t xml:space="preserve"> </w:t>
      </w:r>
      <w:r>
        <w:t xml:space="preserve">— que precede o acesso às telas de análise e contestação. Antes de permitir a contestação, a plataforma apresenta, em linguagem cidadã, uma explicação sobre o que é uma decisão algorítmica, por que ela pode ser diferente de uma decisão humana e qual é o direito do cidadão mesmo quando a decisão parece automática e definitiva. Essa camada não é uma formalidade; é uma condição de eficácia do contraditório. Sem ela, o contraditório é juridicamente reconhecido, mas materialmente inacessível.</w:t>
      </w:r>
    </w:p>
    <w:p>
      <w:pPr>
        <w:pStyle w:val="BodyText"/>
      </w:pPr>
      <w:r>
        <w:t xml:space="preserve">A distinção entre acesso formal e acesso material ao contraditório algorítmico é análoga à distinção que a literatura constitucional brasileira estabelece entre igualdade formal e igualdade material: a previsão normativa do direito não basta se o titular não dispõe das condições fáticas para exercê-lo. A literacia algorítmica é, nesse sentido, uma condição material do contraditório — assim como a assistência jurídica gratuita é condição material do acesso à justiça (art. 5º, LXXIV, CF). O Estado que automatiza decisões sem garantir que o cidadão compreenda o que é uma decisão automatizada não está apenas sendo ineficiente na comunicação — está produzindo uma desigualdade material no exercício do direito de defesa.</w:t>
      </w:r>
    </w:p>
    <w:bookmarkEnd w:id="22"/>
    <w:bookmarkStart w:id="23" w:name="X003656ed7bd43d310306f1a1b569f33ae4a0fed"/>
    <w:p>
      <w:pPr>
        <w:pStyle w:val="Heading3"/>
      </w:pPr>
      <w:r>
        <w:rPr>
          <w:rStyle w:val="SectionNumber"/>
        </w:rPr>
        <w:t xml:space="preserve">7.2</w:t>
      </w:r>
      <w:r>
        <w:tab/>
      </w:r>
      <w:r>
        <w:t xml:space="preserve">7.2 Notícia humana para decisões adversas dirigidas a vulneráveis</w:t>
      </w:r>
    </w:p>
    <w:p>
      <w:pPr>
        <w:pStyle w:val="FirstParagraph"/>
      </w:pPr>
      <w:r>
        <w:t xml:space="preserve">A segunda contribuição normativa decorre de uma observação que a bibliografia do seminário não desenvolve explicitamente: a distinção entre o</w:t>
      </w:r>
      <w:r>
        <w:t xml:space="preserve"> </w:t>
      </w:r>
      <w:r>
        <w:rPr>
          <w:i/>
          <w:iCs/>
        </w:rPr>
        <w:t xml:space="preserve">momento da decisão</w:t>
      </w:r>
      <w:r>
        <w:t xml:space="preserve"> </w:t>
      </w:r>
      <w:r>
        <w:t xml:space="preserve">e o</w:t>
      </w:r>
      <w:r>
        <w:t xml:space="preserve"> </w:t>
      </w:r>
      <w:r>
        <w:rPr>
          <w:i/>
          <w:iCs/>
        </w:rPr>
        <w:t xml:space="preserve">momento da comunicação</w:t>
      </w:r>
      <w:r>
        <w:t xml:space="preserve">. A dogmática do contraditório algorítmico concentra-se na decisão — seus critérios, seus dados, sua explicabilidade. Mas a comunicação da decisão adversa a uma pessoa em situação de vulnerabilidade é, ela mesma, um ato administrativo que pode ferir a dignidade.</w:t>
      </w:r>
    </w:p>
    <w:p>
      <w:pPr>
        <w:pStyle w:val="BodyText"/>
      </w:pPr>
      <w:r>
        <w:t xml:space="preserve">Quando o INSS nega automaticamente a aposentadoria rural de um trabalhador analfabeto de setenta anos, a negativa não chega como resultado de uma interlocução humana — chega como uma notificação padronizada, frequentemente incompreensível, sem orientação sobre como contestar. O cidadão vulnerável não apenas perde o benefício; perde a possibilidade de compreender por que perdeu e o que pode fazer. A dignidade do administrado está também em como ele é avisado.</w:t>
      </w:r>
    </w:p>
    <w:p>
      <w:pPr>
        <w:pStyle w:val="BodyText"/>
      </w:pPr>
      <w:r>
        <w:t xml:space="preserve">A tese normativa que este artigo propõe é a seguinte: decisões administrativas automatizadas podem ser legítimas quando os critérios são explicáveis e o contraditório é assegurado, mas a comunicação de uma decisão adversa a uma pessoa em situação de vulnerabilidade deveria ser feita por um ser humano — ou, no mínimo, por um sistema que simule a mediação humana de forma significativa — e não por uma notificação automática fria. O humano no circuito não apenas na decisão, mas no cuidado da comunicação.</w:t>
      </w:r>
    </w:p>
    <w:p>
      <w:pPr>
        <w:pStyle w:val="BodyText"/>
      </w:pPr>
      <w:r>
        <w:t xml:space="preserve">O protótipo materializa essa contribuição por meio de um flag de</w:t>
      </w:r>
      <w:r>
        <w:t xml:space="preserve"> </w:t>
      </w:r>
      <w:r>
        <w:t xml:space="preserve">“notícia humana”</w:t>
      </w:r>
      <w:r>
        <w:t xml:space="preserve">: casos sinalizados como vulneráveis (idoso, analfabeto, rural, sem conectividade significativa) que envolvam decisão adversa (negativa de benefício, corte de auxílio) disparam uma recomendação de comunicação assistida, não notificação automática. A recomendação não é vinculante — o protótipo é acadêmico — mas sinaliza que a arquitetura de uma Administração Pública 4.0 democraticamente legítima deve considerar não apenas o que decide, mas como comunica a decisão aos mais vulneráveis.</w:t>
      </w:r>
    </w:p>
    <w:p>
      <w:pPr>
        <w:pStyle w:val="BodyText"/>
      </w:pPr>
      <w:r>
        <w:t xml:space="preserve">É preciso antecipar duas objeções. A primeira é a da escala: notificação humana para decisões adversas em massa parece economicamente inviável. A resposta é que o princípio da notícia humana não exige notificação individualizada em todos os casos — exige que a arquitetura do sistema não trate a comunicação como etapa irrelevante, delegando-a a uma notificação automática fria por</w:t>
      </w:r>
      <w:r>
        <w:t xml:space="preserve"> </w:t>
      </w:r>
      <w:r>
        <w:rPr>
          <w:i/>
          <w:iCs/>
        </w:rPr>
        <w:t xml:space="preserve">default</w:t>
      </w:r>
      <w:r>
        <w:t xml:space="preserve">. O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deve ser a mediação humana; a automação deve ser exceção justificada. A segunda objeção é a do paternalismo: tratar vulneráveis como se precisassem de proteção especial pode ser forma de exclusão. A resposta é que a notícia humana não se funda na suposta incapacidade do vulnerável, mas na assimetria de poder entre Estado e administrado: quando o Estado decide sobre o benefício de um trabalhador rural analfabeto, a mera formalidade da notificação automática perpetua essa assimetria. A mediação humana é, aqui, medida de igualdade substantiva.</w:t>
      </w:r>
    </w:p>
    <w:bookmarkEnd w:id="23"/>
    <w:bookmarkEnd w:id="24"/>
    <w:bookmarkStart w:id="25" w:name="limites-e-direções-de-pesquisa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8 Limites e direções de pesquisa</w:t>
      </w:r>
    </w:p>
    <w:p>
      <w:pPr>
        <w:pStyle w:val="FirstParagraph"/>
      </w:pPr>
      <w:r>
        <w:t xml:space="preserve">O protótipo não foi validado com usuários reais. A demonstração usa cenário hipotético e personas simuladas por LLMs; se o cidadão de fato compreende a análise, se as minutas são juridicamente adequadas, se a experiência reduz a impotência — são questões empíricas que só testes com defensorias, clínicas jurídicas e cidadãos afetados podem responder. A validação empírica é a direção prioritária de pesquisa futura.</w:t>
      </w:r>
    </w:p>
    <w:p>
      <w:pPr>
        <w:pStyle w:val="BodyText"/>
      </w:pPr>
      <w:r>
        <w:t xml:space="preserve">Os modelos de linguagem podem alucinar fundamentação jurídica: citar artigos inexistentes, confundir dispositivos, produzir texto superficialmente convincente mas incorreto. Esse risco é particularmente agudo no direito administrativo brasileiro, onde a legislação é fragmentada, as instruções normativas são numerosas e a jurisprudência dos tribunais de contas e dos tribunais regionais federais nem sempre está indexada de forma acessível aos modelos. O protótipo mitiga parcialmente esse risco com instruções de sistema detalhadas e com a avaliação cruzada — no caso INSS, as referências legais citadas pelo Conselho foram verificadas manualmente e confirmadas como corretas, e a Fase 2 capturou imprecisões corrigidas pelo Relator. Mas um teste unitário não substitui verificação sistemática em maior escala. A mitigação mais robusta exigiria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(RAG) com base em repositórios oficiais de legislação e jurisprudência atualizados, o que não está implementado na versão atual do protótipo.</w:t>
      </w:r>
    </w:p>
    <w:p>
      <w:pPr>
        <w:pStyle w:val="BodyText"/>
      </w:pPr>
      <w:r>
        <w:t xml:space="preserve">Há também o limite de custo. Cada caso submetido ao Conselho dispara quatro chamadas na Fase 1, doze na Fase 2 e uma na Fase 3 — dezessete chamadas a APIs de modelos de linguagem, que, dependendo do modelo selecionado e da extensão dos pareceres, podem representar um custo significativo se o sistema fosse escalado para uso institucional. O protótipo não incorpora estimativa de custo por caso, e a viabilidade econômica de uma versão operacional do Conselho depende de otimizações como cache de pareceres similares, uso de modelos menores para a Fase 2 e redução do número de avaliações cruzadas sem perda de qualidade analítica.</w:t>
      </w:r>
    </w:p>
    <w:p>
      <w:pPr>
        <w:pStyle w:val="BodyText"/>
      </w:pPr>
      <w:r>
        <w:t xml:space="preserve">O foco no âmbito federal (INSS, LGPD, LAI, Lei do Governo Digital) limita a generalização. Decisões municipais — licenças, alvarás, benefícios locais — exigem adaptação das personas, das bases de referência e das minutas; o federalismo de adesão da Lei nº 14.129/2021 torna isso necessariamente caso a caso.</w:t>
      </w:r>
    </w:p>
    <w:p>
      <w:pPr>
        <w:pStyle w:val="BodyText"/>
      </w:pPr>
      <w:r>
        <w:t xml:space="preserve">O limite jurisprudencial da analogia com o SyRI já foi explicitado na Seção 6: a reconstrução da</w:t>
      </w:r>
      <w:r>
        <w:t xml:space="preserve"> </w:t>
      </w:r>
      <w:r>
        <w:rPr>
          <w:i/>
          <w:iCs/>
        </w:rPr>
        <w:t xml:space="preserve">ratio decidendi</w:t>
      </w:r>
      <w:r>
        <w:t xml:space="preserve"> </w:t>
      </w:r>
      <w:r>
        <w:t xml:space="preserve">sobre fundamentos constitucionais brasileiros é tarefa que este artigo esboça, mas que só um corpo de decisões nacionais poderá consolidar.</w:t>
      </w:r>
    </w:p>
    <w:p>
      <w:pPr>
        <w:pStyle w:val="BodyText"/>
      </w:pPr>
      <w:r>
        <w:t xml:space="preserve">A infraestrutura digital é limite material. Para o cidadão sem conectividade significativa — 78% da população com dez anos ou mais, segundo a TIC Domicílios 2024 — o protótipo não existe. Canais não-digitais (USSD, SMS, atendimento presencial) estão fora do escopo.</w:t>
      </w:r>
    </w:p>
    <w:p>
      <w:pPr>
        <w:pStyle w:val="BodyText"/>
      </w:pPr>
      <w:r>
        <w:t xml:space="preserve">As direções de pesquisa futura incluem: validação empírica com usuários reais; ampliação do corpus de casos-teste; avaliação comparativa com plataformas de contestação em outros ordenamentos jurídicos; e investigação sobre a responsabilização administrativa e judicial por insuficiência de explicabilidade em decisões automatizadas.</w:t>
      </w:r>
    </w:p>
    <w:bookmarkEnd w:id="25"/>
    <w:bookmarkStart w:id="26" w:name="conclusão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9 Conclusão</w:t>
      </w:r>
    </w:p>
    <w:p>
      <w:pPr>
        <w:pStyle w:val="FirstParagraph"/>
      </w:pPr>
      <w:r>
        <w:t xml:space="preserve">A tese normativa que este artigo sustenta — a integração dos quatro eixos como condição de validade do ato administrativo automatizado — ancora-se no devido processo legal constitucional (art. 5º, LV, CF) e na Lei nº 9.784/1999, e é fundamentada pelo diagnóstico estrutural do Estado como Regulador e Regulado. O Conselho de Contestação Algorítmica ilustra como essa integração pode ser materializada: cada persona traduz um eixo em parecer, a avaliação cruzada expõe tensões que a dogmática isolada oculta, e o Relator produz uma síntese que o cidadão pode usar. O caso INSS condensa o argumento; o SyRI o ilumina por analogia, mas a ancoragem da tese é constitucional brasileira, não convencional europeia.</w:t>
      </w:r>
    </w:p>
    <w:p>
      <w:pPr>
        <w:pStyle w:val="BodyText"/>
      </w:pPr>
      <w:r>
        <w:t xml:space="preserve">Duas contribuições vão além da bibliografia do seminário: a literacia algorítmica como condição material de eficácia do contraditório e a notícia humana como exigência da dignidade da pessoa humana (art. 1º, III, CF) no momento da comunicação de decisões adversas a vulneráveis. O GovLens/DueProcess.AI não resolve o problema da legitimidade da Administração Pública algorítmica; sua função é heurística — demonstrar que a tese da integração pode ser operacionalizada, desde que a dogmática jurídica, e não a arquitetura de software, oriente o desenho institucional.</w:t>
      </w:r>
    </w:p>
    <w:p>
      <w:pPr>
        <w:pStyle w:val="BodyText"/>
      </w:pPr>
      <w:r>
        <w:t xml:space="preserve"> </w:t>
      </w:r>
      <w:r>
        <w:t xml:space="preserve">Digital Public Administration; algorithmic contestability; due process of law; explainability; personal data protection; artificial intelligence in the public sector.</w:t>
      </w:r>
    </w:p>
    <w:bookmarkEnd w:id="26"/>
    <w:bookmarkStart w:id="39" w:name="referências"/>
    <w:p>
      <w:pPr>
        <w:pStyle w:val="Heading2"/>
      </w:pPr>
      <w:r>
        <w:rPr>
          <w:rStyle w:val="SectionNumber"/>
        </w:rPr>
        <w:t xml:space="preserve">10</w:t>
      </w:r>
      <w:r>
        <w:tab/>
      </w:r>
      <w:r>
        <w:t xml:space="preserve">Referências</w:t>
      </w:r>
    </w:p>
    <w:p>
      <w:pPr>
        <w:pStyle w:val="FirstParagraph"/>
      </w:pPr>
      <w:r>
        <w:t xml:space="preserve">BRASIL. Constituição da República Federativa do Brasil de 1988. Brasília, DF: Presidência da República, 1988. Disponível em:</w:t>
      </w:r>
      <w:r>
        <w:t xml:space="preserve"> </w:t>
      </w:r>
      <w:hyperlink r:id="rId27">
        <w:r>
          <w:rPr>
            <w:rStyle w:val="Hyperlink"/>
          </w:rPr>
          <w:t xml:space="preserve">https://www.planalto.gov.br/ccivil_03/constituicao/constituicao.htm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Controladoria-Geral da União. Fala.BR: visão geral. Brasília, DF: CGU, [s.d.]a. Disponível em:</w:t>
      </w:r>
      <w:r>
        <w:t xml:space="preserve"> </w:t>
      </w:r>
      <w:hyperlink r:id="rId28">
        <w:r>
          <w:rPr>
            <w:rStyle w:val="Hyperlink"/>
          </w:rPr>
          <w:t xml:space="preserve">https://www.gov.br/acessoainformacao/pt-br/falabr/visao-geral/falabr/</w:t>
        </w:r>
      </w:hyperlink>
      <w:r>
        <w:t xml:space="preserve">. Acesso em: 12 jul. 2026.</w:t>
      </w:r>
    </w:p>
    <w:p>
      <w:pPr>
        <w:pStyle w:val="BodyText"/>
      </w:pPr>
      <w:r>
        <w:t xml:space="preserve">BRASIL. Governo Federal. Governo habilita novo canal para contestação do auxílio. Brasília, DF, 4 ago. 2020. Disponível em:</w:t>
      </w:r>
      <w:r>
        <w:t xml:space="preserve"> </w:t>
      </w:r>
      <w:hyperlink r:id="rId29">
        <w:r>
          <w:rPr>
            <w:rStyle w:val="Hyperlink"/>
          </w:rPr>
          <w:t xml:space="preserve">https://www.gov.br/pt-br/noticias/assistencia-social/2020/08/governo-habilita-novo-canal-para-contestacao-do-auxilio</w:t>
        </w:r>
      </w:hyperlink>
      <w:r>
        <w:t xml:space="preserve">. Acesso em: 12 jul. 2026.</w:t>
      </w:r>
    </w:p>
    <w:p>
      <w:pPr>
        <w:pStyle w:val="BodyText"/>
      </w:pPr>
      <w:r>
        <w:t xml:space="preserve">BRASIL. Ministério do Desenvolvimento e Assistência Social, Família e Combate à Fome. Informe nº 69: a funcionalidade Conteste Aqui já está disponível no Portal do Cadastro Único. Brasília, DF, 23 maio 2025. Disponível em:</w:t>
      </w:r>
      <w:r>
        <w:t xml:space="preserve"> </w:t>
      </w:r>
      <w:hyperlink r:id="rId30">
        <w:r>
          <w:rPr>
            <w:rStyle w:val="Hyperlink"/>
          </w:rPr>
          <w:t xml:space="preserve">https://www.gov.br/mds/pt-br/acoes-e-programas/cadastro-unico/informes/2025/informe_cadastro_unico_n_69</w:t>
        </w:r>
      </w:hyperlink>
      <w:r>
        <w:t xml:space="preserve">. Acesso em: 12 jul. 2026.</w:t>
      </w:r>
    </w:p>
    <w:p>
      <w:pPr>
        <w:pStyle w:val="BodyText"/>
      </w:pPr>
      <w:r>
        <w:t xml:space="preserve">BRASIL. Secretaria-Geral da Presidência da República. Termo de uso e política de privacidade. Brasília, DF, [s.d.]b. Disponível em:</w:t>
      </w:r>
      <w:r>
        <w:t xml:space="preserve"> </w:t>
      </w:r>
      <w:hyperlink r:id="rId31">
        <w:r>
          <w:rPr>
            <w:rStyle w:val="Hyperlink"/>
          </w:rPr>
          <w:t xml:space="preserve">https://www.gov.br/secretariageral/pt-br/termo-de-uso-e-politica-de-privacidade/termo-de-uso/termo-de-uso/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9.784, de 29 de janeiro de 1999. Regula o processo administrativo no âmbito da Administração Pública Federal. Brasília, DF: Presidência da República, 1999. Disponível em:</w:t>
      </w:r>
      <w:r>
        <w:t xml:space="preserve"> </w:t>
      </w:r>
      <w:hyperlink r:id="rId32">
        <w:r>
          <w:rPr>
            <w:rStyle w:val="Hyperlink"/>
          </w:rPr>
          <w:t xml:space="preserve">https://www.planalto.gov.br/ccivil_03/leis/l9784.htm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12.527, de 18 de novembro de 2011. Regula o acesso a informações. Brasília, DF: Presidência da República, 2011. Disponível em:</w:t>
      </w:r>
      <w:r>
        <w:t xml:space="preserve"> </w:t>
      </w:r>
      <w:hyperlink r:id="rId33">
        <w:r>
          <w:rPr>
            <w:rStyle w:val="Hyperlink"/>
          </w:rPr>
          <w:t xml:space="preserve">https://www.planalto.gov.br/ccivil_03/_ato2011-2014/2011/lei/l12527.htm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13.709, de 14 de agosto de 2018. Lei Geral de Proteção de Dados Pessoais. Brasília, DF: Presidência da República, 2018. Disponível em:</w:t>
      </w:r>
      <w:r>
        <w:t xml:space="preserve"> </w:t>
      </w:r>
      <w:hyperlink r:id="rId34">
        <w:r>
          <w:rPr>
            <w:rStyle w:val="Hyperlink"/>
          </w:rPr>
          <w:t xml:space="preserve">https://www.planalto.gov.br/ccivil_03/_ato2015-2018/2018/lei/l13709.htm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14.129, de 29 de março de 2021. Dispõe sobre princípios, regras e instrumentos para o Governo Digital e para o aumento da eficiência pública. Brasília, DF: Presidência da República, 2021. Disponível em:</w:t>
      </w:r>
      <w:r>
        <w:t xml:space="preserve"> </w:t>
      </w:r>
      <w:hyperlink r:id="rId35">
        <w:r>
          <w:rPr>
            <w:rStyle w:val="Hyperlink"/>
          </w:rPr>
          <w:t xml:space="preserve">https://www.planalto.gov.br/ccivil_03/_ato2019-2022/2021/lei/l14129.htm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Instituto Nacional do Seguro Social. Instrução Normativa PRES/INSS nº 128, de 28 de março de 2022. Disciplina as regras, procedimentos e rotinas necessárias à efetiva aplicação das normas de direito previdenciário. Brasília, DF: INSS, 2022. Disponível em:</w:t>
      </w:r>
      <w:r>
        <w:t xml:space="preserve"> </w:t>
      </w:r>
      <w:hyperlink r:id="rId36">
        <w:r>
          <w:rPr>
            <w:rStyle w:val="Hyperlink"/>
          </w:rPr>
          <w:t xml:space="preserve">https://www.gov.br/inss/pt-br/centrais-de-conteudo/legislacao/instrucao-normativa/2022</w:t>
        </w:r>
      </w:hyperlink>
      <w:r>
        <w:t xml:space="preserve">. Acesso em: 12 jul. 2026.</w:t>
      </w:r>
    </w:p>
    <w:p>
      <w:pPr>
        <w:pStyle w:val="BodyText"/>
      </w:pPr>
      <w:r>
        <w:t xml:space="preserve">COMITÊ GESTOR DA INTERNET NO BRASIL; CENTRO REGIONAL DE ESTUDOS PARA O DESENVOLVIMENTO DA SOCIEDADE DA INFORMAÇÃO.</w:t>
      </w:r>
      <w:r>
        <w:t xml:space="preserve"> </w:t>
      </w:r>
      <w:r>
        <w:rPr>
          <w:b/>
          <w:bCs/>
        </w:rPr>
        <w:t xml:space="preserve">TIC Domicílios 2024</w:t>
      </w:r>
      <w:r>
        <w:t xml:space="preserve">. São Paulo: CGI.br/Cetic.br, 2024.</w:t>
      </w:r>
    </w:p>
    <w:p>
      <w:pPr>
        <w:pStyle w:val="BodyText"/>
      </w:pPr>
      <w:r>
        <w:t xml:space="preserve">CRISTÓVAM, José Sérgio da Silva.</w:t>
      </w:r>
      <w:r>
        <w:t xml:space="preserve"> </w:t>
      </w:r>
      <w:r>
        <w:rPr>
          <w:b/>
          <w:bCs/>
        </w:rPr>
        <w:t xml:space="preserve">Administração Pública democrática e supremacia do interesse público</w:t>
      </w:r>
      <w:r>
        <w:t xml:space="preserve">: novo regime jurídico-administrativo e seus princípios constitucionais estruturantes. Curitiba: Juruá, 2015.</w:t>
      </w:r>
    </w:p>
    <w:p>
      <w:pPr>
        <w:pStyle w:val="BodyText"/>
      </w:pPr>
      <w:r>
        <w:t xml:space="preserve">CRISTÓVAM, José Sérgio da Silva; HAHN, Tatiana Meinhart. Administração Pública orientada por dados: governo aberto e infraestrutura nacional de dados abertos.</w:t>
      </w:r>
      <w:r>
        <w:t xml:space="preserve"> </w:t>
      </w:r>
      <w:r>
        <w:rPr>
          <w:b/>
          <w:bCs/>
        </w:rPr>
        <w:t xml:space="preserve">Revista de Direito Administrativo e Gestão Pública</w:t>
      </w:r>
      <w:r>
        <w:t xml:space="preserve">, Florianópolis, v. 6, n. 1, p. 1-24, jan./jun. 2020. DOI: https://doi.org/10.26668/IndexLawJournals/2526-0073/2020.v6i1.6388. Disponível em: https://www.indexlaw.org/index.php/rdagp/article/view/6388. Acesso em: 11 jul. 2026.</w:t>
      </w:r>
    </w:p>
    <w:p>
      <w:pPr>
        <w:pStyle w:val="BodyText"/>
      </w:pPr>
      <w:r>
        <w:t xml:space="preserve">DI PIETRO, Maria Sylvia Zanella.</w:t>
      </w:r>
      <w:r>
        <w:t xml:space="preserve"> </w:t>
      </w:r>
      <w:r>
        <w:rPr>
          <w:b/>
          <w:bCs/>
        </w:rPr>
        <w:t xml:space="preserve">Direito administrativo</w:t>
      </w:r>
      <w:r>
        <w:t xml:space="preserve">. 36. ed. Rio de Janeiro: Forense, 2022.</w:t>
      </w:r>
    </w:p>
    <w:p>
      <w:pPr>
        <w:pStyle w:val="BodyText"/>
      </w:pPr>
      <w:r>
        <w:t xml:space="preserve">JUSTEN FILHO, Marçal.</w:t>
      </w:r>
      <w:r>
        <w:t xml:space="preserve"> </w:t>
      </w:r>
      <w:r>
        <w:rPr>
          <w:b/>
          <w:bCs/>
        </w:rPr>
        <w:t xml:space="preserve">Curso de direito administrativo</w:t>
      </w:r>
      <w:r>
        <w:t xml:space="preserve">. 14. ed. São Paulo: Revista dos Tribunais, 2023.</w:t>
      </w:r>
    </w:p>
    <w:p>
      <w:pPr>
        <w:pStyle w:val="BodyText"/>
      </w:pPr>
      <w:r>
        <w:t xml:space="preserve">MELLO, Celso Antônio Bandeira de.</w:t>
      </w:r>
      <w:r>
        <w:t xml:space="preserve"> </w:t>
      </w:r>
      <w:r>
        <w:rPr>
          <w:b/>
          <w:bCs/>
        </w:rPr>
        <w:t xml:space="preserve">Curso de direito administrativo</w:t>
      </w:r>
      <w:r>
        <w:t xml:space="preserve">. 35. ed. São Paulo: Malheiros, 2021.</w:t>
      </w:r>
    </w:p>
    <w:p>
      <w:pPr>
        <w:pStyle w:val="BodyText"/>
      </w:pPr>
      <w:r>
        <w:t xml:space="preserve">RECHTBANK DEN HAAG.</w:t>
      </w:r>
      <w:r>
        <w:t xml:space="preserve"> </w:t>
      </w:r>
      <w:r>
        <w:rPr>
          <w:b/>
          <w:bCs/>
        </w:rPr>
        <w:t xml:space="preserve">ECLI:NL:RBDHA:2020:1878</w:t>
      </w:r>
      <w:r>
        <w:t xml:space="preserve">. Corte Distrital de Haia, 5 fev. 2020. Disponível em:</w:t>
      </w:r>
      <w:r>
        <w:t xml:space="preserve"> </w:t>
      </w:r>
      <w:hyperlink r:id="rId37">
        <w:r>
          <w:rPr>
            <w:rStyle w:val="Hyperlink"/>
          </w:rPr>
          <w:t xml:space="preserve">https://deeplink.rechtspraak.nl/uitspraak?id=ECLI:NL:RBDHA:2020:1878</w:t>
        </w:r>
      </w:hyperlink>
      <w:r>
        <w:t xml:space="preserve">. Acesso em: 10 jul. 2026.</w:t>
      </w:r>
    </w:p>
    <w:p>
      <w:pPr>
        <w:pStyle w:val="BodyText"/>
      </w:pPr>
      <w:r>
        <w:t xml:space="preserve">SAITO, Vitória Hiromi; SALGADO, Eneida Desiree. Privacidade e proteção de dados: por uma compreensão ampla do direito fundamental em face da sua multifuncionalidade.</w:t>
      </w:r>
      <w:r>
        <w:t xml:space="preserve"> </w:t>
      </w:r>
      <w:r>
        <w:rPr>
          <w:b/>
          <w:bCs/>
        </w:rPr>
        <w:t xml:space="preserve">International Journal of Digital Law</w:t>
      </w:r>
      <w:r>
        <w:t xml:space="preserve">, Belo Horizonte, v. 1, n. 3, p. 117-137, set./dez. 2020. DOI: https://doi.org/10.47975/IJDL/3hiromi. Disponível em: https://journal.nuped.com.br/index.php/revista/article/view/saito2020. Acesso em: 11 jul. 2026.</w:t>
      </w:r>
    </w:p>
    <w:p>
      <w:pPr>
        <w:pStyle w:val="BodyText"/>
      </w:pPr>
      <w:r>
        <w:t xml:space="preserve">SARLET, Gabrielle Bezerra Sales; MOLINARO, Carlos Alberto. Questões tecnológicas, éticas e normativas da proteção de dados pessoais na área da saúde em um contexto de big data.</w:t>
      </w:r>
      <w:r>
        <w:t xml:space="preserve"> </w:t>
      </w:r>
      <w:r>
        <w:rPr>
          <w:b/>
          <w:bCs/>
        </w:rPr>
        <w:t xml:space="preserve">Revista Brasileira de Direitos Fundamentais &amp; Justiça</w:t>
      </w:r>
      <w:r>
        <w:t xml:space="preserve">, Belo Horizonte, ano 13, n. 41, p. 183-212, jul./dez. 2019. DOI: https://doi.org/10.30899/dfj.v13i41.811. Acesso em: 12 jul. 2026.</w:t>
      </w:r>
    </w:p>
    <w:p>
      <w:pPr>
        <w:pStyle w:val="BodyText"/>
      </w:pPr>
      <w:r>
        <w:t xml:space="preserve">SCHIEFLER, Eduardo André Carvalho; CRISTÓVAM, José Sérgio da Silva; SOUSA, Thanderson Pereira de. Administração Pública digital e a problemática da desigualdade no acesso à tecnologia.</w:t>
      </w:r>
      <w:r>
        <w:t xml:space="preserve"> </w:t>
      </w:r>
      <w:r>
        <w:rPr>
          <w:b/>
          <w:bCs/>
        </w:rPr>
        <w:t xml:space="preserve">International Journal of Digital Law</w:t>
      </w:r>
      <w:r>
        <w:t xml:space="preserve">, Belo Horizonte, v. 1, n. 2, p. 97-116, maio/ago. 2020. DOI: https://doi.org/10.47975/IJDL/1schiefler. Disponível em: https://journal.nuped.com.br/index.php/revista/article/view/schiefler2020. Acesso em: 11 jul. 2026.</w:t>
      </w:r>
    </w:p>
    <w:p>
      <w:pPr>
        <w:pStyle w:val="BodyText"/>
      </w:pPr>
      <w:r>
        <w:t xml:space="preserve">TAVARES, André Afonso; BITENCOURT, Caroline Müller; CRISTÓVAM, José Sérgio da Silva. Explicabilidade e contraditório algorítimico nas decisões automatizadas no setor público: as decisões em processos apoiados em algoritmos e o problema da redução da realidade a dados.</w:t>
      </w:r>
      <w:r>
        <w:t xml:space="preserve"> </w:t>
      </w:r>
      <w:r>
        <w:rPr>
          <w:b/>
          <w:bCs/>
        </w:rPr>
        <w:t xml:space="preserve">Diké – Revista Jurídica</w:t>
      </w:r>
      <w:r>
        <w:t xml:space="preserve">, Vitória da Conquista, v. 23, n. 27, p. 2-32, set./dez. 2024. DOI: https://doi.org/10.36113/dike.27.2024.4556. Acesso em: 12 jul. 2026.</w:t>
      </w:r>
    </w:p>
    <w:p>
      <w:pPr>
        <w:pStyle w:val="BodyText"/>
      </w:pPr>
      <w:r>
        <w:t xml:space="preserve">TAVARES, André Afonso; BITENCOURT, Caroline Müller; CRISTÓVAM, José Sérgio da Silva. A Lei do Governo Digital no Brasil: análise das contribuições à transparência pública e à concretização do exercício do controle social.</w:t>
      </w:r>
      <w:r>
        <w:t xml:space="preserve"> </w:t>
      </w:r>
      <w:r>
        <w:rPr>
          <w:b/>
          <w:bCs/>
        </w:rPr>
        <w:t xml:space="preserve">Novos Estudos Jurídicos</w:t>
      </w:r>
      <w:r>
        <w:t xml:space="preserve">, Itajaí, v. 26, n. 3, p. 788-813, set./dez. 2021. DOI: https://doi.org/10.14210/nej.v26n3.p788-814. Disponível em:</w:t>
      </w:r>
      <w:r>
        <w:t xml:space="preserve"> </w:t>
      </w:r>
      <w:hyperlink r:id="rId38">
        <w:r>
          <w:rPr>
            <w:rStyle w:val="Hyperlink"/>
          </w:rPr>
          <w:t xml:space="preserve">https://periodicos.univali.br/index.php/nej/article/view/18326</w:t>
        </w:r>
      </w:hyperlink>
      <w:r>
        <w:t xml:space="preserve">. Acesso em: 12 jul. 2026.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eeplink.rechtspraak.nl/uitspraak?id=ECLI:NL:RBDHA:2020:1878" TargetMode="External" /><Relationship Type="http://schemas.openxmlformats.org/officeDocument/2006/relationships/hyperlink" Id="rId38" Target="https://periodicos.univali.br/index.php/nej/article/view/18326" TargetMode="External" /><Relationship Type="http://schemas.openxmlformats.org/officeDocument/2006/relationships/hyperlink" Id="rId28" Target="https://www.gov.br/acessoainformacao/pt-br/falabr/visao-geral/falabr/" TargetMode="External" /><Relationship Type="http://schemas.openxmlformats.org/officeDocument/2006/relationships/hyperlink" Id="rId36" Target="https://www.gov.br/inss/pt-br/centrais-de-conteudo/legislacao/instrucao-normativa/2022" TargetMode="External" /><Relationship Type="http://schemas.openxmlformats.org/officeDocument/2006/relationships/hyperlink" Id="rId30" Target="https://www.gov.br/mds/pt-br/acoes-e-programas/cadastro-unico/informes/2025/informe_cadastro_unico_n_69" TargetMode="External" /><Relationship Type="http://schemas.openxmlformats.org/officeDocument/2006/relationships/hyperlink" Id="rId29" Target="https://www.gov.br/pt-br/noticias/assistencia-social/2020/08/governo-habilita-novo-canal-para-contestacao-do-auxilio" TargetMode="External" /><Relationship Type="http://schemas.openxmlformats.org/officeDocument/2006/relationships/hyperlink" Id="rId31" Target="https://www.gov.br/secretariageral/pt-br/termo-de-uso-e-politica-de-privacidade/termo-de-uso/termo-de-uso/" TargetMode="External" /><Relationship Type="http://schemas.openxmlformats.org/officeDocument/2006/relationships/hyperlink" Id="rId33" Target="https://www.planalto.gov.br/ccivil_03/_ato2011-2014/2011/lei/l12527.htm" TargetMode="External" /><Relationship Type="http://schemas.openxmlformats.org/officeDocument/2006/relationships/hyperlink" Id="rId34" Target="https://www.planalto.gov.br/ccivil_03/_ato2015-2018/2018/lei/l13709.htm" TargetMode="External" /><Relationship Type="http://schemas.openxmlformats.org/officeDocument/2006/relationships/hyperlink" Id="rId35" Target="https://www.planalto.gov.br/ccivil_03/_ato2019-2022/2021/lei/l14129.htm" TargetMode="External" /><Relationship Type="http://schemas.openxmlformats.org/officeDocument/2006/relationships/hyperlink" Id="rId27" Target="https://www.planalto.gov.br/ccivil_03/constituicao/constituicao.htm" TargetMode="External" /><Relationship Type="http://schemas.openxmlformats.org/officeDocument/2006/relationships/hyperlink" Id="rId32" Target="https://www.planalto.gov.br/ccivil_03/leis/l9784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eeplink.rechtspraak.nl/uitspraak?id=ECLI:NL:RBDHA:2020:1878" TargetMode="External" /><Relationship Type="http://schemas.openxmlformats.org/officeDocument/2006/relationships/hyperlink" Id="rId38" Target="https://periodicos.univali.br/index.php/nej/article/view/18326" TargetMode="External" /><Relationship Type="http://schemas.openxmlformats.org/officeDocument/2006/relationships/hyperlink" Id="rId28" Target="https://www.gov.br/acessoainformacao/pt-br/falabr/visao-geral/falabr/" TargetMode="External" /><Relationship Type="http://schemas.openxmlformats.org/officeDocument/2006/relationships/hyperlink" Id="rId36" Target="https://www.gov.br/inss/pt-br/centrais-de-conteudo/legislacao/instrucao-normativa/2022" TargetMode="External" /><Relationship Type="http://schemas.openxmlformats.org/officeDocument/2006/relationships/hyperlink" Id="rId30" Target="https://www.gov.br/mds/pt-br/acoes-e-programas/cadastro-unico/informes/2025/informe_cadastro_unico_n_69" TargetMode="External" /><Relationship Type="http://schemas.openxmlformats.org/officeDocument/2006/relationships/hyperlink" Id="rId29" Target="https://www.gov.br/pt-br/noticias/assistencia-social/2020/08/governo-habilita-novo-canal-para-contestacao-do-auxilio" TargetMode="External" /><Relationship Type="http://schemas.openxmlformats.org/officeDocument/2006/relationships/hyperlink" Id="rId31" Target="https://www.gov.br/secretariageral/pt-br/termo-de-uso-e-politica-de-privacidade/termo-de-uso/termo-de-uso/" TargetMode="External" /><Relationship Type="http://schemas.openxmlformats.org/officeDocument/2006/relationships/hyperlink" Id="rId33" Target="https://www.planalto.gov.br/ccivil_03/_ato2011-2014/2011/lei/l12527.htm" TargetMode="External" /><Relationship Type="http://schemas.openxmlformats.org/officeDocument/2006/relationships/hyperlink" Id="rId34" Target="https://www.planalto.gov.br/ccivil_03/_ato2015-2018/2018/lei/l13709.htm" TargetMode="External" /><Relationship Type="http://schemas.openxmlformats.org/officeDocument/2006/relationships/hyperlink" Id="rId35" Target="https://www.planalto.gov.br/ccivil_03/_ato2019-2022/2021/lei/l14129.htm" TargetMode="External" /><Relationship Type="http://schemas.openxmlformats.org/officeDocument/2006/relationships/hyperlink" Id="rId27" Target="https://www.planalto.gov.br/ccivil_03/constituicao/constituicao.htm" TargetMode="External" /><Relationship Type="http://schemas.openxmlformats.org/officeDocument/2006/relationships/hyperlink" Id="rId32" Target="https://www.planalto.gov.br/ccivil_03/leis/l9784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Poder-Dever ao Dever-Poder: o Conselho de Contestação Algorítmica como Arquitetura de Devido Processo Legal na Administração Pública 4.0</dc:title>
  <dc:creator/>
  <dc:language>pt-BR</dc:language>
  <cp:keywords>Administração Pública digital, contestabilidade algorítmica, devido processo legal, explicabilidade, LGPD, inteligência artificial no setor público</cp:keywords>
  <dcterms:created xsi:type="dcterms:W3CDTF">2026-07-13T08:31:45Z</dcterms:created>
  <dcterms:modified xsi:type="dcterms:W3CDTF">2026-07-13T08:31:45Z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artigo sustenta que, no contexto da Administração Pública algorítmica, o devido processo legal — garantido pelo artigo 5º, LV, da Constituição Federal e densificado pela Lei nº 9.784/1999 — exige a integração de quatro eixos: contraditório prévio, motivação jurídica qualificada (que pressupõe, mas não se reduz a, explicabilidade técnica), governança institucional com transparência qualificada e proteção de dados pessoais. A ausência de qualquer um desses eixos vicia a decisão automatizada. O diagnóstico estrutural que fundamenta essa tese é o de que o Estado brasileiro ocupa simultaneamente a posição de regulador do uso de algoritmos e de maior usuário desses mesmos algoritmos — uma dupla posição que este artigo denomina “Do Poder-Dever ao Dever-Poder” e que gera incentivos estruturais à subaplicação das normas que o próprio Estado edita. A partir da análise de quatro estudos especializados em direito digital, o artigo ilustra a tese da integração por meio do GovLens/DueProcess.AI, protótipo acadêmico cujo núcleo é o Conselho de Contestação Algorítmica, sistema de quatro personas jurídico-técnicas que emitem pareceres cruzados e produzem síntese fundamentada. O caso-âncora é o indeferimento de aposentadoria rural pelo INSS, contrastado analogicamente com o precedente do Sistema de Risco Indicativo de Fraude (SyRI) da Corte Distrital de Haia (2020). O artigo propõe duas contribuições normativas autorais: a literacia algorítmica como condição material de eficácia do contraditório e o princípio da notícia humana para decisões adversas dirigidas a pessoas vulneráveis.</vt:lpwstr>
  </property>
  <property fmtid="{D5CDD505-2E9C-101B-9397-08002B2CF9AE}" pid="3" name="citation_style">
    <vt:lpwstr>ABNT NBR 6023:2025</vt:lpwstr>
  </property>
  <property fmtid="{D5CDD505-2E9C-101B-9397-08002B2CF9AE}" pid="4" name="date">
    <vt:lpwstr>julho 2026</vt:lpwstr>
  </property>
</Properties>
</file>