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Iconocracia: Alegoria Feminina na História da Cultura Jurídica (Séculos XIX–XX)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X05e145a154aec21567d40671fa555d1f1046cd2"/>
    <w:p>
      <w:pPr>
        <w:pStyle w:val="Heading1"/>
      </w:pPr>
      <w:r>
        <w:rPr>
          <w:rStyle w:val="SectionNumber"/>
        </w:rPr>
        <w:t xml:space="preserve">1</w:t>
      </w:r>
      <w:r>
        <w:tab/>
      </w:r>
      <w:r>
        <w:t xml:space="preserve">Introdução — Feminilidade de Estado e a Constituição Estética da Autoridade</w:t>
      </w:r>
    </w:p>
    <w:p>
      <w:pPr>
        <w:pStyle w:val="BlockText"/>
      </w:pPr>
      <w:r>
        <w:rPr>
          <w:b/>
          <w:bCs/>
        </w:rPr>
        <w:t xml:space="preserve">Fonte revisada:</w:t>
      </w:r>
      <w:r>
        <w:t xml:space="preserve"> </w:t>
      </w:r>
      <w:r>
        <w:rPr>
          <w:rStyle w:val="VerbatimChar"/>
        </w:rPr>
        <w:t xml:space="preserve">tese/manuscrito/Introducao_rev.md</w:t>
      </w:r>
      <w:r>
        <w:t xml:space="preserve"> </w:t>
      </w:r>
      <w:r>
        <w:rPr>
          <w:b/>
          <w:bCs/>
        </w:rPr>
        <w:t xml:space="preserve">Pendências:</w:t>
      </w:r>
      <w:r>
        <w:t xml:space="preserve"> </w:t>
      </w:r>
      <w:r>
        <w:t xml:space="preserve">âncoras a inserir (arquitetura forense; Weber;</w:t>
      </w:r>
      <w:r>
        <w:t xml:space="preserve"> </w:t>
      </w:r>
      <w:r>
        <w:t xml:space="preserve">“pintura de alma”</w:t>
      </w:r>
      <w:r>
        <w:t xml:space="preserve">); data de Mondzain a verificar.</w:t>
      </w:r>
    </w:p>
    <w:bookmarkStart w:id="20" w:name="i.1-o-direito-como-cultura-visual"/>
    <w:p>
      <w:pPr>
        <w:pStyle w:val="Heading2"/>
      </w:pPr>
      <w:r>
        <w:rPr>
          <w:rStyle w:val="SectionNumber"/>
        </w:rPr>
        <w:t xml:space="preserve">1.1</w:t>
      </w:r>
      <w:r>
        <w:tab/>
      </w:r>
      <w:r>
        <w:t xml:space="preserve">I.1 — O Direito como cultura visual</w:t>
      </w:r>
    </w:p>
    <w:bookmarkEnd w:id="20"/>
    <w:bookmarkStart w:id="21" w:name="i.2-o-paradoxo-central"/>
    <w:p>
      <w:pPr>
        <w:pStyle w:val="Heading2"/>
      </w:pPr>
      <w:r>
        <w:rPr>
          <w:rStyle w:val="SectionNumber"/>
        </w:rPr>
        <w:t xml:space="preserve">1.2</w:t>
      </w:r>
      <w:r>
        <w:tab/>
      </w:r>
      <w:r>
        <w:t xml:space="preserve">I.2 — O paradoxo central</w:t>
      </w:r>
    </w:p>
    <w:bookmarkEnd w:id="21"/>
    <w:bookmarkStart w:id="22" w:name="X6f4b17d1852d8879ce01ee0656cd59fa5bc698c"/>
    <w:p>
      <w:pPr>
        <w:pStyle w:val="Heading2"/>
      </w:pPr>
      <w:r>
        <w:rPr>
          <w:rStyle w:val="SectionNumber"/>
        </w:rPr>
        <w:t xml:space="preserve">1.3</w:t>
      </w:r>
      <w:r>
        <w:tab/>
      </w:r>
      <w:r>
        <w:t xml:space="preserve">I.3 — Hipótese e tese central: o Contrato Sexual Visual</w:t>
      </w:r>
    </w:p>
    <w:p>
      <w:pPr>
        <w:pStyle w:val="FirstParagraph"/>
      </w:pPr>
      <w:r>
        <w:t xml:space="preserve">A hipótese central desta tese é que a alegoria feminina estatal, na cultura jurídica ocidental dos séculos XIX e XX, funciona como dispositivo visual de um contrato simbólico que reconhece o feminino enquanto perpetua a exclusão cívica das mulheres. A esse dispositivo chama-se, aqui,</w:t>
      </w:r>
      <w:r>
        <w:t xml:space="preserve"> </w:t>
      </w:r>
      <w:r>
        <w:rPr>
          <w:b/>
          <w:bCs/>
        </w:rPr>
        <w:t xml:space="preserve">Contrato Sexual Visual</w:t>
      </w:r>
      <w:r>
        <w:t xml:space="preserve"> </w:t>
      </w:r>
      <w:r>
        <w:t xml:space="preserve">— nome que prolonga, no plano iconográfico, a tese de Carole Pateman (1988) sobre o contrato sexual que funda a modernidade política. A extensão visual, contudo, não está em Pateman: é formulação autoral desta tese, sustentada pelo cruzamento entre Goodrich, Mondzain (2002) e a evidência empírica reunida em 145 peças do corpus iconocrático.</w:t>
      </w:r>
    </w:p>
    <w:p>
      <w:pPr>
        <w:pStyle w:val="BodyText"/>
      </w:pPr>
      <w:r>
        <w:t xml:space="preserve">Em torno do Contrato Sexual Visual, a tese formula quatro conceitos originais que, juntos, constituem sua contribuição teórica. O primeiro é o próprio</w:t>
      </w:r>
      <w:r>
        <w:t xml:space="preserve"> </w:t>
      </w:r>
      <w:r>
        <w:rPr>
          <w:b/>
          <w:bCs/>
        </w:rPr>
        <w:t xml:space="preserve">Contrato Sexual Visual</w:t>
      </w:r>
      <w:r>
        <w:t xml:space="preserve">, objeto central do Capítulo 1. O segundo, a</w:t>
      </w:r>
      <w:r>
        <w:t xml:space="preserve"> </w:t>
      </w:r>
      <w:r>
        <w:rPr>
          <w:b/>
          <w:bCs/>
        </w:rPr>
        <w:t xml:space="preserve">Feminilidade de Estado</w:t>
      </w:r>
      <w:r>
        <w:t xml:space="preserve">, é o efeito subjetivo dessa economia: o corpo alegórico é esvaziado de agência para se tornar infraestrutura de afeto público (Cap. 2). O terceiro, o</w:t>
      </w:r>
      <w:r>
        <w:t xml:space="preserve"> </w:t>
      </w:r>
      <w:r>
        <w:rPr>
          <w:b/>
          <w:bCs/>
        </w:rPr>
        <w:t xml:space="preserve">Contrato Racial Visual</w:t>
      </w:r>
      <w:r>
        <w:t xml:space="preserve">, identifica a branquitude constitutiva da alegoria dita</w:t>
      </w:r>
      <w:r>
        <w:t xml:space="preserve"> </w:t>
      </w:r>
      <w:r>
        <w:t xml:space="preserve">“universal”</w:t>
      </w:r>
      <w:r>
        <w:t xml:space="preserve"> </w:t>
      </w:r>
      <w:r>
        <w:t xml:space="preserve">e a transferência transatlântica de modelos neoclássicos, instalando um padrão racializado nos repertórios visuais pós-coloniais (Cap. 3). O quarto, a</w:t>
      </w:r>
      <w:r>
        <w:t xml:space="preserve"> </w:t>
      </w:r>
      <w:r>
        <w:rPr>
          <w:b/>
          <w:bCs/>
        </w:rPr>
        <w:t xml:space="preserve">Purificação Clássica</w:t>
      </w:r>
      <w:r>
        <w:t xml:space="preserve">, é o mecanismo formal que produz os três efeitos: operação de extração do feminino histórico para fixá-lo no eterno alegórico, ancorada na matriz jurídica de Kantorowicz (1957), Legendre (1994) e Hespanha (2005), e mensurada empiricamente pelos dez indicadores ordinais de endurecimento (Cap. 5.2). Os três primeiros descrevem efeitos políticos, jurídicos e raciais; o quarto descreve a operação que os produz.</w:t>
      </w:r>
    </w:p>
    <w:bookmarkEnd w:id="22"/>
    <w:bookmarkStart w:id="23" w:name="i.4-perguntas-e-objetivos"/>
    <w:p>
      <w:pPr>
        <w:pStyle w:val="Heading2"/>
      </w:pPr>
      <w:r>
        <w:rPr>
          <w:rStyle w:val="SectionNumber"/>
        </w:rPr>
        <w:t xml:space="preserve">1.4</w:t>
      </w:r>
      <w:r>
        <w:tab/>
      </w:r>
      <w:r>
        <w:t xml:space="preserve">I.4 — Perguntas e objetivos</w:t>
      </w:r>
    </w:p>
    <w:bookmarkEnd w:id="23"/>
    <w:bookmarkStart w:id="24" w:name="i.5-justificativa"/>
    <w:p>
      <w:pPr>
        <w:pStyle w:val="Heading2"/>
      </w:pPr>
      <w:r>
        <w:rPr>
          <w:rStyle w:val="SectionNumber"/>
        </w:rPr>
        <w:t xml:space="preserve">1.5</w:t>
      </w:r>
      <w:r>
        <w:tab/>
      </w:r>
      <w:r>
        <w:t xml:space="preserve">I.5 — Justificativa</w:t>
      </w:r>
    </w:p>
    <w:bookmarkEnd w:id="24"/>
    <w:bookmarkStart w:id="25" w:name="i.6-delimitação"/>
    <w:p>
      <w:pPr>
        <w:pStyle w:val="Heading2"/>
      </w:pPr>
      <w:r>
        <w:rPr>
          <w:rStyle w:val="SectionNumber"/>
        </w:rPr>
        <w:t xml:space="preserve">1.6</w:t>
      </w:r>
      <w:r>
        <w:tab/>
      </w:r>
      <w:r>
        <w:t xml:space="preserve">I.6 — Delimitação</w:t>
      </w:r>
    </w:p>
    <w:bookmarkEnd w:id="25"/>
    <w:bookmarkStart w:id="26" w:name="i.7-mapa-de-leitura"/>
    <w:p>
      <w:pPr>
        <w:pStyle w:val="Heading2"/>
      </w:pPr>
      <w:r>
        <w:rPr>
          <w:rStyle w:val="SectionNumber"/>
        </w:rPr>
        <w:t xml:space="preserve">1.7</w:t>
      </w:r>
      <w:r>
        <w:tab/>
      </w:r>
      <w:r>
        <w:t xml:space="preserve">I.7 — Mapa de leitura</w:t>
      </w:r>
    </w:p>
    <w:p>
      <w:pPr>
        <w:pStyle w:val="FirstParagraph"/>
      </w:pPr>
      <w:r>
        <w:t xml:space="preserve">A arquitetura de quatro conceitos originais organiza a travessia dos nove capítulos. A</w:t>
      </w:r>
      <w:r>
        <w:t xml:space="preserve"> </w:t>
      </w:r>
      <w:r>
        <w:rPr>
          <w:b/>
          <w:bCs/>
        </w:rPr>
        <w:t xml:space="preserve">Parte I</w:t>
      </w:r>
      <w:r>
        <w:t xml:space="preserve"> </w:t>
      </w:r>
      <w:r>
        <w:t xml:space="preserve">aloja o</w:t>
      </w:r>
      <w:r>
        <w:t xml:space="preserve"> </w:t>
      </w:r>
      <w:r>
        <w:rPr>
          <w:b/>
          <w:bCs/>
        </w:rPr>
        <w:t xml:space="preserve">Contrato Sexual Visual</w:t>
      </w:r>
      <w:r>
        <w:t xml:space="preserve"> </w:t>
      </w:r>
      <w:r>
        <w:t xml:space="preserve">como chave analítica do Capítulo 1. A</w:t>
      </w:r>
      <w:r>
        <w:t xml:space="preserve"> </w:t>
      </w:r>
      <w:r>
        <w:rPr>
          <w:b/>
          <w:bCs/>
        </w:rPr>
        <w:t xml:space="preserve">Parte II</w:t>
      </w:r>
      <w:r>
        <w:t xml:space="preserve"> </w:t>
      </w:r>
      <w:r>
        <w:t xml:space="preserve">desdobra a</w:t>
      </w:r>
      <w:r>
        <w:t xml:space="preserve"> </w:t>
      </w:r>
      <w:r>
        <w:rPr>
          <w:b/>
          <w:bCs/>
        </w:rPr>
        <w:t xml:space="preserve">Feminilidade de Estado</w:t>
      </w:r>
      <w:r>
        <w:t xml:space="preserve"> </w:t>
      </w:r>
      <w:r>
        <w:t xml:space="preserve">no Capítulo 2 e o</w:t>
      </w:r>
      <w:r>
        <w:t xml:space="preserve"> </w:t>
      </w:r>
      <w:r>
        <w:rPr>
          <w:b/>
          <w:bCs/>
        </w:rPr>
        <w:t xml:space="preserve">Contrato Racial Visual</w:t>
      </w:r>
      <w:r>
        <w:t xml:space="preserve"> </w:t>
      </w:r>
      <w:r>
        <w:t xml:space="preserve">no Capítulo 3, expondo, respectivamente, o efeito subjetivo e o efeito racial da economia iconocrática. A</w:t>
      </w:r>
      <w:r>
        <w:t xml:space="preserve"> </w:t>
      </w:r>
      <w:r>
        <w:rPr>
          <w:b/>
          <w:bCs/>
        </w:rPr>
        <w:t xml:space="preserve">Parte III</w:t>
      </w:r>
      <w:r>
        <w:t xml:space="preserve"> </w:t>
      </w:r>
      <w:r>
        <w:t xml:space="preserve">apresenta o corpus, a codificação e a operacionalização da</w:t>
      </w:r>
      <w:r>
        <w:t xml:space="preserve"> </w:t>
      </w:r>
      <w:r>
        <w:rPr>
          <w:b/>
          <w:bCs/>
        </w:rPr>
        <w:t xml:space="preserve">Purificação Clássica</w:t>
      </w:r>
      <w:r>
        <w:t xml:space="preserve"> </w:t>
      </w:r>
      <w:r>
        <w:t xml:space="preserve">em dez indicadores de endurecimento (Cap. 5.2), seguidas dos resultados estatísticos nos Capítulos 6 e 7. A</w:t>
      </w:r>
      <w:r>
        <w:t xml:space="preserve"> </w:t>
      </w:r>
      <w:r>
        <w:rPr>
          <w:b/>
          <w:bCs/>
        </w:rPr>
        <w:t xml:space="preserve">Parte IV — Atlas</w:t>
      </w:r>
      <w:r>
        <w:t xml:space="preserve"> </w:t>
      </w:r>
      <w:r>
        <w:t xml:space="preserve">organiza, nos Capítulos 8 e 9, a síntese visual em oito painéis temáticos. A Conclusão retoma os quatro conceitos à luz dos achados empíricos e delineia as fronteiras deste atlas — e os atlas que ficam por fazer.</w:t>
      </w:r>
    </w:p>
    <w:bookmarkEnd w:id="26"/>
    <w:bookmarkEnd w:id="27"/>
    <w:bookmarkStart w:id="32" w:name="X7bd43022f2a0ff16abce910ae484a556d90a9de"/>
    <w:p>
      <w:pPr>
        <w:pStyle w:val="Heading1"/>
      </w:pPr>
      <w:r>
        <w:rPr>
          <w:rStyle w:val="SectionNumber"/>
        </w:rPr>
        <w:t xml:space="preserve">2</w:t>
      </w:r>
      <w:r>
        <w:tab/>
      </w:r>
      <w:r>
        <w:t xml:space="preserve">Capítulo 1 — O Contrato Sexual e a Imagem: de Pateman à Visiocracia</w:t>
      </w:r>
    </w:p>
    <w:p>
      <w:pPr>
        <w:pStyle w:val="BlockText"/>
      </w:pPr>
      <w:r>
        <w:rPr>
          <w:b/>
          <w:bCs/>
        </w:rPr>
        <w:t xml:space="preserve">Fonte revisada:</w:t>
      </w:r>
      <w:r>
        <w:t xml:space="preserve"> </w:t>
      </w:r>
      <w:r>
        <w:rPr>
          <w:rStyle w:val="VerbatimChar"/>
        </w:rPr>
        <w:t xml:space="preserve">tese/manuscrito/Capitulo1_rev.md</w:t>
      </w:r>
      <w:r>
        <w:t xml:space="preserve"> </w:t>
      </w:r>
      <w:r>
        <w:rPr>
          <w:b/>
          <w:bCs/>
        </w:rPr>
        <w:t xml:space="preserve">Pendências:</w:t>
      </w:r>
      <w:r>
        <w:t xml:space="preserve"> </w:t>
      </w:r>
      <w:r>
        <w:t xml:space="preserve">transição §1.2→§1.3; âncora perucas/bancos/cerimônias; verificar Goodrich-Mondzain</w:t>
      </w:r>
      <w:r>
        <w:t xml:space="preserve"> </w:t>
      </w:r>
      <w:r>
        <w:t xml:space="preserve">“Imago Decidendi”</w:t>
      </w:r>
      <w:r>
        <w:t xml:space="preserve"> </w:t>
      </w:r>
      <w:r>
        <w:t xml:space="preserve">2017.</w:t>
      </w:r>
    </w:p>
    <w:bookmarkStart w:id="28" w:name="X541566404a4fbd186d1e28ef688045db59cb933"/>
    <w:p>
      <w:pPr>
        <w:pStyle w:val="Heading2"/>
      </w:pPr>
      <w:r>
        <w:rPr>
          <w:rStyle w:val="SectionNumber"/>
        </w:rPr>
        <w:t xml:space="preserve">2.1</w:t>
      </w:r>
      <w:r>
        <w:tab/>
      </w:r>
      <w:r>
        <w:t xml:space="preserve">1.1 — O contrato sexual como fundação silenciada</w:t>
      </w:r>
    </w:p>
    <w:bookmarkEnd w:id="28"/>
    <w:bookmarkStart w:id="29" w:name="X59d84a731d3987f0ed20963b4089a0056bad819"/>
    <w:p>
      <w:pPr>
        <w:pStyle w:val="Heading2"/>
      </w:pPr>
      <w:r>
        <w:rPr>
          <w:rStyle w:val="SectionNumber"/>
        </w:rPr>
        <w:t xml:space="preserve">2.2</w:t>
      </w:r>
      <w:r>
        <w:tab/>
      </w:r>
      <w:r>
        <w:t xml:space="preserve">1.2 — O ponto cego visual: o que Pateman não viu</w:t>
      </w:r>
    </w:p>
    <w:bookmarkEnd w:id="29"/>
    <w:bookmarkStart w:id="30" w:name="X26e2eb6cf5dcfac2179f2ce6d03c63591fb9d55"/>
    <w:p>
      <w:pPr>
        <w:pStyle w:val="Heading2"/>
      </w:pPr>
      <w:r>
        <w:rPr>
          <w:rStyle w:val="SectionNumber"/>
        </w:rPr>
        <w:t xml:space="preserve">2.3</w:t>
      </w:r>
      <w:r>
        <w:tab/>
      </w:r>
      <w:r>
        <w:t xml:space="preserve">1.3 — A visiocracia de Goodrich: o direito como regime de imagens</w:t>
      </w:r>
    </w:p>
    <w:bookmarkEnd w:id="30"/>
    <w:bookmarkStart w:id="31" w:name="proposição-o-contrato-sexual-visual"/>
    <w:p>
      <w:pPr>
        <w:pStyle w:val="Heading2"/>
      </w:pPr>
      <w:r>
        <w:rPr>
          <w:rStyle w:val="SectionNumber"/>
        </w:rPr>
        <w:t xml:space="preserve">2.4</w:t>
      </w:r>
      <w:r>
        <w:tab/>
      </w:r>
      <w:r>
        <w:t xml:space="preserve">1.4 — Proposição: o Contrato Sexual Visual</w:t>
      </w:r>
    </w:p>
    <w:bookmarkEnd w:id="31"/>
    <w:bookmarkEnd w:id="32"/>
    <w:bookmarkStart w:id="37" w:name="X127703a619e935e9046014d5d8a4c5b763f726e"/>
    <w:p>
      <w:pPr>
        <w:pStyle w:val="Heading1"/>
      </w:pPr>
      <w:r>
        <w:rPr>
          <w:rStyle w:val="SectionNumber"/>
        </w:rPr>
        <w:t xml:space="preserve">3</w:t>
      </w:r>
      <w:r>
        <w:tab/>
      </w:r>
      <w:r>
        <w:t xml:space="preserve">Capítulo 2 — Iconocracia: a Economia Política da Imagem Soberana</w:t>
      </w:r>
    </w:p>
    <w:p>
      <w:pPr>
        <w:pStyle w:val="FirstParagraph"/>
      </w:pPr>
      <w:r>
        <w:t xml:space="preserve">O capítulo abre com uma travessia sensorial: o mármore frio da Hagia Sophia devolve a luz azulada que se desprende dos mosaicos e chega filtrada até o leitor como se fosse poeira litúrgica. A cena não é mero ornamento. Ela evidencia que a autoridade política depende de um regime ótico anterior à lei escrita. Antes que as constituições fossem promulgadas, os Estados aprenderam a domesticar a visão para garantir obediência (GOODRICH, 2017). A hipótese central do capítulo consiste em demonstrar que o Contrato Sexual Visual opera dentro dessa economia de imagens, instaurando um intercâmbio desigual entre corpo feminino e soberania.</w:t>
      </w:r>
    </w:p>
    <w:p>
      <w:pPr>
        <w:pStyle w:val="BodyText"/>
      </w:pPr>
      <w:r>
        <w:t xml:space="preserve">Marie-José Mondzain chamará esse arranjo de economia icônica: só há governo porque existe um balanço entre o visível permitido e o visível proibido (MONDZAIN, 2002). A iconocracia jurídica que interessa à tese é herdeira direta desse cálculo bizantino. Ao deslocar o corpo feminino para a posição de imagem estatal, o Estado passa a administrar afetos como administra tributos. Nesta parte, reconstituo os quatro componentes dessa economia — origem bizantina, Feminilidade de Estado, regimes iconocráticos e Pathosformel jurídico — preparando o terreno para a análise metodológica e empírica.</w:t>
      </w:r>
    </w:p>
    <w:p>
      <w:pPr>
        <w:pStyle w:val="BodyText"/>
      </w:pPr>
      <w:r>
        <w:t xml:space="preserve">A Feminilidade de Estado, que este capítulo formula em §2.2, é um dos quatro conceitos originais que estruturam a contribuição teórica desta tese. O primeiro,</w:t>
      </w:r>
      <w:r>
        <w:t xml:space="preserve"> </w:t>
      </w:r>
      <w:r>
        <w:rPr>
          <w:b/>
          <w:bCs/>
        </w:rPr>
        <w:t xml:space="preserve">Contrato Sexual Visual</w:t>
      </w:r>
      <w:r>
        <w:t xml:space="preserve"> </w:t>
      </w:r>
      <w:r>
        <w:t xml:space="preserve">(Cap. 1), designa a dimensão visual do contrato sexual teorizado por Pateman: a projeção iconográfica da fraternidade masculina em dispositivos estatais que reconhecem simbolicamente o feminino enquanto perpetuam a exclusão cívica das mulheres. O segundo, a</w:t>
      </w:r>
      <w:r>
        <w:t xml:space="preserve"> </w:t>
      </w:r>
      <w:r>
        <w:rPr>
          <w:b/>
          <w:bCs/>
        </w:rPr>
        <w:t xml:space="preserve">Feminilidade de Estado</w:t>
      </w:r>
      <w:r>
        <w:t xml:space="preserve">, descreve o efeito subjetivo dessa economia sobre o corpo alegórico — esvaziado de subjetividade para tornar-se infraestrutura de afeto público. O terceiro,</w:t>
      </w:r>
      <w:r>
        <w:t xml:space="preserve"> </w:t>
      </w:r>
      <w:r>
        <w:rPr>
          <w:b/>
          <w:bCs/>
        </w:rPr>
        <w:t xml:space="preserve">Contrato Racial Visual</w:t>
      </w:r>
      <w:r>
        <w:t xml:space="preserve"> </w:t>
      </w:r>
      <w:r>
        <w:t xml:space="preserve">(Cap. 3), identifica a branquitude constitutiva da alegoria</w:t>
      </w:r>
      <w:r>
        <w:t xml:space="preserve"> </w:t>
      </w:r>
      <w:r>
        <w:t xml:space="preserve">“universal”</w:t>
      </w:r>
      <w:r>
        <w:t xml:space="preserve"> </w:t>
      </w:r>
      <w:r>
        <w:t xml:space="preserve">e a transferência transatlântica de modelos neoclássicos que instala um padrão racializado nos repertórios visuais pós-coloniais. O quarto,</w:t>
      </w:r>
      <w:r>
        <w:t xml:space="preserve"> </w:t>
      </w:r>
      <w:r>
        <w:rPr>
          <w:b/>
          <w:bCs/>
        </w:rPr>
        <w:t xml:space="preserve">Purificação Clássica</w:t>
      </w:r>
      <w:r>
        <w:t xml:space="preserve"> </w:t>
      </w:r>
      <w:r>
        <w:t xml:space="preserve">(Cap. 5.2), é o mecanismo formal mensurável que torna os três efeitos acessíveis à comparação iconométrica, operacionalizado nos dez indicadores ordinais de endurecimento. Os três primeiros conceitos descrevem efeitos políticos, jurídicos e raciais; o quarto descreve a operação que os produz. A presente formulação da Feminilidade de Estado deve ser lida, portanto, no interior dessa arquitetura quadripartite.</w:t>
      </w:r>
    </w:p>
    <w:bookmarkStart w:id="33" w:name="X3737ad691518a7abb8e71ab6f0913c051d9e64a"/>
    <w:p>
      <w:pPr>
        <w:pStyle w:val="Heading2"/>
      </w:pPr>
      <w:r>
        <w:rPr>
          <w:rStyle w:val="SectionNumber"/>
        </w:rPr>
        <w:t xml:space="preserve">3.1</w:t>
      </w:r>
      <w:r>
        <w:tab/>
      </w:r>
      <w:r>
        <w:t xml:space="preserve">2.1 — Mondzain e a economia do ícone: de Bizâncio ao Estado moderno</w:t>
      </w:r>
    </w:p>
    <w:p>
      <w:pPr>
        <w:pStyle w:val="FirstParagraph"/>
      </w:pPr>
      <w:r>
        <w:t xml:space="preserve">Quando o bispo germânico Nicéforo redacta sua defesa dos ícones no século IX, descreve uma plateia que alterna lágrimas e temor diante da figura de Cristo entronizado. Mondzain interpreta essa descrição como o momento em que a imagem deixa de ser objeto devocional e passa a ser tecnologia de governo, pois captura o olhar coletivo e o converte em adesão (MONDZAIN, 2002). A querela iconoclasta, longe de ter sido uma discussão teológica, inaugurou o modelo de gestão das aparências que será replicado pelos Estados nacionais. Em Bizâncio, a imagem legitima o imperador ao estampar sua autoridade num suporte que não conhece fronteiras geográficas. Na modernidade jurídica, o mesmo mecanismo se replica quando a alegoria feminina ocupa moedas, selos e tímpanos forenses.</w:t>
      </w:r>
    </w:p>
    <w:p>
      <w:pPr>
        <w:pStyle w:val="BodyText"/>
      </w:pPr>
      <w:r>
        <w:t xml:space="preserve">Essa genealogia importa porque a iconocracia jurídica depende de um equilíbrio delicado entre presença e distância. Mondzain insiste que a imagem eficaz mantém um hiato entre o visível e o invisível para preservar o desejo político do espectador. O corpo feminino alegórico amplifica esse hiato: a figura está presente para oferecer consolo estético, porém permanece distante o suficiente para impedir qualquer reivindicação de cidadania. É justamente nesse intervalo que o Contrato Sexual Visual se instala. O capítulo demonstrará que, ao se apropriar da economia icônica bizantina, os Estados modernos produziram uma Feminilidade de Estado branca, silenciosa e juridicamente desincorporada, apta a sustentar as exclusões analisadas nos capítulos seguintes.</w:t>
      </w:r>
    </w:p>
    <w:bookmarkEnd w:id="33"/>
    <w:bookmarkStart w:id="34" w:name="X1cdedaa13899671e526c1834a0bd31f07d8a2d1"/>
    <w:p>
      <w:pPr>
        <w:pStyle w:val="Heading2"/>
      </w:pPr>
      <w:r>
        <w:rPr>
          <w:rStyle w:val="SectionNumber"/>
        </w:rPr>
        <w:t xml:space="preserve">3.2</w:t>
      </w:r>
      <w:r>
        <w:tab/>
      </w:r>
      <w:r>
        <w:t xml:space="preserve">2.2 — A Feminilidade de Estado: o corpo feminino como recipiente vazio</w:t>
      </w:r>
    </w:p>
    <w:p>
      <w:pPr>
        <w:pStyle w:val="FirstParagraph"/>
      </w:pPr>
      <w:r>
        <w:t xml:space="preserve">Feminilidade de Estado é o nome que dou ao processo de fabricação de um corpo feminino apto a transportar o poder masculino sem jamais revendicá-lo. Ele se constrói por esvaziamento: retira-se a historicidade do corpo concreto e injeta-se em seu lugar uma pureza clássica, branca, imóvel. Legendre chamaria esse movimento de produção de um</w:t>
      </w:r>
      <w:r>
        <w:t xml:space="preserve"> </w:t>
      </w:r>
      <w:r>
        <w:t xml:space="preserve">“corpo sem palavras”</w:t>
      </w:r>
      <w:r>
        <w:t xml:space="preserve"> </w:t>
      </w:r>
      <w:r>
        <w:t xml:space="preserve">que fala apenas a língua do soberano (LEGENDRE, 1994). Nos suportes jurídicos, essa feminilidade institucionalizada oferece a promessa de proximidade — afinal, seu rosto sorri, sua pele parece tátil — ao mesmo tempo em que impõe distância, pois a figura não possui órgãos de fala, nem repertório gestual próprio. A economia icônica administra esse vazio como uma conta bancária: quanto mais desindividualizada a figura, maior a sua liquidez simbólica. É por isso que as alegorias conseguem atravessar oceanos e regimes políticos sem alterar a sua gramática corporal.</w:t>
      </w:r>
    </w:p>
    <w:p>
      <w:pPr>
        <w:pStyle w:val="BodyText"/>
      </w:pPr>
      <w:r>
        <w:t xml:space="preserve">Esse esvaziamento serve a uma engenharia jurídica específica. Ao colocar a mulher como imagem, o Estado cria um circuito de reconhecimento que não depende de direitos positivos. O cidadão olha para a moeda e identifica a pátria no rosto feminino, mas essa identificação não gera reciprocidade jurídica. A Feminilidade de Estado transforma o corpo em infraestrutura de afeto público. Quando o Estado Novo brasileiro manda erigir monumentos com a República em mármore branco, o que está em jogo é a manutenção desse circuito, ainda que as mulheres sigam excluídas das arenas decisórias. A economia política da imagem soberana, portanto, não é apenas iconográfica. É também econômica: gere scarcidades, prioriza suportes, decide que tipo de mulher poderá emprestar seu corpo à lei.</w:t>
      </w:r>
    </w:p>
    <w:p>
      <w:pPr>
        <w:pStyle w:val="BodyText"/>
      </w:pPr>
      <w:r>
        <w:t xml:space="preserve">A Feminilidade de Estado, tal como aqui formulada, não emerge de uma única matriz teórica. Ela se sustenta sobre uma dupla raiz genealógica que precisa ser explicitada. De um lado, Pierre Legendre fornece o paterno-totêmico: o juiz totêmico da antropologia dogmática inscreve no corpo alegórico a operação que produz o</w:t>
      </w:r>
      <w:r>
        <w:t xml:space="preserve"> </w:t>
      </w:r>
      <w:r>
        <w:t xml:space="preserve">“corpo sem palavras”</w:t>
      </w:r>
      <w:r>
        <w:t xml:space="preserve"> </w:t>
      </w:r>
      <w:r>
        <w:t xml:space="preserve">como função institucional, capturando o desejo do sujeito por intermédio de uma imagem que ocupa o lugar estrutural do Outro absoluto (LEGENDRE, 1994). De outro lado, Anne Carson oferece a operação simbólica complementar: a hystéra, lida desde a medicina hipocrática e desde a pólis clássica, é o órgão errante que organiza a percepção do feminino como instabilidade fluida, suscetível de desordens que ameaçam a ordem masculina (CARSON, 2023). A Feminilidade de Estado opera, portanto, na junção exata entre essas duas tradições: domestica a instabilidade carsoniana — o útero móvel, a matéria dúctil, a mulher como receptáculo platônico — convertendo-a, por meio da codificação totêmica legendrense, em superfície imóvel apta a sustentar a soberania. O que o totem fixa, a hystéra ameaça desestabilizar; a alegoria estatal resolve a tensão pela via plástica do mármore e pela via simbólica do esvaziamento.</w:t>
      </w:r>
    </w:p>
    <w:bookmarkEnd w:id="34"/>
    <w:bookmarkStart w:id="35" w:name="X4a893eee31c32edf8a4e41242ec72e7527713cb"/>
    <w:p>
      <w:pPr>
        <w:pStyle w:val="Heading2"/>
      </w:pPr>
      <w:r>
        <w:rPr>
          <w:rStyle w:val="SectionNumber"/>
        </w:rPr>
        <w:t xml:space="preserve">3.3</w:t>
      </w:r>
      <w:r>
        <w:tab/>
      </w:r>
      <w:r>
        <w:t xml:space="preserve">2.3 — Regimes iconocráticos: Fundacional, Normativo, Militar</w:t>
      </w:r>
    </w:p>
    <w:p>
      <w:pPr>
        <w:pStyle w:val="FirstParagraph"/>
      </w:pPr>
      <w:r>
        <w:t xml:space="preserve">Os regimes iconocráticos funcionam como matrizes morfológicas que organizam a circulação da Feminilidade de Estado ao longo do tempo. O regime Fundacional mobiliza Pathosformeln revolucionárias: corpos inclinados, tecidos em movimento, gestos de ruptura (WARBURG, 2000). É nele que a hipervisibilidade feminina oferece um álibi à ausência de cidadania real. O regime Normativo, por sua vez, transforma a energia fundacional em rotina administrativa. Nas prensas dos correios e das casas da moeda, o corpo alegórico é estabilizado, centralizado, frontalizado. A figura torna-se selo ou moeda justamente porque já não ameaça transbordar. Por fim, o regime Militar opera o endurecimento máximo: a alegoria empunha armas, se petrifica em bronze, assume fardas ou couraças e é colocada à porta de edifícios judiciais que representam o monopólio estatal da violência.</w:t>
      </w:r>
    </w:p>
    <w:p>
      <w:pPr>
        <w:pStyle w:val="BodyText"/>
      </w:pPr>
      <w:r>
        <w:t xml:space="preserve">Cada regime corresponde a uma inflexão da economia icônica. O Fundacional gasta capital afetivo para legitimar a ruptura. O Normativo coleta dividendos de obediência diária. O Militar contrai dívidas com o medo. Esses regimes não se sucedem linearmente; eles convivem e se sobrepõem, como mostram as séries de selos franceses que oscilam entre uma Marianne quase viva e uma Marianne mecanizada ao longo do século XX. O capítulo demonstrará que a classificação dos regimes não é mero artifício narrativo: trata-se de uma chave analítica que permite ler a variação do endurecimento e, por conseguinte, o modo como o Contrato Sexual Visual se adapta a crises políticas.</w:t>
      </w:r>
    </w:p>
    <w:bookmarkEnd w:id="35"/>
    <w:bookmarkStart w:id="36" w:name="X797652b6a093e7398d4a243f5e641eb64c16cc4"/>
    <w:p>
      <w:pPr>
        <w:pStyle w:val="Heading2"/>
      </w:pPr>
      <w:r>
        <w:rPr>
          <w:rStyle w:val="SectionNumber"/>
        </w:rPr>
        <w:t xml:space="preserve">3.4</w:t>
      </w:r>
      <w:r>
        <w:tab/>
      </w:r>
      <w:r>
        <w:t xml:space="preserve">2.4 — O Pathosformel jurídico: Warburg, Agamben e a sobrevivência das fórmulas</w:t>
      </w:r>
    </w:p>
    <w:p>
      <w:pPr>
        <w:pStyle w:val="FirstParagraph"/>
      </w:pPr>
      <w:r>
        <w:t xml:space="preserve">Warburg ensinou que as imagens carregam gestos ancestrais — as Pathosformeln — que sobrevivem como tensões comprimidas (WARBURG, 2000). Quando uma Justiça segura a balança com a mão elevada e inclina minimamente o torso, ela reativa uma fórmula expressiva que atravessa dois milênios. Essa sobrevivência não é neutra. No direito, a Pathosformel funciona como assinatura: cada vez que a figura se repete, o Estado reafirma a sua ancestralidade e, com ela, a pretensão de inevitabilidade. Agamben acrescenta que toda assinatura produz zonas de exceção (AGAMBEN, 1998). Ao reafirmar a Pathosformel da Justiça vendada, o Estado autoriza a suspensão da visão concreta dos conflitos em nome de um olhar universalizado.</w:t>
      </w:r>
    </w:p>
    <w:p>
      <w:pPr>
        <w:pStyle w:val="BodyText"/>
      </w:pPr>
      <w:r>
        <w:t xml:space="preserve">O Pathosformel jurídico é, portanto, uma engrenagem da economia iconocrática. Ele garante que o corpo feminino continue reconhecível mesmo quando muda de traje, suporte ou país. O Atlas iconocrático que fecha a tese trabalhará com essa ideia de sobrevivência: ao colocar lado a lado Columbia entregando uma espada e a Justiça de Ceschiatti sentada diante do STF, procuro revelar o intervalo no qual a fórmula expressiva é resignificada para sustentar novos contratos políticos. A sobrevivência das fórmulas explica por que a Feminilidade de Estado pode ser, simultaneamente, revolucionária em 1789 e policial em 1964. A economia do ícone, enfim, precisa desse capital simbólico trans-histórico para continuar operando.</w:t>
      </w:r>
    </w:p>
    <w:bookmarkEnd w:id="36"/>
    <w:bookmarkEnd w:id="37"/>
    <w:bookmarkStart w:id="42" w:name="X30c4ff12a8e3f1eb8bd70e44a1f6a6e6e4ecfb6"/>
    <w:p>
      <w:pPr>
        <w:pStyle w:val="Heading1"/>
      </w:pPr>
      <w:r>
        <w:rPr>
          <w:rStyle w:val="SectionNumber"/>
        </w:rPr>
        <w:t xml:space="preserve">4</w:t>
      </w:r>
      <w:r>
        <w:tab/>
      </w:r>
      <w:r>
        <w:t xml:space="preserve">Capítulo 3 — A Colonialidade do Ver: Gênero, Raça e Transferência Visual Transatlântica</w:t>
      </w:r>
    </w:p>
    <w:bookmarkStart w:id="38" w:name="Xfea5c1964b4132d77fe7566b9b2ddd2e83018fa"/>
    <w:p>
      <w:pPr>
        <w:pStyle w:val="Heading2"/>
      </w:pPr>
      <w:r>
        <w:rPr>
          <w:rStyle w:val="SectionNumber"/>
        </w:rPr>
        <w:t xml:space="preserve">4.1</w:t>
      </w:r>
      <w:r>
        <w:tab/>
      </w:r>
      <w:r>
        <w:t xml:space="preserve">3.1 — Iconografia como tecnologia colonial: exportação do cânone clássico</w:t>
      </w:r>
    </w:p>
    <w:bookmarkEnd w:id="38"/>
    <w:bookmarkStart w:id="39" w:name="X817b0d1ce2d2c5f2728af9dd5692a9d295a6bb1"/>
    <w:p>
      <w:pPr>
        <w:pStyle w:val="Heading2"/>
      </w:pPr>
      <w:r>
        <w:rPr>
          <w:rStyle w:val="SectionNumber"/>
        </w:rPr>
        <w:t xml:space="preserve">4.2</w:t>
      </w:r>
      <w:r>
        <w:tab/>
      </w:r>
      <w:r>
        <w:t xml:space="preserve">3.2 — O contrato racial visual: branquitude e classicismo nas alegorias brasileiras</w:t>
      </w:r>
    </w:p>
    <w:bookmarkEnd w:id="39"/>
    <w:bookmarkStart w:id="40" w:name="X08e7d83d78c2162de8160aa93b828804efdba13"/>
    <w:p>
      <w:pPr>
        <w:pStyle w:val="Heading2"/>
      </w:pPr>
      <w:r>
        <w:rPr>
          <w:rStyle w:val="SectionNumber"/>
        </w:rPr>
        <w:t xml:space="preserve">4.3</w:t>
      </w:r>
      <w:r>
        <w:tab/>
      </w:r>
      <w:r>
        <w:t xml:space="preserve">3.3 — Paternalismo jurídico-visual: o caso belga (Huygebaert)</w:t>
      </w:r>
    </w:p>
    <w:bookmarkEnd w:id="40"/>
    <w:bookmarkStart w:id="41" w:name="X647bdfb472d87fb86d09240f26fe3f7ddbe8bbf"/>
    <w:p>
      <w:pPr>
        <w:pStyle w:val="Heading2"/>
      </w:pPr>
      <w:r>
        <w:rPr>
          <w:rStyle w:val="SectionNumber"/>
        </w:rPr>
        <w:t xml:space="preserve">4.4</w:t>
      </w:r>
      <w:r>
        <w:tab/>
      </w:r>
      <w:r>
        <w:t xml:space="preserve">3.4 — Rupturas e contra-alegorias: quando o corpo alegórico é disputado</w:t>
      </w:r>
    </w:p>
    <w:bookmarkEnd w:id="41"/>
    <w:bookmarkEnd w:id="42"/>
    <w:bookmarkStart w:id="47" w:name="X064ca27395a6eec9cc2131b928e9d7464b39424"/>
    <w:p>
      <w:pPr>
        <w:pStyle w:val="Heading1"/>
      </w:pPr>
      <w:r>
        <w:rPr>
          <w:rStyle w:val="SectionNumber"/>
        </w:rPr>
        <w:t xml:space="preserve">5</w:t>
      </w:r>
      <w:r>
        <w:tab/>
      </w:r>
      <w:r>
        <w:t xml:space="preserve">Capítulo 4 — Desenho Metodológico: Métodos Mistos Sequenciais</w:t>
      </w:r>
    </w:p>
    <w:bookmarkStart w:id="43" w:name="X9f265cf59c2c41bcd425c070c6f3c544c7700fe"/>
    <w:p>
      <w:pPr>
        <w:pStyle w:val="Heading2"/>
      </w:pPr>
      <w:r>
        <w:rPr>
          <w:rStyle w:val="SectionNumber"/>
        </w:rPr>
        <w:t xml:space="preserve">5.1</w:t>
      </w:r>
      <w:r>
        <w:tab/>
      </w:r>
      <w:r>
        <w:t xml:space="preserve">4.1 — Epistemologia: crítica, histórico-comparada e decolonial</w:t>
      </w:r>
    </w:p>
    <w:bookmarkEnd w:id="43"/>
    <w:bookmarkStart w:id="44" w:name="X0aa1a5a7c869b23a6afab0fac1796178be40327"/>
    <w:p>
      <w:pPr>
        <w:pStyle w:val="Heading2"/>
      </w:pPr>
      <w:r>
        <w:rPr>
          <w:rStyle w:val="SectionNumber"/>
        </w:rPr>
        <w:t xml:space="preserve">5.2</w:t>
      </w:r>
      <w:r>
        <w:tab/>
      </w:r>
      <w:r>
        <w:t xml:space="preserve">4.2 — O desenho QUAN → QUAL sequencial explanatório</w:t>
      </w:r>
    </w:p>
    <w:bookmarkEnd w:id="44"/>
    <w:bookmarkStart w:id="45" w:name="X242beeec49a240d7127425993c0a560a06ff036"/>
    <w:p>
      <w:pPr>
        <w:pStyle w:val="Heading2"/>
      </w:pPr>
      <w:r>
        <w:rPr>
          <w:rStyle w:val="SectionNumber"/>
        </w:rPr>
        <w:t xml:space="preserve">5.3</w:t>
      </w:r>
      <w:r>
        <w:tab/>
      </w:r>
      <w:r>
        <w:t xml:space="preserve">4.3 — Panofsky adaptado: os três níveis da iconologia jurídica</w:t>
      </w:r>
    </w:p>
    <w:bookmarkEnd w:id="45"/>
    <w:bookmarkStart w:id="46" w:name="Xac3c76359e68cb1d0551e47b0f373bfd0e34b05"/>
    <w:p>
      <w:pPr>
        <w:pStyle w:val="Heading2"/>
      </w:pPr>
      <w:r>
        <w:rPr>
          <w:rStyle w:val="SectionNumber"/>
        </w:rPr>
        <w:t xml:space="preserve">5.4</w:t>
      </w:r>
      <w:r>
        <w:tab/>
      </w:r>
      <w:r>
        <w:t xml:space="preserve">4.4 — A montagem warburguiana como método de síntese</w:t>
      </w:r>
    </w:p>
    <w:bookmarkEnd w:id="46"/>
    <w:bookmarkEnd w:id="47"/>
    <w:bookmarkStart w:id="57" w:name="Xf8a9a5be9efffb20c48a039fb559e4f66e24fe6"/>
    <w:p>
      <w:pPr>
        <w:pStyle w:val="Heading1"/>
      </w:pPr>
      <w:r>
        <w:rPr>
          <w:rStyle w:val="SectionNumber"/>
        </w:rPr>
        <w:t xml:space="preserve">6</w:t>
      </w:r>
      <w:r>
        <w:tab/>
      </w:r>
      <w:r>
        <w:t xml:space="preserve">Capítulo 5 — O Corpus: Construção, Codificação e Infraestrutura</w:t>
      </w:r>
    </w:p>
    <w:bookmarkStart w:id="48" w:name="X4ad16ccbf525c4f6ad71d8e9fefb459ca364606"/>
    <w:p>
      <w:pPr>
        <w:pStyle w:val="Heading2"/>
      </w:pPr>
      <w:r>
        <w:rPr>
          <w:rStyle w:val="SectionNumber"/>
        </w:rPr>
        <w:t xml:space="preserve">6.1</w:t>
      </w:r>
      <w:r>
        <w:tab/>
      </w:r>
      <w:r>
        <w:t xml:space="preserve">5.1 — Amostragem estratificada: critérios de seleção e representação</w:t>
      </w:r>
    </w:p>
    <w:bookmarkEnd w:id="48"/>
    <w:bookmarkStart w:id="54" w:name="X49ab3a16bffd05271651cb6e9d18d75610b882a"/>
    <w:p>
      <w:pPr>
        <w:pStyle w:val="Heading2"/>
      </w:pPr>
      <w:r>
        <w:rPr>
          <w:rStyle w:val="SectionNumber"/>
        </w:rPr>
        <w:t xml:space="preserve">6.2</w:t>
      </w:r>
      <w:r>
        <w:tab/>
      </w:r>
      <w:r>
        <w:t xml:space="preserve">5.2 — Purificação Clássica: o quarto conceito original e seus 10 indicadores ordinais</w:t>
      </w:r>
    </w:p>
    <w:bookmarkStart w:id="49" w:name="definição"/>
    <w:p>
      <w:pPr>
        <w:pStyle w:val="Heading3"/>
      </w:pPr>
      <w:r>
        <w:rPr>
          <w:rStyle w:val="SectionNumber"/>
        </w:rPr>
        <w:t xml:space="preserve">6.2.1</w:t>
      </w:r>
      <w:r>
        <w:tab/>
      </w:r>
      <w:r>
        <w:t xml:space="preserve">5.2.1 — Definição</w:t>
      </w:r>
    </w:p>
    <w:p>
      <w:pPr>
        <w:pStyle w:val="FirstParagraph"/>
      </w:pPr>
      <w:r>
        <w:t xml:space="preserve">Designa-se por</w:t>
      </w:r>
      <w:r>
        <w:t xml:space="preserve"> </w:t>
      </w:r>
      <w:r>
        <w:rPr>
          <w:b/>
          <w:bCs/>
        </w:rPr>
        <w:t xml:space="preserve">Purificação Clássica</w:t>
      </w:r>
      <w:r>
        <w:t xml:space="preserve"> </w:t>
      </w:r>
      <w:r>
        <w:t xml:space="preserve">a operação formal pela qual o regime iconocrático extrai o feminino histórico — sua biografia, sua materialidade contingente, sua subjetividade — e o fixa numa superfície alegórica eterna, neoclássica e funcional à soberania. Essa operação não é metáfora, mas mecanismo mensurável: aparece na rigidez postural, no apagamento do gesto, na uniformização facial, no recobrimento heráldico que substitui o corpo singular por um repertório institucional. Trata-se do quarto conceito original desta tese, ao lado do Contrato Sexual Visual (Cap. 1), da Feminilidade de Estado (Cap. 2.2) e do Contrato Racial Visual (Cap. 3). Diferentemente desses três, que designam efeitos políticos, jurídicos e raciais do regime iconocrático, a Purificação Clássica designa o</w:t>
      </w:r>
      <w:r>
        <w:t xml:space="preserve"> </w:t>
      </w:r>
      <w:r>
        <w:rPr>
          <w:b/>
          <w:bCs/>
        </w:rPr>
        <w:t xml:space="preserve">mecanismo formal</w:t>
      </w:r>
      <w:r>
        <w:t xml:space="preserve"> </w:t>
      </w:r>
      <w:r>
        <w:t xml:space="preserve">que os produz e os torna acessíveis à mensuração empírica.</w:t>
      </w:r>
    </w:p>
    <w:bookmarkEnd w:id="49"/>
    <w:bookmarkStart w:id="50" w:name="matriz-primária-jurídica"/>
    <w:p>
      <w:pPr>
        <w:pStyle w:val="Heading3"/>
      </w:pPr>
      <w:r>
        <w:rPr>
          <w:rStyle w:val="SectionNumber"/>
        </w:rPr>
        <w:t xml:space="preserve">6.2.2</w:t>
      </w:r>
      <w:r>
        <w:tab/>
      </w:r>
      <w:r>
        <w:t xml:space="preserve">5.2.2 — Matriz primária jurídica</w:t>
      </w:r>
    </w:p>
    <w:p>
      <w:pPr>
        <w:pStyle w:val="FirstParagraph"/>
      </w:pPr>
      <w:r>
        <w:t xml:space="preserve">A genealogia primária da Purificação Clássica é interna à história do direito ocidental. Ernst Kantorowicz, em</w:t>
      </w:r>
      <w:r>
        <w:t xml:space="preserve"> </w:t>
      </w:r>
      <w:r>
        <w:rPr>
          <w:i/>
          <w:iCs/>
        </w:rPr>
        <w:t xml:space="preserve">Os Dois Corpos do Rei</w:t>
      </w:r>
      <w:r>
        <w:t xml:space="preserve"> </w:t>
      </w:r>
      <w:r>
        <w:t xml:space="preserve">(1957), descreve a operação fundamental pela qual a teologia política medieval separa o corpo natural do soberano (mortal, contingente, histórico) do corpo político (perpétuo, abstrato, institucional). Essa cisão é o ato inaugural da purificação jurídica: o corpo concreto é deixado para trás como suporte transitório, enquanto o corpo simbólico é elevado à perenidade institucional. Pierre Legendre (1994) prolonga essa operação quando descreve a antropologia dogmática do Ocidente como uma maquinaria que produz</w:t>
      </w:r>
      <w:r>
        <w:t xml:space="preserve"> </w:t>
      </w:r>
      <w:r>
        <w:t xml:space="preserve">“corpos sem palavras”</w:t>
      </w:r>
      <w:r>
        <w:t xml:space="preserve"> </w:t>
      </w:r>
      <w:r>
        <w:t xml:space="preserve">inscritos numa dogmática do espelho — corpos cuja função é refletir a Lei, não falar por si. António Manuel Hespanha, em</w:t>
      </w:r>
      <w:r>
        <w:t xml:space="preserve"> </w:t>
      </w:r>
      <w:r>
        <w:rPr>
          <w:i/>
          <w:iCs/>
        </w:rPr>
        <w:t xml:space="preserve">Cultura Jurídica Europeia: síntese de um milénio</w:t>
      </w:r>
      <w:r>
        <w:t xml:space="preserve"> </w:t>
      </w:r>
      <w:r>
        <w:t xml:space="preserve">(2005), demonstra como categorias morais e estamentais estabilizam classificações do humano que precedem e enquadram qualquer figuração visual. Os três autores convergem na descrição de um gesto especificamente jurídico: a transformação do humano histórico em forma institucional perdurável. A alegoria feminina estatal é a aplicação iconográfica desse gesto sobre o corpo da mulher.</w:t>
      </w:r>
    </w:p>
    <w:bookmarkEnd w:id="50"/>
    <w:bookmarkStart w:id="51" w:name="extensão-ferramental"/>
    <w:p>
      <w:pPr>
        <w:pStyle w:val="Heading3"/>
      </w:pPr>
      <w:r>
        <w:rPr>
          <w:rStyle w:val="SectionNumber"/>
        </w:rPr>
        <w:t xml:space="preserve">6.2.3</w:t>
      </w:r>
      <w:r>
        <w:tab/>
      </w:r>
      <w:r>
        <w:t xml:space="preserve">5.2.3 — Extensão ferramental</w:t>
      </w:r>
    </w:p>
    <w:p>
      <w:pPr>
        <w:pStyle w:val="FirstParagraph"/>
      </w:pPr>
      <w:r>
        <w:t xml:space="preserve">Para operacionalizar empiricamente a Purificação Clássica sobre as 145 peças do corpus, mobilizam-se três aparatos conceituais externos à dogmática jurídica, tomados como ferramentas analíticas pontuais. Bruno Latour, em</w:t>
      </w:r>
      <w:r>
        <w:t xml:space="preserve"> </w:t>
      </w:r>
      <w:r>
        <w:rPr>
          <w:i/>
          <w:iCs/>
        </w:rPr>
        <w:t xml:space="preserve">Jamais fomos modernos</w:t>
      </w:r>
      <w:r>
        <w:t xml:space="preserve"> </w:t>
      </w:r>
      <w:r>
        <w:t xml:space="preserve">(1991), descreve a</w:t>
      </w:r>
      <w:r>
        <w:t xml:space="preserve"> </w:t>
      </w:r>
      <w:r>
        <w:t xml:space="preserve">“purificação”</w:t>
      </w:r>
      <w:r>
        <w:t xml:space="preserve"> </w:t>
      </w:r>
      <w:r>
        <w:t xml:space="preserve">como o gesto moderno por excelência: a separação ontológica entre humanos e não-humanos, entre natureza e cultura, que permite à modernidade gerir o mundo como conjunto de domínios estanques. Donna Haraway, no</w:t>
      </w:r>
      <w:r>
        <w:t xml:space="preserve"> </w:t>
      </w:r>
      <w:r>
        <w:rPr>
          <w:i/>
          <w:iCs/>
        </w:rPr>
        <w:t xml:space="preserve">Manifesto Ciborgue</w:t>
      </w:r>
      <w:r>
        <w:t xml:space="preserve"> </w:t>
      </w:r>
      <w:r>
        <w:t xml:space="preserve">(1985), oferece o reverso crítico desse gesto: o ciborgue como figura híbrida que recusa a partição purificadora. Aqui se localiza o paralelo analítico decisivo desta tese — a alegoria feminina jurídica é, estruturalmente, o</w:t>
      </w:r>
      <w:r>
        <w:t xml:space="preserve"> </w:t>
      </w:r>
      <w:r>
        <w:rPr>
          <w:b/>
          <w:bCs/>
        </w:rPr>
        <w:t xml:space="preserve">inverso do ciborgue</w:t>
      </w:r>
      <w:r>
        <w:t xml:space="preserve">: onde o ciborgue celebra a fronteira porosa entre orgânico e inorgânico, a Justitia neoclássica fixa o corpo feminino como superfície purificada e fechada. Philippe Descola, em</w:t>
      </w:r>
      <w:r>
        <w:t xml:space="preserve"> </w:t>
      </w:r>
      <w:r>
        <w:rPr>
          <w:i/>
          <w:iCs/>
        </w:rPr>
        <w:t xml:space="preserve">As Formas do Visível</w:t>
      </w:r>
      <w:r>
        <w:t xml:space="preserve"> </w:t>
      </w:r>
      <w:r>
        <w:t xml:space="preserve">(2023 [2021]), completa o triângulo ao descrever como a ontologia naturalista do Ocidente moderno produz figuras de</w:t>
      </w:r>
      <w:r>
        <w:t xml:space="preserve"> </w:t>
      </w:r>
      <w:r>
        <w:t xml:space="preserve">“presença sem agência”</w:t>
      </w:r>
      <w:r>
        <w:t xml:space="preserve"> </w:t>
      </w:r>
      <w:r>
        <w:t xml:space="preserve">— corpos visíveis dos quais a interioridade é deliberadamente subtraída. Esses três aparatos não fundam o conceito de Purificação Clássica; eles fornecem o vocabulário técnico que permite mensurá-lo.</w:t>
      </w:r>
    </w:p>
    <w:bookmarkEnd w:id="51"/>
    <w:bookmarkStart w:id="52" w:name="X379dba3df705dff93f0acf2d639757f31d71680"/>
    <w:p>
      <w:pPr>
        <w:pStyle w:val="Heading3"/>
      </w:pPr>
      <w:r>
        <w:rPr>
          <w:rStyle w:val="SectionNumber"/>
        </w:rPr>
        <w:t xml:space="preserve">6.2.4</w:t>
      </w:r>
      <w:r>
        <w:tab/>
      </w:r>
      <w:r>
        <w:t xml:space="preserve">5.2.4 — Operacionalização: os 10 indicadores ordinais</w:t>
      </w:r>
    </w:p>
    <w:p>
      <w:pPr>
        <w:pStyle w:val="FirstParagraph"/>
      </w:pPr>
      <w:r>
        <w:t xml:space="preserve">A Purificação Clássica é mensurada empiricamente, em cada peça do corpus, por meio de dez indicadores ordinais aplicados em escala de 0 a 3, conforme protocolo IconoCode documentado no codebook (ver [[codebook|Codebook — 10 indicadores]]). Os indicadores são:</w:t>
      </w:r>
      <w:r>
        <w:t xml:space="preserve"> </w:t>
      </w:r>
      <w:r>
        <w:rPr>
          <w:b/>
          <w:bCs/>
        </w:rPr>
        <w:t xml:space="preserve">desincorporação</w:t>
      </w:r>
      <w:r>
        <w:t xml:space="preserve"> </w:t>
      </w:r>
      <w:r>
        <w:t xml:space="preserve">(grau de subtração da carne em favor do drapeado abstrato),</w:t>
      </w:r>
      <w:r>
        <w:t xml:space="preserve"> </w:t>
      </w:r>
      <w:r>
        <w:rPr>
          <w:b/>
          <w:bCs/>
        </w:rPr>
        <w:t xml:space="preserve">rigidez postural</w:t>
      </w:r>
      <w:r>
        <w:t xml:space="preserve"> </w:t>
      </w:r>
      <w:r>
        <w:t xml:space="preserve">(imobilidade frontal versus dinamismo gestual),</w:t>
      </w:r>
      <w:r>
        <w:t xml:space="preserve"> </w:t>
      </w:r>
      <w:r>
        <w:rPr>
          <w:b/>
          <w:bCs/>
        </w:rPr>
        <w:t xml:space="preserve">dessexualização</w:t>
      </w:r>
      <w:r>
        <w:t xml:space="preserve"> </w:t>
      </w:r>
      <w:r>
        <w:t xml:space="preserve">(recobrimento ou neutralização dos marcadores sexuais),</w:t>
      </w:r>
      <w:r>
        <w:t xml:space="preserve"> </w:t>
      </w:r>
      <w:r>
        <w:rPr>
          <w:b/>
          <w:bCs/>
        </w:rPr>
        <w:t xml:space="preserve">uniformização facial</w:t>
      </w:r>
      <w:r>
        <w:t xml:space="preserve"> </w:t>
      </w:r>
      <w:r>
        <w:t xml:space="preserve">(substituição do rosto singular por máscara genérica neoclássica),</w:t>
      </w:r>
      <w:r>
        <w:t xml:space="preserve"> </w:t>
      </w:r>
      <w:r>
        <w:rPr>
          <w:b/>
          <w:bCs/>
        </w:rPr>
        <w:t xml:space="preserve">heraldicização</w:t>
      </w:r>
      <w:r>
        <w:t xml:space="preserve"> </w:t>
      </w:r>
      <w:r>
        <w:t xml:space="preserve">(incorporação de insígnias estatais que recobrem o corpo),</w:t>
      </w:r>
      <w:r>
        <w:t xml:space="preserve"> </w:t>
      </w:r>
      <w:r>
        <w:rPr>
          <w:b/>
          <w:bCs/>
        </w:rPr>
        <w:t xml:space="preserve">enquadramento arquitetônico</w:t>
      </w:r>
      <w:r>
        <w:t xml:space="preserve"> </w:t>
      </w:r>
      <w:r>
        <w:t xml:space="preserve">(fixação numa moldura institucional fixa),</w:t>
      </w:r>
      <w:r>
        <w:t xml:space="preserve"> </w:t>
      </w:r>
      <w:r>
        <w:rPr>
          <w:b/>
          <w:bCs/>
        </w:rPr>
        <w:t xml:space="preserve">apagamento narrativo</w:t>
      </w:r>
      <w:r>
        <w:t xml:space="preserve"> </w:t>
      </w:r>
      <w:r>
        <w:t xml:space="preserve">(supressão de cena, contexto, ação),</w:t>
      </w:r>
      <w:r>
        <w:t xml:space="preserve"> </w:t>
      </w:r>
      <w:r>
        <w:rPr>
          <w:b/>
          <w:bCs/>
        </w:rPr>
        <w:t xml:space="preserve">monocromatização</w:t>
      </w:r>
      <w:r>
        <w:t xml:space="preserve"> </w:t>
      </w:r>
      <w:r>
        <w:t xml:space="preserve">(redução da paleta cromática a brancos, bronzes e mármores),</w:t>
      </w:r>
      <w:r>
        <w:t xml:space="preserve"> </w:t>
      </w:r>
      <w:r>
        <w:rPr>
          <w:b/>
          <w:bCs/>
        </w:rPr>
        <w:t xml:space="preserve">serialidade</w:t>
      </w:r>
      <w:r>
        <w:t xml:space="preserve"> </w:t>
      </w:r>
      <w:r>
        <w:t xml:space="preserve">(replicação industrial do mesmo modelo em moedas, selos, monumentos) e</w:t>
      </w:r>
      <w:r>
        <w:t xml:space="preserve"> </w:t>
      </w:r>
      <w:r>
        <w:rPr>
          <w:b/>
          <w:bCs/>
        </w:rPr>
        <w:t xml:space="preserve">inscrição estatal</w:t>
      </w:r>
      <w:r>
        <w:t xml:space="preserve"> </w:t>
      </w:r>
      <w:r>
        <w:t xml:space="preserve">(presença de letra, sigla ou divisa que ancora a figura à soberania). A soma desses dez indicadores, por peça, fornece o índice de endurecimento — termo operacional que designa, na prática estatística desta tese, o resultado mensurável da operação que a Purificação Clássica nomeia conceitualmente.</w:t>
      </w:r>
    </w:p>
    <w:bookmarkEnd w:id="52"/>
    <w:bookmarkStart w:id="53" w:name="X0414be2f74326309b11caafbadd6b8607e69c03"/>
    <w:p>
      <w:pPr>
        <w:pStyle w:val="Heading3"/>
      </w:pPr>
      <w:r>
        <w:rPr>
          <w:rStyle w:val="SectionNumber"/>
        </w:rPr>
        <w:t xml:space="preserve">6.2.5</w:t>
      </w:r>
      <w:r>
        <w:tab/>
      </w:r>
      <w:r>
        <w:t xml:space="preserve">5.2.5 — Articulação com os outros três conceitos originais</w:t>
      </w:r>
    </w:p>
    <w:p>
      <w:pPr>
        <w:pStyle w:val="FirstParagraph"/>
      </w:pPr>
      <w:r>
        <w:t xml:space="preserve">A Purificação Clássica não substitui os outros três originais; articula-os. O Contrato Sexual Visual descreve a economia política do regime: o feminino é convocado como imagem para que as mulheres reais permaneçam excluídas. A Feminilidade de Estado descreve o efeito subjetivo dessa economia sobre o corpo alegórico: ele se torna recipiente vazio apto a transportar afeto público. O Contrato Racial Visual descreve a distribuição racial desigual da operação: a alegoria</w:t>
      </w:r>
      <w:r>
        <w:t xml:space="preserve"> </w:t>
      </w:r>
      <w:r>
        <w:t xml:space="preserve">“universal”</w:t>
      </w:r>
      <w:r>
        <w:t xml:space="preserve"> </w:t>
      </w:r>
      <w:r>
        <w:t xml:space="preserve">é constitutivamente branca, e sua transferência transatlântica instala um padrão racializado nos repertórios pós-coloniais. A Purificação Clássica é o mecanismo formal que torna os três efeitos possíveis e os torna acessíveis à comparação iconométrica. Sem ela, os três outros conceitos permaneceriam descrições políticas sem ancoragem mensurável; com ela, ganham corpo empírico no índice ordinal.</w:t>
      </w:r>
    </w:p>
    <w:p>
      <w:pPr>
        <w:pStyle w:val="BlockText"/>
      </w:pPr>
      <w:r>
        <w:rPr>
          <w:b/>
          <w:bCs/>
        </w:rPr>
        <w:t xml:space="preserve">Nota sobre o recorte:</w:t>
      </w:r>
      <w:r>
        <w:t xml:space="preserve"> </w:t>
      </w:r>
      <w:r>
        <w:t xml:space="preserve">A Purificação Clássica, tal como aqui formulada, não engaja a tradição decolonial latino-americana (Lugones, Curiel, Segato) como filiação programática; tais autoras serão mobilizadas pontualmente no Cap. 3 para a discussão do Contrato Racial Visual. Tampouco se filia aos desdobramentos pós-2000 das teorias tecnopolíticas do corpo: aqui, a questão não é a mediação digital da subjetividade, mas a purificação clássica do corpo feminino pelo repertório visual do Estado. Os operadores Haraway/Latour/Descola entram, neste capítulo, como ferramentas analíticas para a mensuração da operação jurídica de purificação descrita por Kantorowicz, Legendre e Hespanha — não como adesão ao projeto político-tecnológico ciberfeminista. Essa discussão é reservada a desdobramentos pós-defesa.</w:t>
      </w:r>
    </w:p>
    <w:bookmarkEnd w:id="53"/>
    <w:bookmarkEnd w:id="54"/>
    <w:bookmarkStart w:id="55" w:name="Xb010fdb689e473922056e5905ee393bbae53312"/>
    <w:p>
      <w:pPr>
        <w:pStyle w:val="Heading2"/>
      </w:pPr>
      <w:r>
        <w:rPr>
          <w:rStyle w:val="SectionNumber"/>
        </w:rPr>
        <w:t xml:space="preserve">6.3</w:t>
      </w:r>
      <w:r>
        <w:tab/>
      </w:r>
      <w:r>
        <w:t xml:space="preserve">5.3 — Sistema de codificação IconoCode e integração ICONCLASS</w:t>
      </w:r>
    </w:p>
    <w:bookmarkEnd w:id="55"/>
    <w:bookmarkStart w:id="56" w:name="Xf6db555e5330eaadb2325259a792bec236073ef"/>
    <w:p>
      <w:pPr>
        <w:pStyle w:val="Heading2"/>
      </w:pPr>
      <w:r>
        <w:rPr>
          <w:rStyle w:val="SectionNumber"/>
        </w:rPr>
        <w:t xml:space="preserve">6.4</w:t>
      </w:r>
      <w:r>
        <w:tab/>
      </w:r>
      <w:r>
        <w:t xml:space="preserve">5.4 — Infraestrutura digital: GitHub, Drive, Notion</w:t>
      </w:r>
    </w:p>
    <w:bookmarkEnd w:id="56"/>
    <w:bookmarkEnd w:id="57"/>
    <w:bookmarkStart w:id="64" w:name="Xd5860fd59a8a116c1e96a2dfab8b3daa81d78fa"/>
    <w:p>
      <w:pPr>
        <w:pStyle w:val="Heading1"/>
      </w:pPr>
      <w:r>
        <w:rPr>
          <w:rStyle w:val="SectionNumber"/>
        </w:rPr>
        <w:t xml:space="preserve">7</w:t>
      </w:r>
      <w:r>
        <w:tab/>
      </w:r>
      <w:r>
        <w:t xml:space="preserve">Capítulo 6 - Análise Quantitativa: Padrões Iconométricos</w:t>
      </w:r>
    </w:p>
    <w:p>
      <w:pPr>
        <w:pStyle w:val="FirstParagraph"/>
      </w:pPr>
      <w:r>
        <w:t xml:space="preserve">Este capítulo tem como objetivo apresentar os resultados da aplicação do protocolo</w:t>
      </w:r>
      <w:r>
        <w:t xml:space="preserve"> </w:t>
      </w:r>
      <w:r>
        <w:rPr>
          <w:i/>
          <w:iCs/>
        </w:rPr>
        <w:t xml:space="preserve">IconoCode</w:t>
      </w:r>
      <w:r>
        <w:t xml:space="preserve"> </w:t>
      </w:r>
      <w:r>
        <w:t xml:space="preserve">ao corpus da pesquisa, traduzindo as categorias iconográficas desenvolvidas nos capítulos anteriores em variáveis mensuráveis. Longe de pretender uma exatidão matemática sobre objetos visuais historicamente contingentes, a iconometria aqui proposta funciona como uma ferramenta heurística: ela permite visualizar padrões de longa duração e continuidades transatlânticas que escapariam à análise qualitativa de imagens isoladas.</w:t>
      </w:r>
    </w:p>
    <w:bookmarkStart w:id="58" w:name="Xf8e1760c3c84c71da3cce8e71c5157581c8580f"/>
    <w:p>
      <w:pPr>
        <w:pStyle w:val="Heading2"/>
      </w:pPr>
      <w:r>
        <w:rPr>
          <w:rStyle w:val="SectionNumber"/>
        </w:rPr>
        <w:t xml:space="preserve">7.1</w:t>
      </w:r>
      <w:r>
        <w:tab/>
      </w:r>
      <w:r>
        <w:t xml:space="preserve">6.1 - Panorama descritivo do corpus e do grau de purificação</w:t>
      </w:r>
    </w:p>
    <w:p>
      <w:pPr>
        <w:pStyle w:val="FirstParagraph"/>
      </w:pPr>
      <w:r>
        <w:t xml:space="preserve">O corpus analisado é composto por 145 artefatos visuais codificados integralmente, englobando suportes que transitam desde a grande estatuária oficial até a numismática e o meio impresso. O recorte geográfico reflete o circuito hegemônico de produção da cultura jurídica ocidental moderna, com predominância da França (42 itens) e dos Estados Unidos (20 itens), seguidos por Alemanha (18), Brasil (12), Reino Unido (10) e Itália (8).</w:t>
      </w:r>
    </w:p>
    <w:p>
      <w:pPr>
        <w:pStyle w:val="BodyText"/>
      </w:pPr>
      <w:r>
        <w:t xml:space="preserve">A métrica central desta análise é o</w:t>
      </w:r>
      <w:r>
        <w:t xml:space="preserve"> </w:t>
      </w:r>
      <w:r>
        <w:rPr>
          <w:i/>
          <w:iCs/>
        </w:rPr>
        <w:t xml:space="preserve">score</w:t>
      </w:r>
      <w:r>
        <w:t xml:space="preserve"> </w:t>
      </w:r>
      <w:r>
        <w:t xml:space="preserve">composto de endurecimento (variando teoricamente de 0 a 3), que agrega os dez indicadores ordinais de purificação corporal. No conjunto global do corpus, a média de endurecimento situa-se em 1.44 (com dispersão de 0.10 a 3.10). Contudo, esse valor médio oculta variações cruciais quando os artefatos são agrupados por regime iconocrático.</w:t>
      </w:r>
    </w:p>
    <w:p>
      <w:pPr>
        <w:pStyle w:val="BodyText"/>
      </w:pPr>
      <w:r>
        <w:t xml:space="preserve">O corpus distribui-se de maneira desigual entre os quatro regimes identificados: o regime</w:t>
      </w:r>
      <w:r>
        <w:t xml:space="preserve"> </w:t>
      </w:r>
      <w:r>
        <w:rPr>
          <w:i/>
          <w:iCs/>
        </w:rPr>
        <w:t xml:space="preserve">fundacional</w:t>
      </w:r>
      <w:r>
        <w:t xml:space="preserve"> </w:t>
      </w:r>
      <w:r>
        <w:t xml:space="preserve">é o mais populoso (71 itens), refletindo a proliferação de imagens no calor das rupturas constitucionais ou revolucionárias; segue-se o regime</w:t>
      </w:r>
      <w:r>
        <w:t xml:space="preserve"> </w:t>
      </w:r>
      <w:r>
        <w:rPr>
          <w:i/>
          <w:iCs/>
        </w:rPr>
        <w:t xml:space="preserve">normativo</w:t>
      </w:r>
      <w:r>
        <w:t xml:space="preserve"> </w:t>
      </w:r>
      <w:r>
        <w:t xml:space="preserve">(40 itens), característico da consolidação e rotinização do poder estatal; o regime</w:t>
      </w:r>
      <w:r>
        <w:t xml:space="preserve"> </w:t>
      </w:r>
      <w:r>
        <w:rPr>
          <w:i/>
          <w:iCs/>
        </w:rPr>
        <w:t xml:space="preserve">militar</w:t>
      </w:r>
      <w:r>
        <w:t xml:space="preserve"> </w:t>
      </w:r>
      <w:r>
        <w:t xml:space="preserve">ou imperial (27 itens); e, marginalmente, as</w:t>
      </w:r>
      <w:r>
        <w:t xml:space="preserve"> </w:t>
      </w:r>
      <w:r>
        <w:rPr>
          <w:i/>
          <w:iCs/>
        </w:rPr>
        <w:t xml:space="preserve">contra-alegorias</w:t>
      </w:r>
      <w:r>
        <w:t xml:space="preserve"> </w:t>
      </w:r>
      <w:r>
        <w:t xml:space="preserve">(7 itens), que funcionam como o reverso subversivo da iconografia oficial.</w:t>
      </w:r>
    </w:p>
    <w:p>
      <w:pPr>
        <w:pStyle w:val="BodyText"/>
      </w:pPr>
      <w:r>
        <w:t xml:space="preserve">A análise das correlações internas (</w:t>
      </w:r>
      <m:oMath>
        <m:r>
          <m:t>ρ</m:t>
        </m:r>
      </m:oMath>
      <w:r>
        <w:t xml:space="preserve"> </w:t>
      </w:r>
      <w:r>
        <w:t xml:space="preserve">de Spearman) entre os dez indicadores revela que o processo de</w:t>
      </w:r>
      <w:r>
        <w:t xml:space="preserve"> </w:t>
      </w:r>
      <w:r>
        <w:t xml:space="preserve">“purificação”</w:t>
      </w:r>
      <w:r>
        <w:t xml:space="preserve"> </w:t>
      </w:r>
      <w:r>
        <w:t xml:space="preserve">estatal não opera de forma isolada sobre partes do corpo, mas como um</w:t>
      </w:r>
      <w:r>
        <w:t xml:space="preserve"> </w:t>
      </w:r>
      <w:r>
        <w:t xml:space="preserve">“pacote”</w:t>
      </w:r>
      <w:r>
        <w:t xml:space="preserve"> </w:t>
      </w:r>
      <w:r>
        <w:t xml:space="preserve">integrado de disciplinamento. As correlações mais fortes ocorrem entre a</w:t>
      </w:r>
      <w:r>
        <w:t xml:space="preserve"> </w:t>
      </w:r>
      <w:r>
        <w:rPr>
          <w:i/>
          <w:iCs/>
        </w:rPr>
        <w:t xml:space="preserve">rigidez postural</w:t>
      </w:r>
      <w:r>
        <w:t xml:space="preserve"> </w:t>
      </w:r>
      <w:r>
        <w:t xml:space="preserve">e a</w:t>
      </w:r>
      <w:r>
        <w:t xml:space="preserve"> </w:t>
      </w:r>
      <w:r>
        <w:rPr>
          <w:i/>
          <w:iCs/>
        </w:rPr>
        <w:t xml:space="preserve">uniformização facial</w:t>
      </w:r>
      <w:r>
        <w:t xml:space="preserve"> </w:t>
      </w:r>
      <w:r>
        <w:t xml:space="preserve">(</w:t>
      </w:r>
      <m:oMath>
        <m:r>
          <m:t>ρ</m:t>
        </m:r>
        <m:r>
          <m:rPr>
            <m:sty m:val="p"/>
          </m:rPr>
          <m:t>=</m:t>
        </m:r>
        <m:r>
          <m:t>0.750</m:t>
        </m:r>
      </m:oMath>
      <w:r>
        <w:t xml:space="preserve">), bem como entre a</w:t>
      </w:r>
      <w:r>
        <w:t xml:space="preserve"> </w:t>
      </w:r>
      <w:r>
        <w:rPr>
          <w:i/>
          <w:iCs/>
        </w:rPr>
        <w:t xml:space="preserve">dessexualização</w:t>
      </w:r>
      <w:r>
        <w:t xml:space="preserve"> </w:t>
      </w:r>
      <w:r>
        <w:t xml:space="preserve">e a</w:t>
      </w:r>
      <w:r>
        <w:t xml:space="preserve"> </w:t>
      </w:r>
      <w:r>
        <w:rPr>
          <w:i/>
          <w:iCs/>
        </w:rPr>
        <w:t xml:space="preserve">uniformização facial</w:t>
      </w:r>
      <w:r>
        <w:t xml:space="preserve"> </w:t>
      </w:r>
      <w:r>
        <w:t xml:space="preserve">(</w:t>
      </w:r>
      <m:oMath>
        <m:r>
          <m:t>ρ</m:t>
        </m:r>
        <m:r>
          <m:rPr>
            <m:sty m:val="p"/>
          </m:rPr>
          <m:t>=</m:t>
        </m:r>
        <m:r>
          <m:t>0.738</m:t>
        </m:r>
      </m:oMath>
      <w:r>
        <w:t xml:space="preserve">). Isso demonstra que a captura do corpo feminino pela linguagem do Estado exige, simultaneamente, o congelamento da espinha dorsal e o apagamento das particularidades do rosto e do sexo. A carne que se faz lei perde, antes de tudo, sua mobilidade e seu desejo.</w:t>
      </w:r>
    </w:p>
    <w:bookmarkEnd w:id="58"/>
    <w:bookmarkStart w:id="59" w:name="X887743b4fbd1785162dbce8db6e5fb483cca350"/>
    <w:p>
      <w:pPr>
        <w:pStyle w:val="Heading2"/>
      </w:pPr>
      <w:r>
        <w:rPr>
          <w:rStyle w:val="SectionNumber"/>
        </w:rPr>
        <w:t xml:space="preserve">7.2</w:t>
      </w:r>
      <w:r>
        <w:tab/>
      </w:r>
      <w:r>
        <w:t xml:space="preserve">6.2 - Regimes iconocráticos e morfologia corporal: Análise de variância (Kruskal-Wallis)</w:t>
      </w:r>
    </w:p>
    <w:p>
      <w:pPr>
        <w:pStyle w:val="FirstParagraph"/>
      </w:pPr>
      <w:r>
        <w:t xml:space="preserve">Para testar estatisticamente a hipótese de que diferentes momentos da cultura jurídica produzem diferentes morfologias corporais, aplicou-se o teste não-paramétrico de Kruskal-Wallis. Os resultados são contundentes: para 9 dos 10 indicadores de purificação, a hipótese nula de igualdade entre as distribuições foi rejeitada com altíssima significância estatística (</w:t>
      </w:r>
      <m:oMath>
        <m:r>
          <m:t>p</m:t>
        </m:r>
        <m:r>
          <m:rPr>
            <m:sty m:val="p"/>
          </m:rPr>
          <m:t>&lt;</m:t>
        </m:r>
        <m:r>
          <m:t>0.05</m:t>
        </m:r>
      </m:oMath>
      <w:r>
        <w:t xml:space="preserve">). A única exceção foi o indicador de</w:t>
      </w:r>
      <w:r>
        <w:t xml:space="preserve"> </w:t>
      </w:r>
      <w:r>
        <w:rPr>
          <w:i/>
          <w:iCs/>
        </w:rPr>
        <w:t xml:space="preserve">enquadramento arquitetônico</w:t>
      </w:r>
      <w:r>
        <w:t xml:space="preserve"> </w:t>
      </w:r>
      <w:r>
        <w:t xml:space="preserve">(</w:t>
      </w:r>
      <m:oMath>
        <m:r>
          <m:t>H</m:t>
        </m:r>
        <m:r>
          <m:rPr>
            <m:sty m:val="p"/>
          </m:rPr>
          <m:t>=</m:t>
        </m:r>
        <m:r>
          <m:t>4.48</m:t>
        </m:r>
        <m:r>
          <m:rPr>
            <m:sty m:val="p"/>
          </m:rPr>
          <m:t>,</m:t>
        </m:r>
        <m:r>
          <m:t>p</m:t>
        </m:r>
        <m:r>
          <m:rPr>
            <m:sty m:val="p"/>
          </m:rPr>
          <m:t>=</m:t>
        </m:r>
        <m:r>
          <m:t>0.106</m:t>
        </m:r>
      </m:oMath>
      <w:r>
        <w:t xml:space="preserve">), sugerindo que o uso de nichos, pedestais ou molduras não discrimina adequadamente o regime político, consistindo em uma técnica transversal da gramática arquitetônica oficial.</w:t>
      </w:r>
    </w:p>
    <w:p>
      <w:pPr>
        <w:pStyle w:val="BodyText"/>
      </w:pPr>
      <w:r>
        <w:t xml:space="preserve">Os testes</w:t>
      </w:r>
      <w:r>
        <w:t xml:space="preserve"> </w:t>
      </w:r>
      <w:r>
        <w:rPr>
          <w:i/>
          <w:iCs/>
        </w:rPr>
        <w:t xml:space="preserve">post-hoc</w:t>
      </w:r>
      <w:r>
        <w:t xml:space="preserve"> </w:t>
      </w:r>
      <w:r>
        <w:t xml:space="preserve">de Dunn (com correção de Bonferroni) revelaram o exato ponto de fratura na iconocracia. Há uma cisão clara: os regimes</w:t>
      </w:r>
      <w:r>
        <w:t xml:space="preserve"> </w:t>
      </w:r>
      <w:r>
        <w:rPr>
          <w:i/>
          <w:iCs/>
        </w:rPr>
        <w:t xml:space="preserve">militar</w:t>
      </w:r>
      <w:r>
        <w:t xml:space="preserve"> </w:t>
      </w:r>
      <w:r>
        <w:t xml:space="preserve">e</w:t>
      </w:r>
      <w:r>
        <w:t xml:space="preserve"> </w:t>
      </w:r>
      <w:r>
        <w:rPr>
          <w:i/>
          <w:iCs/>
        </w:rPr>
        <w:t xml:space="preserve">normativo</w:t>
      </w:r>
      <w:r>
        <w:t xml:space="preserve"> </w:t>
      </w:r>
      <w:r>
        <w:t xml:space="preserve">operam em um patamar de endurecimento corporal severamente superior ao do regime</w:t>
      </w:r>
      <w:r>
        <w:t xml:space="preserve"> </w:t>
      </w:r>
      <w:r>
        <w:rPr>
          <w:i/>
          <w:iCs/>
        </w:rPr>
        <w:t xml:space="preserve">fundacional</w:t>
      </w:r>
      <w:r>
        <w:t xml:space="preserve">.</w:t>
      </w:r>
    </w:p>
    <w:p>
      <w:pPr>
        <w:pStyle w:val="BodyText"/>
      </w:pPr>
      <w:r>
        <w:t xml:space="preserve">No momento fundacional da lei (como as imagens da primeira República francesa ou os esboços da República brasileira), o corpo alegórico retém traços de fluidez, movimento e corporalidade - o caos originário ainda pulsa na imagem. No entanto, quando a ordem jurídica se consolida (regime normativo, média de endurecimento = 1.82) ou se impõe pela força armada (regime militar, média = 1.80), o corpo sofre uma mineralização. Os testes confirmam que a diferença entre o regime normativo e o fundacional é estatisticamente significativa para indicadores vitais como a dessexualização (</w:t>
      </w:r>
      <m:oMath>
        <m:r>
          <m:t>p</m:t>
        </m:r>
        <m:r>
          <m:rPr>
            <m:sty m:val="p"/>
          </m:rPr>
          <m:t>=</m:t>
        </m:r>
        <m:r>
          <m:t>0.0004</m:t>
        </m:r>
      </m:oMath>
      <w:r>
        <w:t xml:space="preserve">) e o apagamento narrativo (</w:t>
      </w:r>
      <m:oMath>
        <m:r>
          <m:t>p</m:t>
        </m:r>
        <m:r>
          <m:rPr>
            <m:sty m:val="p"/>
          </m:rPr>
          <m:t>=</m:t>
        </m:r>
        <m:r>
          <m:t>0.0003</m:t>
        </m:r>
      </m:oMath>
      <w:r>
        <w:t xml:space="preserve">). A lei estabilizada exige, visualmente, um corpo inerte.</w:t>
      </w:r>
    </w:p>
    <w:bookmarkEnd w:id="59"/>
    <w:bookmarkStart w:id="60" w:name="X8f789bfcd6c32f2ef9c1a6fc59e55216fc198f0"/>
    <w:p>
      <w:pPr>
        <w:pStyle w:val="Heading2"/>
      </w:pPr>
      <w:r>
        <w:rPr>
          <w:rStyle w:val="SectionNumber"/>
        </w:rPr>
        <w:t xml:space="preserve">7.3</w:t>
      </w:r>
      <w:r>
        <w:tab/>
      </w:r>
      <w:r>
        <w:t xml:space="preserve">6.3 - Preditores do endurecimento: Regressão e o papel do suporte material</w:t>
      </w:r>
    </w:p>
    <w:p>
      <w:pPr>
        <w:pStyle w:val="FirstParagraph"/>
      </w:pPr>
      <w:r>
        <w:t xml:space="preserve">A fim de isolar o efeito do regime iconocrático em relação a outros fatores, construiu-se um modelo de regressão (Ordinary Least Squares - OLS) tendo o</w:t>
      </w:r>
      <w:r>
        <w:t xml:space="preserve"> </w:t>
      </w:r>
      <w:r>
        <w:rPr>
          <w:i/>
          <w:iCs/>
        </w:rPr>
        <w:t xml:space="preserve">score</w:t>
      </w:r>
      <w:r>
        <w:t xml:space="preserve"> </w:t>
      </w:r>
      <w:r>
        <w:t xml:space="preserve">composto de endurecimento como variável dependente (</w:t>
      </w:r>
      <m:oMath>
        <m:sSup>
          <m:e>
            <m:r>
              <m:t>R</m:t>
            </m:r>
          </m:e>
          <m:sup>
            <m:r>
              <m:t>2</m:t>
            </m:r>
          </m:sup>
        </m:sSup>
      </m:oMath>
      <w:r>
        <w:t xml:space="preserve"> </w:t>
      </w:r>
      <w:r>
        <w:t xml:space="preserve">ajustado = 0.451).</w:t>
      </w:r>
    </w:p>
    <w:p>
      <w:pPr>
        <w:pStyle w:val="BodyText"/>
      </w:pPr>
      <w:r>
        <w:t xml:space="preserve">O modelo confirmou as intuições visuais: a materialidade do suporte exerce um poder ditatorial sobre a forma do corpo jurídico. A mídia da numismática (moedas e medalhas) atua como um fortíssimo preditor do endurecimento corporal (coeficiente</w:t>
      </w:r>
      <w:r>
        <w:t xml:space="preserve"> </w:t>
      </w:r>
      <m:oMath>
        <m:r>
          <m:t>β</m:t>
        </m:r>
        <m:r>
          <m:rPr>
            <m:sty m:val="p"/>
          </m:rPr>
          <m:t>=</m:t>
        </m:r>
        <m:r>
          <m:t>0.797</m:t>
        </m:r>
        <m:r>
          <m:rPr>
            <m:sty m:val="p"/>
          </m:rPr>
          <m:t>,</m:t>
        </m:r>
        <m:r>
          <m:t>p</m:t>
        </m:r>
        <m:r>
          <m:rPr>
            <m:sty m:val="p"/>
          </m:rPr>
          <m:t>&lt;</m:t>
        </m:r>
        <m:r>
          <m:t>0.001</m:t>
        </m:r>
      </m:oMath>
      <w:r>
        <w:t xml:space="preserve">). A moeda não apenas miniaturiza a alegoria; sua ontologia circulante e metálica exige um grau extremo de dessexualização e heraldicização para garantir a legitimação serial do valor do Estado. Em contrapartida, as mídias da pintura e do desenho predizem um</w:t>
      </w:r>
      <w:r>
        <w:t xml:space="preserve"> </w:t>
      </w:r>
      <w:r>
        <w:rPr>
          <w:i/>
          <w:iCs/>
        </w:rPr>
        <w:t xml:space="preserve">relaxamento</w:t>
      </w:r>
      <w:r>
        <w:t xml:space="preserve"> </w:t>
      </w:r>
      <w:r>
        <w:t xml:space="preserve">dos indicadores de purificação (</w:t>
      </w:r>
      <m:oMath>
        <m:r>
          <m:t>β</m:t>
        </m:r>
        <m:r>
          <m:rPr>
            <m:sty m:val="p"/>
          </m:rPr>
          <m:t>=</m:t>
        </m:r>
        <m:r>
          <m:rPr>
            <m:sty m:val="p"/>
          </m:rPr>
          <m:t>−</m:t>
        </m:r>
        <m:r>
          <m:t>0.529</m:t>
        </m:r>
        <m:r>
          <m:rPr>
            <m:sty m:val="p"/>
          </m:rPr>
          <m:t>,</m:t>
        </m:r>
        <m:r>
          <m:t>p</m:t>
        </m:r>
        <m:r>
          <m:rPr>
            <m:sty m:val="p"/>
          </m:rPr>
          <m:t>&lt;</m:t>
        </m:r>
        <m:r>
          <m:t>0.01</m:t>
        </m:r>
      </m:oMath>
      <w:r>
        <w:t xml:space="preserve">). O óleo sobre tela abriga a carne; a numismática exige o brasão.</w:t>
      </w:r>
    </w:p>
    <w:p>
      <w:pPr>
        <w:pStyle w:val="BodyText"/>
      </w:pPr>
      <w:r>
        <w:t xml:space="preserve">Ainda controlando pelo suporte material, a regressão demonstra que o tipo de regime permanece como um preditor altamente significativo. Em comparação com as contra-alegorias (usadas como</w:t>
      </w:r>
      <w:r>
        <w:t xml:space="preserve"> </w:t>
      </w:r>
      <w:r>
        <w:rPr>
          <w:i/>
          <w:iCs/>
        </w:rPr>
        <w:t xml:space="preserve">baseline</w:t>
      </w:r>
      <w:r>
        <w:t xml:space="preserve">), a passagem para o regime normativo impulsiona drasticamente o congelamento do corpo (</w:t>
      </w:r>
      <m:oMath>
        <m:r>
          <m:t>β</m:t>
        </m:r>
        <m:r>
          <m:rPr>
            <m:sty m:val="p"/>
          </m:rPr>
          <m:t>=</m:t>
        </m:r>
        <m:r>
          <m:t>0.818</m:t>
        </m:r>
        <m:r>
          <m:rPr>
            <m:sty m:val="p"/>
          </m:rPr>
          <m:t>,</m:t>
        </m:r>
        <m:r>
          <m:t>p</m:t>
        </m:r>
        <m:r>
          <m:rPr>
            <m:sty m:val="p"/>
          </m:rPr>
          <m:t>&lt;</m:t>
        </m:r>
        <m:r>
          <m:t>0.001</m:t>
        </m:r>
      </m:oMath>
      <w:r>
        <w:t xml:space="preserve">).</w:t>
      </w:r>
    </w:p>
    <w:p>
      <w:pPr>
        <w:pStyle w:val="BodyText"/>
      </w:pPr>
      <w:r>
        <w:t xml:space="preserve">Quando se analisa qual indicador possui maior peso preditivo para o</w:t>
      </w:r>
      <w:r>
        <w:t xml:space="preserve"> </w:t>
      </w:r>
      <w:r>
        <w:rPr>
          <w:i/>
          <w:iCs/>
        </w:rPr>
        <w:t xml:space="preserve">score</w:t>
      </w:r>
      <w:r>
        <w:t xml:space="preserve"> </w:t>
      </w:r>
      <w:r>
        <w:t xml:space="preserve">composto geral, a</w:t>
      </w:r>
      <w:r>
        <w:t xml:space="preserve"> </w:t>
      </w:r>
      <w:r>
        <w:rPr>
          <w:i/>
          <w:iCs/>
        </w:rPr>
        <w:t xml:space="preserve">uniformização facial</w:t>
      </w:r>
      <w:r>
        <w:t xml:space="preserve"> </w:t>
      </w:r>
      <w:r>
        <w:t xml:space="preserve">(</w:t>
      </w:r>
      <m:oMath>
        <m:r>
          <m:t>ρ</m:t>
        </m:r>
        <m:r>
          <m:rPr>
            <m:sty m:val="p"/>
          </m:rPr>
          <m:t>=</m:t>
        </m:r>
        <m:r>
          <m:t>0.855</m:t>
        </m:r>
      </m:oMath>
      <w:r>
        <w:t xml:space="preserve">) e a</w:t>
      </w:r>
      <w:r>
        <w:t xml:space="preserve"> </w:t>
      </w:r>
      <w:r>
        <w:rPr>
          <w:i/>
          <w:iCs/>
        </w:rPr>
        <w:t xml:space="preserve">rigidez postural</w:t>
      </w:r>
      <w:r>
        <w:t xml:space="preserve"> </w:t>
      </w:r>
      <w:r>
        <w:t xml:space="preserve">(</w:t>
      </w:r>
      <m:oMath>
        <m:r>
          <m:t>ρ</m:t>
        </m:r>
        <m:r>
          <m:rPr>
            <m:sty m:val="p"/>
          </m:rPr>
          <m:t>=</m:t>
        </m:r>
        <m:r>
          <m:t>0.820</m:t>
        </m:r>
      </m:oMath>
      <w:r>
        <w:t xml:space="preserve">) emergem como os vetores primários. O Estado moderno, ao converter corpos femininos em avatares da Justiça e da República, realiza sua operação ideológica mais violenta não apenas ao cobrir a figura, mas ao petrificar seu rosto em uma simetria inexpressiva e alinhar sua coluna a um eixo estritamente ortogonal.</w:t>
      </w:r>
    </w:p>
    <w:bookmarkEnd w:id="60"/>
    <w:bookmarkStart w:id="61" w:name="X71b1ae9aa76a98620e84b88b1ea8529c5cf3b72"/>
    <w:p>
      <w:pPr>
        <w:pStyle w:val="Heading2"/>
      </w:pPr>
      <w:r>
        <w:rPr>
          <w:rStyle w:val="SectionNumber"/>
        </w:rPr>
        <w:t xml:space="preserve">7.4</w:t>
      </w:r>
      <w:r>
        <w:tab/>
      </w:r>
      <w:r>
        <w:t xml:space="preserve">6.4 - Circulação transatlântica e o espaço das correspondências</w:t>
      </w:r>
    </w:p>
    <w:p>
      <w:pPr>
        <w:pStyle w:val="FirstParagraph"/>
      </w:pPr>
      <w:r>
        <w:t xml:space="preserve">A Análise de Correspondência Múltipla (MCA) permitiu mapear as distâncias multivariadas entre os itens do corpus, integrando período histórico, país, suporte, regime e nível de endurecimento. A inércia explicada pelas primeiras dimensões, embora limitada matematicamente (típico de MCA com variáveis densas), desenha uma topologia clara do imaginário jurídico transatlântico.</w:t>
      </w:r>
    </w:p>
    <w:p>
      <w:pPr>
        <w:pStyle w:val="BodyText"/>
      </w:pPr>
      <w:r>
        <w:t xml:space="preserve">No espaço Euclidiano projetado pelo algoritmo, itens periféricos ou de expansão ultramarina muitas vezes adotam um grau superlativo de endurecimento para compensar sua posição subordinada ou justificar a dominação. Entre os artefatos com maior distância da origem no mapa de correspondências, encontra-se a alegoria colonial belga (BE-CONGO-1912), perfeitamente alinhada ao quadrante militar de alto endurecimento, assim como a</w:t>
      </w:r>
      <w:r>
        <w:t xml:space="preserve"> </w:t>
      </w:r>
      <w:r>
        <w:rPr>
          <w:i/>
          <w:iCs/>
        </w:rPr>
        <w:t xml:space="preserve">Britannia</w:t>
      </w:r>
      <w:r>
        <w:t xml:space="preserve"> </w:t>
      </w:r>
      <w:r>
        <w:t xml:space="preserve">da expansão imperial comercial britânica do final do século XIX (UK-TRADE-1895). Ao mesmo tempo, no extremo oposto do gráfico, agrupam-se as caricaturas e contra-alegorias francesas (como FR-031 e FR-032), que subvertem a gramática visual desincorporando a alegoria de seu pedestal estatal ou devolvendo-lhe as paixões narrativas.</w:t>
      </w:r>
    </w:p>
    <w:bookmarkEnd w:id="61"/>
    <w:bookmarkStart w:id="62" w:name="X50805ccf9c2cddad2ce26900d53f3232c479e7b"/>
    <w:p>
      <w:pPr>
        <w:pStyle w:val="Heading2"/>
      </w:pPr>
      <w:r>
        <w:rPr>
          <w:rStyle w:val="SectionNumber"/>
        </w:rPr>
        <w:t xml:space="preserve">7.5</w:t>
      </w:r>
      <w:r>
        <w:tab/>
      </w:r>
      <w:r>
        <w:t xml:space="preserve">6.5 — Limites da quantificação: o que os números não dizem</w:t>
      </w:r>
    </w:p>
    <w:p>
      <w:pPr>
        <w:pStyle w:val="FirstParagraph"/>
      </w:pPr>
      <w:r>
        <w:t xml:space="preserve">A iconometria, embora desvele padrões morfológicos ocultos sob a poeira dos arquivos, esbarra em um limite epistemológico essencial. O número captura a rigidez postural, mas não captura a raça; ele quantifica o enquadramento arquitetônico, mas não a branquitude como pré-requisito da universalidade. A estatística revela que o Estado dessexualiza a alegoria para torná-la lei, mas a operação excludente que converte</w:t>
      </w:r>
      <w:r>
        <w:t xml:space="preserve"> </w:t>
      </w:r>
      <w:r>
        <w:rPr>
          <w:i/>
          <w:iCs/>
        </w:rPr>
        <w:t xml:space="preserve">apenas</w:t>
      </w:r>
      <w:r>
        <w:t xml:space="preserve"> </w:t>
      </w:r>
      <w:r>
        <w:t xml:space="preserve">corpos caucasianos e classicizados em metáforas válidas da jurisdição opera muitas vezes abaixo do radar da abstração quantitativa.</w:t>
      </w:r>
    </w:p>
    <w:p>
      <w:pPr>
        <w:pStyle w:val="BodyText"/>
      </w:pPr>
      <w:r>
        <w:t xml:space="preserve">Para essa dimensão do contrato visual, a contagem deve necessariamente ceder espaço à crítica teórica: é a</w:t>
      </w:r>
      <w:r>
        <w:t xml:space="preserve"> </w:t>
      </w:r>
      <w:r>
        <w:rPr>
          <w:i/>
          <w:iCs/>
        </w:rPr>
        <w:t xml:space="preserve">colonialidade do ver</w:t>
      </w:r>
      <w:r>
        <w:t xml:space="preserve"> </w:t>
      </w:r>
      <w:r>
        <w:t xml:space="preserve">(objeto do Capítulo 3) que ilumina por que o endurecimento afeta de maneira diferencial os corpos que podem — ou não — ascender ao Panteão normativo do Estado moderno.</w:t>
      </w:r>
    </w:p>
    <w:bookmarkEnd w:id="62"/>
    <w:bookmarkStart w:id="63" w:name="Xff4a5e4f0d1d8b227b8b94e4365da708537ba83"/>
    <w:p>
      <w:pPr>
        <w:pStyle w:val="Heading2"/>
      </w:pPr>
      <w:r>
        <w:rPr>
          <w:rStyle w:val="SectionNumber"/>
        </w:rPr>
        <w:t xml:space="preserve">7.6</w:t>
      </w:r>
      <w:r>
        <w:tab/>
      </w:r>
      <w:r>
        <w:t xml:space="preserve">6.6 — Materializações brasileiras: cinco direções para o caso sul-global</w:t>
      </w:r>
    </w:p>
    <w:p>
      <w:pPr>
        <w:pStyle w:val="FirstParagraph"/>
      </w:pPr>
      <w:r>
        <w:t xml:space="preserve">O argumento desenvolvido neste capítulo opera primordialmente sobre o corpus transatlântico clássico (França, EUA, Alemanha, Reino Unido, Itália). A extensão para o Sul Global — especificamente para o caso brasileiro — não deve ser tratada como mera</w:t>
      </w:r>
      <w:r>
        <w:t xml:space="preserve"> </w:t>
      </w:r>
      <w:r>
        <w:t xml:space="preserve">“aplicação”</w:t>
      </w:r>
      <w:r>
        <w:t xml:space="preserve"> </w:t>
      </w:r>
      <w:r>
        <w:t xml:space="preserve">do modelo, mas como possibilidade de contribuição original, dado que as cinco dimensões do contrato visual (sexual, racial, linguístico, fenomenológico, econômico) se articulam de forma específica no contexto brasileiro.</w:t>
      </w:r>
    </w:p>
    <w:p>
      <w:pPr>
        <w:pStyle w:val="BodyText"/>
      </w:pPr>
      <w:r>
        <w:t xml:space="preserve">Cinco direções foram mapeadas para essa extensão:</w:t>
      </w:r>
    </w:p>
    <w:p>
      <w:pPr>
        <w:pStyle w:val="Compact"/>
        <w:numPr>
          <w:ilvl w:val="0"/>
          <w:numId w:val="1001"/>
        </w:numPr>
      </w:pPr>
      <w:r>
        <w:rPr>
          <w:b/>
          <w:bCs/>
        </w:rPr>
        <w:t xml:space="preserve">Abordagem monetária e comemorativa</w:t>
      </w:r>
      <w:r>
        <w:t xml:space="preserve"> </w:t>
      </w:r>
      <w:r>
        <w:t xml:space="preserve">— a economia visual das moedas e cédulas imperiais e republicanas como extensão do contrato para o bolso do cidadão</w:t>
      </w:r>
    </w:p>
    <w:p>
      <w:pPr>
        <w:pStyle w:val="Compact"/>
        <w:numPr>
          <w:ilvl w:val="0"/>
          <w:numId w:val="1001"/>
        </w:numPr>
      </w:pPr>
      <w:r>
        <w:rPr>
          <w:b/>
          <w:bCs/>
        </w:rPr>
        <w:t xml:space="preserve">Monumentos neoclássicos seriados</w:t>
      </w:r>
      <w:r>
        <w:t xml:space="preserve"> </w:t>
      </w:r>
      <w:r>
        <w:t xml:space="preserve">— análise da reprodução mecânica da fórmula canônica nos monumentos públicos brasileiros do século XIX e XX</w:t>
      </w:r>
    </w:p>
    <w:p>
      <w:pPr>
        <w:pStyle w:val="Compact"/>
        <w:numPr>
          <w:ilvl w:val="0"/>
          <w:numId w:val="1001"/>
        </w:numPr>
      </w:pPr>
      <w:r>
        <w:rPr>
          <w:b/>
          <w:bCs/>
        </w:rPr>
        <w:t xml:space="preserve">Conexão italiana</w:t>
      </w:r>
      <w:r>
        <w:t xml:space="preserve"> </w:t>
      </w:r>
      <w:r>
        <w:t xml:space="preserve">— escultores e oficinas italianas como tecnologia importada de construção da alegoria estatal brasileira</w:t>
      </w:r>
    </w:p>
    <w:p>
      <w:pPr>
        <w:pStyle w:val="Compact"/>
        <w:numPr>
          <w:ilvl w:val="0"/>
          <w:numId w:val="1001"/>
        </w:numPr>
      </w:pPr>
      <w:r>
        <w:rPr>
          <w:b/>
          <w:bCs/>
        </w:rPr>
        <w:t xml:space="preserve">Arquitetura judiciária</w:t>
      </w:r>
      <w:r>
        <w:t xml:space="preserve"> </w:t>
      </w:r>
      <w:r>
        <w:t xml:space="preserve">— programas visuais interiores dos tribunais brasileiros como espaço de produção de subjetividade judicial</w:t>
      </w:r>
    </w:p>
    <w:p>
      <w:pPr>
        <w:pStyle w:val="Compact"/>
        <w:numPr>
          <w:ilvl w:val="0"/>
          <w:numId w:val="1001"/>
        </w:numPr>
      </w:pPr>
      <w:r>
        <w:rPr>
          <w:b/>
          <w:bCs/>
        </w:rPr>
        <w:t xml:space="preserve">Dimensão racial</w:t>
      </w:r>
      <w:r>
        <w:t xml:space="preserve"> </w:t>
      </w:r>
      <w:r>
        <w:t xml:space="preserve">— a interseção entre contrato sexual e contrato racial na alegoria brasileira (corpo branco como pré-requisito da universalidade)</w:t>
      </w:r>
    </w:p>
    <w:p>
      <w:pPr>
        <w:pStyle w:val="BlockText"/>
      </w:pPr>
      <w:r>
        <w:t xml:space="preserve">📎 Ver completo em: [[brazilian-visual-economy-proposals]]</w:t>
      </w:r>
      <w:r>
        <w:br/>
      </w:r>
      <w:r>
        <w:t xml:space="preserve">📊 Matriz comparativa: [[brazilian-case-decision-matrix]]</w:t>
      </w:r>
      <w:r>
        <w:br/>
      </w:r>
      <w:r>
        <w:t xml:space="preserve">🗓️ Plano imediato: [[plano-2-semanas-caso-brasileiro]]</w:t>
      </w:r>
    </w:p>
    <w:p>
      <w:pPr>
        <w:pStyle w:val="FirstParagraph"/>
      </w:pPr>
      <w:r>
        <w:t xml:space="preserve">O bloco</w:t>
      </w:r>
      <w:r>
        <w:t xml:space="preserve"> </w:t>
      </w:r>
      <w:r>
        <w:t xml:space="preserve">“Contrato Racial Visual”</w:t>
      </w:r>
      <w:r>
        <w:t xml:space="preserve"> </w:t>
      </w:r>
      <w:r>
        <w:t xml:space="preserve">(Bloco 3 da Matriz de Hipóteses) não deve ser reduzido a uma sub-seção do caso brasileiro — requer desenvolvimento próprio, demonstrado</w:t>
      </w:r>
      <w:r>
        <w:t xml:space="preserve"> </w:t>
      </w:r>
      <w:r>
        <w:rPr>
          <w:i/>
          <w:iCs/>
        </w:rPr>
        <w:t xml:space="preserve">através</w:t>
      </w:r>
      <w:r>
        <w:t xml:space="preserve"> </w:t>
      </w:r>
      <w:r>
        <w:t xml:space="preserve">do caso mas não limitado a ele.</w:t>
      </w:r>
    </w:p>
    <w:bookmarkEnd w:id="63"/>
    <w:bookmarkEnd w:id="64"/>
    <w:bookmarkStart w:id="83" w:name="X10f02d5973796b069f9647a2ec35b651950acf3"/>
    <w:p>
      <w:pPr>
        <w:pStyle w:val="Heading1"/>
      </w:pPr>
      <w:r>
        <w:rPr>
          <w:rStyle w:val="SectionNumber"/>
        </w:rPr>
        <w:t xml:space="preserve">8</w:t>
      </w:r>
      <w:r>
        <w:tab/>
      </w:r>
      <w:r>
        <w:t xml:space="preserve">Capítulo 7 — Análise Qualitativa: Iconologia de Casos Paradigmáticos</w:t>
      </w:r>
    </w:p>
    <w:bookmarkStart w:id="65" w:name="Xa46368d565ead77447c10dc39b6ee0ca81bba6c"/>
    <w:p>
      <w:pPr>
        <w:pStyle w:val="Heading2"/>
      </w:pPr>
      <w:r>
        <w:rPr>
          <w:rStyle w:val="SectionNumber"/>
        </w:rPr>
        <w:t xml:space="preserve">8.1</w:t>
      </w:r>
      <w:r>
        <w:tab/>
      </w:r>
      <w:r>
        <w:t xml:space="preserve">Introdução: O Paradoxo do Corpo Soberano e a Exclusão Cívica</w:t>
      </w:r>
    </w:p>
    <w:p>
      <w:pPr>
        <w:pStyle w:val="FirstParagraph"/>
      </w:pPr>
      <w:r>
        <w:t xml:space="preserve">Neste capítulo, transitamos da modelagem macro-analítica e quantitativa dos padrões iconométricos desenvolvida no Capítulo 6 para a investigação micro-analítica e hermenêutica de estudos de caso paradigmáticos e desviantes. A operação metodológica aqui realizada fundamenta-se nos três níveis da iconologia jurídica de Panofsky adaptada (conforme estabelecido no Capítulo 4), cruzando o formalismo visual e a análise de conteúdo com a crítica do</w:t>
      </w:r>
      <w:r>
        <w:t xml:space="preserve"> </w:t>
      </w:r>
      <w:r>
        <w:rPr>
          <w:i/>
          <w:iCs/>
        </w:rPr>
        <w:t xml:space="preserve">Contrato Sexual Visual</w:t>
      </w:r>
      <w:r>
        <w:t xml:space="preserve"> </w:t>
      </w:r>
      <w:r>
        <w:t xml:space="preserve">(Vanzin 2026) e do</w:t>
      </w:r>
      <w:r>
        <w:t xml:space="preserve"> </w:t>
      </w:r>
      <w:r>
        <w:rPr>
          <w:i/>
          <w:iCs/>
        </w:rPr>
        <w:t xml:space="preserve">Contrato Racial Visual</w:t>
      </w:r>
      <w:r>
        <w:t xml:space="preserve"> </w:t>
      </w:r>
      <w:r>
        <w:t xml:space="preserve">(Mills 1997).</w:t>
      </w:r>
    </w:p>
    <w:p>
      <w:pPr>
        <w:pStyle w:val="BodyText"/>
      </w:pPr>
      <w:r>
        <w:t xml:space="preserve">O objetivo central é demonstrar de que forma a carnalidade corporal da alegoria feminina estatal é progressivamente neutralizada e domesticada por meio de operações de</w:t>
      </w:r>
      <w:r>
        <w:t xml:space="preserve"> </w:t>
      </w:r>
      <w:r>
        <w:rPr>
          <w:i/>
          <w:iCs/>
        </w:rPr>
        <w:t xml:space="preserve">purificação clássica</w:t>
      </w:r>
      <w:r>
        <w:t xml:space="preserve"> </w:t>
      </w:r>
      <w:r>
        <w:t xml:space="preserve">e</w:t>
      </w:r>
      <w:r>
        <w:t xml:space="preserve"> </w:t>
      </w:r>
      <w:r>
        <w:rPr>
          <w:i/>
          <w:iCs/>
        </w:rPr>
        <w:t xml:space="preserve">dessexualização</w:t>
      </w:r>
      <w:r>
        <w:t xml:space="preserve">, transformando-a em uma tecnologia eficaz de soberania — um</w:t>
      </w:r>
      <w:r>
        <w:t xml:space="preserve"> </w:t>
      </w:r>
      <w:r>
        <w:t xml:space="preserve">“recipiente vazio”</w:t>
      </w:r>
      <w:r>
        <w:t xml:space="preserve"> </w:t>
      </w:r>
      <w:r>
        <w:t xml:space="preserve">(</w:t>
      </w:r>
      <w:r>
        <w:rPr>
          <w:i/>
          <w:iCs/>
        </w:rPr>
        <w:t xml:space="preserve">Feminilidade de Estado</w:t>
      </w:r>
      <w:r>
        <w:t xml:space="preserve">) apto a encarnar conceitos abstratos de ordem, lei e coerção dos quais as mulheres reais estiveram historicamente excluídas de participar.</w:t>
      </w:r>
    </w:p>
    <w:p>
      <w:r>
        <w:pict>
          <v:rect style="width:0;height:1.5pt" o:hralign="center" o:hrstd="t" o:hr="t"/>
        </w:pict>
      </w:r>
    </w:p>
    <w:bookmarkEnd w:id="65"/>
    <w:bookmarkStart w:id="68" w:name="X8c2aced2cc95b9ded3c80da6a51511a21b3d905"/>
    <w:p>
      <w:pPr>
        <w:pStyle w:val="Heading2"/>
      </w:pPr>
      <w:r>
        <w:rPr>
          <w:rStyle w:val="SectionNumber"/>
        </w:rPr>
        <w:t xml:space="preserve">8.2</w:t>
      </w:r>
      <w:r>
        <w:tab/>
      </w:r>
      <w:r>
        <w:t xml:space="preserve">7.1 — Marianne: da barricada ao selo (A Domesticação da Revolução)</w:t>
      </w:r>
    </w:p>
    <w:p>
      <w:pPr>
        <w:pStyle w:val="BlockText"/>
      </w:pPr>
      <w:r>
        <w:t xml:space="preserve">▸</w:t>
      </w:r>
      <w:r>
        <w:t xml:space="preserve"> </w:t>
      </w:r>
      <w:r>
        <w:rPr>
          <w:i/>
          <w:iCs/>
        </w:rPr>
        <w:t xml:space="preserve">Caso francês. Delacroix → III República → selos contemporâneos. A</w:t>
      </w:r>
      <w:r>
        <w:rPr>
          <w:i/>
          <w:iCs/>
        </w:rPr>
        <w:t xml:space="preserve"> </w:t>
      </w:r>
      <w:r>
        <w:rPr>
          <w:i/>
          <w:iCs/>
        </w:rPr>
        <w:t xml:space="preserve">“limpeza”</w:t>
      </w:r>
      <w:r>
        <w:rPr>
          <w:i/>
          <w:iCs/>
        </w:rPr>
        <w:t xml:space="preserve"> </w:t>
      </w:r>
      <w:r>
        <w:rPr>
          <w:i/>
          <w:iCs/>
        </w:rPr>
        <w:t xml:space="preserve">progressiva do corpo revolucionário. Marianne-celebridades como ressignificação pop.</w:t>
      </w:r>
    </w:p>
    <w:p>
      <w:pPr>
        <w:pStyle w:val="FirstParagraph"/>
      </w:pPr>
      <w:r>
        <w:t xml:space="preserve">Esta seção analisa a trajetória morfológica de</w:t>
      </w:r>
      <w:r>
        <w:t xml:space="preserve"> </w:t>
      </w:r>
      <w:r>
        <w:rPr>
          <w:i/>
          <w:iCs/>
        </w:rPr>
        <w:t xml:space="preserve">Marianne</w:t>
      </w:r>
      <w:r>
        <w:t xml:space="preserve">, a personificação da República francesa, investigando a sua transição diacrônica entre o regime Fundacional e o regime Normativo.</w:t>
      </w:r>
    </w:p>
    <w:bookmarkStart w:id="66" w:name="tópicos-de-desenvolvimento"/>
    <w:p>
      <w:pPr>
        <w:pStyle w:val="Heading3"/>
      </w:pPr>
      <w:r>
        <w:rPr>
          <w:rStyle w:val="SectionNumber"/>
        </w:rPr>
        <w:t xml:space="preserve">8.2.1</w:t>
      </w:r>
      <w:r>
        <w:tab/>
      </w:r>
      <w:r>
        <w:t xml:space="preserve">Tópicos de Desenvolvimento:</w:t>
      </w:r>
    </w:p>
    <w:p>
      <w:pPr>
        <w:pStyle w:val="Compact"/>
        <w:numPr>
          <w:ilvl w:val="0"/>
          <w:numId w:val="1002"/>
        </w:numPr>
      </w:pPr>
      <w:r>
        <w:rPr>
          <w:b/>
          <w:bCs/>
        </w:rPr>
        <w:t xml:space="preserve">A Marianne Insurgente</w:t>
      </w:r>
      <w:r>
        <w:t xml:space="preserve">: Análise de</w:t>
      </w:r>
      <w:r>
        <w:t xml:space="preserve"> </w:t>
      </w:r>
      <w:r>
        <w:rPr>
          <w:i/>
          <w:iCs/>
        </w:rPr>
        <w:t xml:space="preserve">La Liberté guidant le peuple</w:t>
      </w:r>
      <w:r>
        <w:t xml:space="preserve"> </w:t>
      </w:r>
      <w:r>
        <w:t xml:space="preserve">(Delacroix, 1830,</w:t>
      </w:r>
      <w:r>
        <w:t xml:space="preserve"> </w:t>
      </w:r>
      <w:r>
        <w:rPr>
          <w:rStyle w:val="VerbatimChar"/>
        </w:rPr>
        <w:t xml:space="preserve">SCOUT-542</w:t>
      </w:r>
      <w:r>
        <w:t xml:space="preserve">). O seio exposto, os pés descalços, a axila com pelos e a agência armada representam o limiar de maior carnalidade e plasticidade corporal da alegoria fundacional.</w:t>
      </w:r>
    </w:p>
    <w:p>
      <w:pPr>
        <w:pStyle w:val="Compact"/>
        <w:numPr>
          <w:ilvl w:val="0"/>
          <w:numId w:val="1002"/>
        </w:numPr>
      </w:pPr>
      <w:r>
        <w:rPr>
          <w:b/>
          <w:bCs/>
        </w:rPr>
        <w:t xml:space="preserve">A Purificação da Terceira República</w:t>
      </w:r>
      <w:r>
        <w:t xml:space="preserve">: A institucionalização do regime Normativo no final do século XIX exige a domesticação desse corpo indômito. Análise da</w:t>
      </w:r>
      <w:r>
        <w:t xml:space="preserve"> </w:t>
      </w:r>
      <w:r>
        <w:rPr>
          <w:i/>
          <w:iCs/>
        </w:rPr>
        <w:t xml:space="preserve">Semeuse</w:t>
      </w:r>
      <w:r>
        <w:t xml:space="preserve"> </w:t>
      </w:r>
      <w:r>
        <w:t xml:space="preserve">(Roty, 1898,</w:t>
      </w:r>
      <w:r>
        <w:t xml:space="preserve"> </w:t>
      </w:r>
      <w:r>
        <w:rPr>
          <w:rStyle w:val="VerbatimChar"/>
        </w:rPr>
        <w:t xml:space="preserve">SCOUT-121</w:t>
      </w:r>
      <w:r>
        <w:t xml:space="preserve">) e das séries definitivas de selos de Mouchon (</w:t>
      </w:r>
      <w:r>
        <w:rPr>
          <w:rStyle w:val="VerbatimChar"/>
        </w:rPr>
        <w:t xml:space="preserve">FR-022</w:t>
      </w:r>
      <w:r>
        <w:t xml:space="preserve">). O corpo é coberto por túnicas flutuantes clássicas, os pés são calçados, e o movimento violento da barricada é convertido na marcha pacífica e burocrática da semeadura de moedas e correspondência estatal.</w:t>
      </w:r>
    </w:p>
    <w:p>
      <w:pPr>
        <w:pStyle w:val="Compact"/>
        <w:numPr>
          <w:ilvl w:val="0"/>
          <w:numId w:val="1002"/>
        </w:numPr>
      </w:pPr>
      <w:r>
        <w:rPr>
          <w:b/>
          <w:bCs/>
        </w:rPr>
        <w:t xml:space="preserve">A Marianne Burocrática e Pop</w:t>
      </w:r>
      <w:r>
        <w:t xml:space="preserve">: Análise das</w:t>
      </w:r>
      <w:r>
        <w:t xml:space="preserve"> </w:t>
      </w:r>
      <w:r>
        <w:rPr>
          <w:i/>
          <w:iCs/>
        </w:rPr>
        <w:t xml:space="preserve">Marianne-celebridades</w:t>
      </w:r>
      <w:r>
        <w:t xml:space="preserve"> </w:t>
      </w:r>
      <w:r>
        <w:t xml:space="preserve">(Brigitte Bardot, Catherine Deneuve). A conversão do ícone revolucionário em referencial estético pop representa a consolidação final da</w:t>
      </w:r>
      <w:r>
        <w:t xml:space="preserve"> </w:t>
      </w:r>
      <w:r>
        <w:rPr>
          <w:i/>
          <w:iCs/>
        </w:rPr>
        <w:t xml:space="preserve">Feminilidade de Estado</w:t>
      </w:r>
      <w:r>
        <w:t xml:space="preserve">: o esvaziamento completo da agência cívica e a sua substituição pela pura plasticidade consumível.</w:t>
      </w:r>
    </w:p>
    <w:bookmarkEnd w:id="66"/>
    <w:bookmarkStart w:id="67" w:name="conexões-com-o-corpus"/>
    <w:p>
      <w:pPr>
        <w:pStyle w:val="Heading3"/>
      </w:pPr>
      <w:r>
        <w:rPr>
          <w:rStyle w:val="SectionNumber"/>
        </w:rPr>
        <w:t xml:space="preserve">8.2.2</w:t>
      </w:r>
      <w:r>
        <w:tab/>
      </w:r>
      <w:r>
        <w:t xml:space="preserve">Conexões com o Corpus:</w:t>
      </w:r>
    </w:p>
    <w:p>
      <w:pPr>
        <w:pStyle w:val="Compact"/>
        <w:numPr>
          <w:ilvl w:val="0"/>
          <w:numId w:val="1003"/>
        </w:numPr>
      </w:pPr>
      <w:r>
        <w:rPr>
          <w:rStyle w:val="VerbatimChar"/>
        </w:rPr>
        <w:t xml:space="preserve">SCOUT-542</w:t>
      </w:r>
      <w:r>
        <w:t xml:space="preserve"> </w:t>
      </w:r>
      <w:r>
        <w:t xml:space="preserve">(Delacroix, 1830) — Carnalidade fundacional máxima.</w:t>
      </w:r>
    </w:p>
    <w:p>
      <w:pPr>
        <w:pStyle w:val="Compact"/>
        <w:numPr>
          <w:ilvl w:val="0"/>
          <w:numId w:val="1003"/>
        </w:numPr>
      </w:pPr>
      <w:r>
        <w:rPr>
          <w:rStyle w:val="VerbatimChar"/>
        </w:rPr>
        <w:t xml:space="preserve">SCOUT-121</w:t>
      </w:r>
      <w:r>
        <w:t xml:space="preserve"> </w:t>
      </w:r>
      <w:r>
        <w:t xml:space="preserve">(Roty, 1898) — Purificação clássica normativa.</w:t>
      </w:r>
    </w:p>
    <w:p>
      <w:pPr>
        <w:pStyle w:val="Compact"/>
        <w:numPr>
          <w:ilvl w:val="0"/>
          <w:numId w:val="1003"/>
        </w:numPr>
      </w:pPr>
      <w:r>
        <w:rPr>
          <w:rStyle w:val="VerbatimChar"/>
        </w:rPr>
        <w:t xml:space="preserve">FR-022</w:t>
      </w:r>
      <w:r>
        <w:t xml:space="preserve"> </w:t>
      </w:r>
      <w:r>
        <w:t xml:space="preserve">(Mouchon, 1892) — Entrada em circulação burocrática postal.</w:t>
      </w:r>
    </w:p>
    <w:p>
      <w:r>
        <w:pict>
          <v:rect style="width:0;height:1.5pt" o:hralign="center" o:hrstd="t" o:hr="t"/>
        </w:pict>
      </w:r>
    </w:p>
    <w:bookmarkEnd w:id="67"/>
    <w:bookmarkEnd w:id="68"/>
    <w:bookmarkStart w:id="71" w:name="X690d794613c5105b1fcf6139e2a28eae389273a"/>
    <w:p>
      <w:pPr>
        <w:pStyle w:val="Heading2"/>
      </w:pPr>
      <w:r>
        <w:rPr>
          <w:rStyle w:val="SectionNumber"/>
        </w:rPr>
        <w:t xml:space="preserve">8.3</w:t>
      </w:r>
      <w:r>
        <w:tab/>
      </w:r>
      <w:r>
        <w:t xml:space="preserve">7.2 — Britannia e Thatcher: quando a alegoria ganha rosto (O Caso Desviante)</w:t>
      </w:r>
    </w:p>
    <w:p>
      <w:pPr>
        <w:pStyle w:val="BlockText"/>
      </w:pPr>
      <w:r>
        <w:t xml:space="preserve">▸</w:t>
      </w:r>
      <w:r>
        <w:t xml:space="preserve"> </w:t>
      </w:r>
      <w:r>
        <w:rPr>
          <w:i/>
          <w:iCs/>
        </w:rPr>
        <w:t xml:space="preserve">Caso britânico. Caso desviante: Margaret Thatcher como Britannia na imprensa e caricatura. O que acontece quando uma mulher real ocupa o lugar do poder alegórico? Tensão entre agência feminina real e função alegórica de Estado.</w:t>
      </w:r>
    </w:p>
    <w:p>
      <w:pPr>
        <w:pStyle w:val="FirstParagraph"/>
      </w:pPr>
      <w:r>
        <w:t xml:space="preserve">Investigação da tensão estrutural que ocorre quando a barreira ontológica que separa a alegoria atópica da carne material é rompida pela emergência de uma liderança feminina real no topo do Executivo estatal.</w:t>
      </w:r>
    </w:p>
    <w:bookmarkStart w:id="69" w:name="tópicos-de-desenvolvimento-1"/>
    <w:p>
      <w:pPr>
        <w:pStyle w:val="Heading3"/>
      </w:pPr>
      <w:r>
        <w:rPr>
          <w:rStyle w:val="SectionNumber"/>
        </w:rPr>
        <w:t xml:space="preserve">8.3.1</w:t>
      </w:r>
      <w:r>
        <w:tab/>
      </w:r>
      <w:r>
        <w:t xml:space="preserve">Tópicos de Desenvolvimento:</w:t>
      </w:r>
    </w:p>
    <w:p>
      <w:pPr>
        <w:pStyle w:val="Compact"/>
        <w:numPr>
          <w:ilvl w:val="0"/>
          <w:numId w:val="1004"/>
        </w:numPr>
      </w:pPr>
      <w:r>
        <w:rPr>
          <w:b/>
          <w:bCs/>
        </w:rPr>
        <w:t xml:space="preserve">O Cânone de Britannia</w:t>
      </w:r>
      <w:r>
        <w:t xml:space="preserve">: A construção histórica de</w:t>
      </w:r>
      <w:r>
        <w:t xml:space="preserve"> </w:t>
      </w:r>
      <w:r>
        <w:rPr>
          <w:i/>
          <w:iCs/>
        </w:rPr>
        <w:t xml:space="preserve">Britannia</w:t>
      </w:r>
      <w:r>
        <w:t xml:space="preserve"> </w:t>
      </w:r>
      <w:r>
        <w:t xml:space="preserve">nas moedas (série</w:t>
      </w:r>
      <w:r>
        <w:t xml:space="preserve"> </w:t>
      </w:r>
      <w:r>
        <w:rPr>
          <w:rStyle w:val="VerbatimChar"/>
        </w:rPr>
        <w:t xml:space="preserve">SCOUT-118</w:t>
      </w:r>
      <w:r>
        <w:t xml:space="preserve">,</w:t>
      </w:r>
      <w:r>
        <w:t xml:space="preserve"> </w:t>
      </w:r>
      <w:r>
        <w:rPr>
          <w:rStyle w:val="VerbatimChar"/>
        </w:rPr>
        <w:t xml:space="preserve">SCOUT-322</w:t>
      </w:r>
      <w:r>
        <w:t xml:space="preserve">) e cartazes de guerra (</w:t>
      </w:r>
      <w:r>
        <w:rPr>
          <w:rStyle w:val="VerbatimChar"/>
        </w:rPr>
        <w:t xml:space="preserve">SCOUT-341</w:t>
      </w:r>
      <w:r>
        <w:t xml:space="preserve">). Uma soberania hiper-armada e imperial, assentada sobre o tridente e o escudo, porém rigidamente dessexualizada e classicizada (endurecimento de nível 3).</w:t>
      </w:r>
    </w:p>
    <w:p>
      <w:pPr>
        <w:pStyle w:val="Compact"/>
        <w:numPr>
          <w:ilvl w:val="0"/>
          <w:numId w:val="1004"/>
        </w:numPr>
      </w:pPr>
      <w:r>
        <w:rPr>
          <w:b/>
          <w:bCs/>
        </w:rPr>
        <w:t xml:space="preserve">O</w:t>
      </w:r>
      <w:r>
        <w:rPr>
          <w:b/>
          <w:bCs/>
        </w:rPr>
        <w:t xml:space="preserve"> </w:t>
      </w:r>
      <w:r>
        <w:rPr>
          <w:b/>
          <w:bCs/>
        </w:rPr>
        <w:t xml:space="preserve">“Rosto”</w:t>
      </w:r>
      <w:r>
        <w:rPr>
          <w:b/>
          <w:bCs/>
        </w:rPr>
        <w:t xml:space="preserve"> </w:t>
      </w:r>
      <w:r>
        <w:rPr>
          <w:b/>
          <w:bCs/>
        </w:rPr>
        <w:t xml:space="preserve">da Soberania</w:t>
      </w:r>
      <w:r>
        <w:t xml:space="preserve">: Análise das caricaturas políticas de Margaret Thatcher travestida de Britannia na imprensa britânica dos anos 1980. O paradoxo de Thatcher: ao mesmo tempo em que a primeira-ministra personifica a rigidez militar nacional (a</w:t>
      </w:r>
      <w:r>
        <w:t xml:space="preserve"> </w:t>
      </w:r>
      <w:r>
        <w:t xml:space="preserve">“Dama de Ferro”</w:t>
      </w:r>
      <w:r>
        <w:t xml:space="preserve">), a sua carne real contamina a pureza universal da alegoria.</w:t>
      </w:r>
    </w:p>
    <w:p>
      <w:pPr>
        <w:pStyle w:val="Compact"/>
        <w:numPr>
          <w:ilvl w:val="0"/>
          <w:numId w:val="1004"/>
        </w:numPr>
      </w:pPr>
      <w:r>
        <w:rPr>
          <w:b/>
          <w:bCs/>
        </w:rPr>
        <w:t xml:space="preserve">A Tensão Soberania-Gênero</w:t>
      </w:r>
      <w:r>
        <w:t xml:space="preserve">: O uso satírico da alegoria para deslegitimar a sua agência política real, transformando o escudo de Britannia em um acessório de cozinha ou a espada em instrumento de opressão doméstica. Demonstração de que a alegoria estatal só é tolerada como um recipiente representativo passivo, e não como espelho de governança real.</w:t>
      </w:r>
    </w:p>
    <w:bookmarkEnd w:id="69"/>
    <w:bookmarkStart w:id="70" w:name="conexões-com-o-corpus-1"/>
    <w:p>
      <w:pPr>
        <w:pStyle w:val="Heading3"/>
      </w:pPr>
      <w:r>
        <w:rPr>
          <w:rStyle w:val="SectionNumber"/>
        </w:rPr>
        <w:t xml:space="preserve">8.3.2</w:t>
      </w:r>
      <w:r>
        <w:tab/>
      </w:r>
      <w:r>
        <w:t xml:space="preserve">Conexões com o Corpus:</w:t>
      </w:r>
    </w:p>
    <w:p>
      <w:pPr>
        <w:pStyle w:val="Compact"/>
        <w:numPr>
          <w:ilvl w:val="0"/>
          <w:numId w:val="1005"/>
        </w:numPr>
      </w:pPr>
      <w:r>
        <w:rPr>
          <w:rStyle w:val="VerbatimChar"/>
        </w:rPr>
        <w:t xml:space="preserve">SCOUT-118</w:t>
      </w:r>
      <w:r>
        <w:t xml:space="preserve"> </w:t>
      </w:r>
      <w:r>
        <w:t xml:space="preserve">(Britannia Florin Edward VII) — Cânone imperial clássico.</w:t>
      </w:r>
    </w:p>
    <w:p>
      <w:pPr>
        <w:pStyle w:val="Compact"/>
        <w:numPr>
          <w:ilvl w:val="0"/>
          <w:numId w:val="1005"/>
        </w:numPr>
      </w:pPr>
      <w:r>
        <w:rPr>
          <w:rStyle w:val="VerbatimChar"/>
        </w:rPr>
        <w:t xml:space="preserve">SCOUT-322</w:t>
      </w:r>
      <w:r>
        <w:t xml:space="preserve"> </w:t>
      </w:r>
      <w:r>
        <w:t xml:space="preserve">(Victoria Penny, 1895) — O limiar do endurecimento imperial.</w:t>
      </w:r>
    </w:p>
    <w:p>
      <w:pPr>
        <w:pStyle w:val="Compact"/>
        <w:numPr>
          <w:ilvl w:val="0"/>
          <w:numId w:val="1005"/>
        </w:numPr>
      </w:pPr>
      <w:r>
        <w:rPr>
          <w:rStyle w:val="VerbatimChar"/>
        </w:rPr>
        <w:t xml:space="preserve">SCOUT-341</w:t>
      </w:r>
      <w:r>
        <w:t xml:space="preserve"> </w:t>
      </w:r>
      <w:r>
        <w:t xml:space="preserve">(Take up the sword of justice, WWI) — O corpo mobilizado militarmente.</w:t>
      </w:r>
    </w:p>
    <w:p>
      <w:r>
        <w:pict>
          <v:rect style="width:0;height:1.5pt" o:hralign="center" o:hrstd="t" o:hr="t"/>
        </w:pict>
      </w:r>
    </w:p>
    <w:bookmarkEnd w:id="70"/>
    <w:bookmarkEnd w:id="71"/>
    <w:bookmarkStart w:id="74" w:name="X4905be5bf5c82c74f03fb22ccfbf3a5f21f52e5"/>
    <w:p>
      <w:pPr>
        <w:pStyle w:val="Heading2"/>
      </w:pPr>
      <w:r>
        <w:rPr>
          <w:rStyle w:val="SectionNumber"/>
        </w:rPr>
        <w:t xml:space="preserve">8.4</w:t>
      </w:r>
      <w:r>
        <w:tab/>
      </w:r>
      <w:r>
        <w:t xml:space="preserve">7.3 — Columbia e Justice no Capitólio (A Arquitetura Alegórica da República Imperial)</w:t>
      </w:r>
    </w:p>
    <w:p>
      <w:pPr>
        <w:pStyle w:val="BlockText"/>
      </w:pPr>
      <w:r>
        <w:t xml:space="preserve">▸</w:t>
      </w:r>
      <w:r>
        <w:t xml:space="preserve"> </w:t>
      </w:r>
      <w:r>
        <w:rPr>
          <w:i/>
          <w:iCs/>
        </w:rPr>
        <w:t xml:space="preserve">Caso estadunidense. Crawford (Justice and History, c. 1860). Columbia entregando a espada a Dewey (1899). Bureau of Printing: a produção estatal burocrática da alegoria. Gravura da Constituição (Trenchard, 1788).</w:t>
      </w:r>
    </w:p>
    <w:p>
      <w:pPr>
        <w:pStyle w:val="FirstParagraph"/>
      </w:pPr>
      <w:r>
        <w:t xml:space="preserve">Análise da fabricação em massa da soberania visual norte-americana através do contraste entre a fragilidade cívica fundacional e a solidez arquitetônica imperial.</w:t>
      </w:r>
    </w:p>
    <w:bookmarkStart w:id="72" w:name="tópicos-de-desenvolvimento-2"/>
    <w:p>
      <w:pPr>
        <w:pStyle w:val="Heading3"/>
      </w:pPr>
      <w:r>
        <w:rPr>
          <w:rStyle w:val="SectionNumber"/>
        </w:rPr>
        <w:t xml:space="preserve">8.4.1</w:t>
      </w:r>
      <w:r>
        <w:tab/>
      </w:r>
      <w:r>
        <w:t xml:space="preserve">Tópicos de Desenvolvimento:</w:t>
      </w:r>
    </w:p>
    <w:p>
      <w:pPr>
        <w:pStyle w:val="Compact"/>
        <w:numPr>
          <w:ilvl w:val="0"/>
          <w:numId w:val="1006"/>
        </w:numPr>
      </w:pPr>
      <w:r>
        <w:rPr>
          <w:b/>
          <w:bCs/>
        </w:rPr>
        <w:t xml:space="preserve">A Infância da República</w:t>
      </w:r>
      <w:r>
        <w:t xml:space="preserve">: Análise do frontispício de Trenchard para a Constituição dos EUA (1788,</w:t>
      </w:r>
      <w:r>
        <w:t xml:space="preserve"> </w:t>
      </w:r>
      <w:r>
        <w:rPr>
          <w:rStyle w:val="VerbatimChar"/>
        </w:rPr>
        <w:t xml:space="preserve">SCOUT-362</w:t>
      </w:r>
      <w:r>
        <w:t xml:space="preserve">). A figura de</w:t>
      </w:r>
      <w:r>
        <w:t xml:space="preserve"> </w:t>
      </w:r>
      <w:r>
        <w:rPr>
          <w:i/>
          <w:iCs/>
        </w:rPr>
        <w:t xml:space="preserve">Columbia</w:t>
      </w:r>
      <w:r>
        <w:t xml:space="preserve"> </w:t>
      </w:r>
      <w:r>
        <w:t xml:space="preserve">como um corpo frágil e pastoril, dependente da proteção das virtudes clássicas.</w:t>
      </w:r>
    </w:p>
    <w:p>
      <w:pPr>
        <w:pStyle w:val="Compact"/>
        <w:numPr>
          <w:ilvl w:val="0"/>
          <w:numId w:val="1006"/>
        </w:numPr>
      </w:pPr>
      <w:r>
        <w:rPr>
          <w:b/>
          <w:bCs/>
        </w:rPr>
        <w:t xml:space="preserve">A Monumentalização de Crawford</w:t>
      </w:r>
      <w:r>
        <w:t xml:space="preserve">: O frontão do Capitólio de Thomas Crawford (</w:t>
      </w:r>
      <w:r>
        <w:rPr>
          <w:i/>
          <w:iCs/>
        </w:rPr>
        <w:t xml:space="preserve">Justice and History</w:t>
      </w:r>
      <w:r>
        <w:t xml:space="preserve">, c. 1860,</w:t>
      </w:r>
      <w:r>
        <w:t xml:space="preserve"> </w:t>
      </w:r>
      <w:r>
        <w:rPr>
          <w:rStyle w:val="VerbatimChar"/>
        </w:rPr>
        <w:t xml:space="preserve">SCOUT-531</w:t>
      </w:r>
      <w:r>
        <w:t xml:space="preserve">). O corpo feminino é integrado à ordem arquitetônica clássica, servindo como carpe decorativo e perdendo agência física em favor da rigidez do mármore forense.</w:t>
      </w:r>
    </w:p>
    <w:p>
      <w:pPr>
        <w:pStyle w:val="Compact"/>
        <w:numPr>
          <w:ilvl w:val="0"/>
          <w:numId w:val="1006"/>
        </w:numPr>
      </w:pPr>
      <w:r>
        <w:rPr>
          <w:b/>
          <w:bCs/>
        </w:rPr>
        <w:t xml:space="preserve">A Imperialização Militar</w:t>
      </w:r>
      <w:r>
        <w:t xml:space="preserve">: Análise do cartaz de comemoração da vitória na Guerra Hispano-Americana (1899), onde Columbia entrega a espada ao Almirante Dewey. O corpo feminino é endurecido heraldicamente para sancionar o expansionismo transatlântico de Washington, agindo como anteparo moral do imperialismo.</w:t>
      </w:r>
    </w:p>
    <w:bookmarkEnd w:id="72"/>
    <w:bookmarkStart w:id="73" w:name="conexões-com-o-corpus-2"/>
    <w:p>
      <w:pPr>
        <w:pStyle w:val="Heading3"/>
      </w:pPr>
      <w:r>
        <w:rPr>
          <w:rStyle w:val="SectionNumber"/>
        </w:rPr>
        <w:t xml:space="preserve">8.4.2</w:t>
      </w:r>
      <w:r>
        <w:tab/>
      </w:r>
      <w:r>
        <w:t xml:space="preserve">Conexões com o Corpus:</w:t>
      </w:r>
    </w:p>
    <w:p>
      <w:pPr>
        <w:pStyle w:val="Compact"/>
        <w:numPr>
          <w:ilvl w:val="0"/>
          <w:numId w:val="1007"/>
        </w:numPr>
      </w:pPr>
      <w:r>
        <w:rPr>
          <w:rStyle w:val="VerbatimChar"/>
        </w:rPr>
        <w:t xml:space="preserve">SCOUT-362</w:t>
      </w:r>
      <w:r>
        <w:t xml:space="preserve"> </w:t>
      </w:r>
      <w:r>
        <w:t xml:space="preserve">(Trenchard, 1788) — Fragilidade cívica fundacional.</w:t>
      </w:r>
    </w:p>
    <w:p>
      <w:pPr>
        <w:pStyle w:val="Compact"/>
        <w:numPr>
          <w:ilvl w:val="0"/>
          <w:numId w:val="1007"/>
        </w:numPr>
      </w:pPr>
      <w:r>
        <w:rPr>
          <w:rStyle w:val="VerbatimChar"/>
        </w:rPr>
        <w:t xml:space="preserve">SCOUT-531</w:t>
      </w:r>
      <w:r>
        <w:t xml:space="preserve"> </w:t>
      </w:r>
      <w:r>
        <w:t xml:space="preserve">(Crawford, 1860) — Integração e enquadramento arquitetônico.</w:t>
      </w:r>
    </w:p>
    <w:p>
      <w:pPr>
        <w:pStyle w:val="Compact"/>
        <w:numPr>
          <w:ilvl w:val="0"/>
          <w:numId w:val="1007"/>
        </w:numPr>
      </w:pPr>
      <w:r>
        <w:rPr>
          <w:rStyle w:val="VerbatimChar"/>
        </w:rPr>
        <w:t xml:space="preserve">US-001</w:t>
      </w:r>
      <w:r>
        <w:t xml:space="preserve"> </w:t>
      </w:r>
      <w:r>
        <w:t xml:space="preserve">(Landing of Columbus) — A fabricação visual da origem colonial.</w:t>
      </w:r>
    </w:p>
    <w:p>
      <w:r>
        <w:pict>
          <v:rect style="width:0;height:1.5pt" o:hralign="center" o:hrstd="t" o:hr="t"/>
        </w:pict>
      </w:r>
    </w:p>
    <w:bookmarkEnd w:id="73"/>
    <w:bookmarkEnd w:id="74"/>
    <w:bookmarkStart w:id="77" w:name="X5c863aed2de75aec85c38cc8d5b551d7c634ff9"/>
    <w:p>
      <w:pPr>
        <w:pStyle w:val="Heading2"/>
      </w:pPr>
      <w:r>
        <w:rPr>
          <w:rStyle w:val="SectionNumber"/>
        </w:rPr>
        <w:t xml:space="preserve">8.5</w:t>
      </w:r>
      <w:r>
        <w:tab/>
      </w:r>
      <w:r>
        <w:t xml:space="preserve">7.4 — A Justiça de Ceschiatti e a República sobre coluna (O Caminho Brasileiro)</w:t>
      </w:r>
    </w:p>
    <w:p>
      <w:pPr>
        <w:pStyle w:val="BlockText"/>
      </w:pPr>
      <w:r>
        <w:t xml:space="preserve">▸</w:t>
      </w:r>
      <w:r>
        <w:t xml:space="preserve"> </w:t>
      </w:r>
      <w:r>
        <w:rPr>
          <w:i/>
          <w:iCs/>
        </w:rPr>
        <w:t xml:space="preserve">Caso brasileiro. Ceschiatti no STF (Brasília). Monumentos à República (Belém, 1940, contexto Estado Novo). Visconti na Biblioteca Nacional (1910). O corpo neoclássico branco como importação ideológica e dispositivo de apagamento cívico-racial.</w:t>
      </w:r>
    </w:p>
    <w:p>
      <w:pPr>
        <w:pStyle w:val="FirstParagraph"/>
      </w:pPr>
      <w:r>
        <w:t xml:space="preserve">Investigação da recepção e transposição do cânone clássico europeu no Brasil, demonstrando como a importação da branquitude neoclássica atuou como ferramenta de consolidação do</w:t>
      </w:r>
      <w:r>
        <w:t xml:space="preserve"> </w:t>
      </w:r>
      <w:r>
        <w:rPr>
          <w:i/>
          <w:iCs/>
        </w:rPr>
        <w:t xml:space="preserve">Contrato Racial Visual</w:t>
      </w:r>
      <w:r>
        <w:t xml:space="preserve"> </w:t>
      </w:r>
      <w:r>
        <w:t xml:space="preserve">nacional.</w:t>
      </w:r>
    </w:p>
    <w:bookmarkStart w:id="75" w:name="tópicos-de-desenvolvimento-3"/>
    <w:p>
      <w:pPr>
        <w:pStyle w:val="Heading3"/>
      </w:pPr>
      <w:r>
        <w:rPr>
          <w:rStyle w:val="SectionNumber"/>
        </w:rPr>
        <w:t xml:space="preserve">8.5.1</w:t>
      </w:r>
      <w:r>
        <w:tab/>
      </w:r>
      <w:r>
        <w:t xml:space="preserve">Tópicos de Desenvolvimento:</w:t>
      </w:r>
    </w:p>
    <w:p>
      <w:pPr>
        <w:pStyle w:val="Compact"/>
        <w:numPr>
          <w:ilvl w:val="0"/>
          <w:numId w:val="1008"/>
        </w:numPr>
      </w:pPr>
      <w:r>
        <w:rPr>
          <w:b/>
          <w:bCs/>
        </w:rPr>
        <w:t xml:space="preserve">A República Positivista de Visconti</w:t>
      </w:r>
      <w:r>
        <w:t xml:space="preserve">: Análise da pintura de Elyseo Visconti para a Biblioteca Nacional (1910,</w:t>
      </w:r>
      <w:r>
        <w:t xml:space="preserve"> </w:t>
      </w:r>
      <w:r>
        <w:rPr>
          <w:rStyle w:val="VerbatimChar"/>
        </w:rPr>
        <w:t xml:space="preserve">SCOUT-425</w:t>
      </w:r>
      <w:r>
        <w:t xml:space="preserve">). A escolha deliberada de um cânone físico clássico europeu (pele Alva, traços atópicos) para coroar o novo regime brasileiro, apagando visualmente a realidade demográfica e racial do país recém-saído da escravidão.</w:t>
      </w:r>
    </w:p>
    <w:p>
      <w:pPr>
        <w:pStyle w:val="Compact"/>
        <w:numPr>
          <w:ilvl w:val="0"/>
          <w:numId w:val="1008"/>
        </w:numPr>
      </w:pPr>
      <w:r>
        <w:rPr>
          <w:b/>
          <w:bCs/>
        </w:rPr>
        <w:t xml:space="preserve">O Monumento à República em Belém (1940)</w:t>
      </w:r>
      <w:r>
        <w:t xml:space="preserve">: Análise do monumento no contexto do Estado Novo (</w:t>
      </w:r>
      <w:r>
        <w:rPr>
          <w:rStyle w:val="VerbatimChar"/>
        </w:rPr>
        <w:t xml:space="preserve">BR-002</w:t>
      </w:r>
      <w:r>
        <w:t xml:space="preserve">). A alegoria da República entronizada sobre coluna clássica atua como consolidação final da</w:t>
      </w:r>
      <w:r>
        <w:t xml:space="preserve"> </w:t>
      </w:r>
      <w:r>
        <w:rPr>
          <w:i/>
          <w:iCs/>
        </w:rPr>
        <w:t xml:space="preserve">Feminilidade de Estado</w:t>
      </w:r>
      <w:r>
        <w:t xml:space="preserve"> </w:t>
      </w:r>
      <w:r>
        <w:t xml:space="preserve">autoritária: o corpo é congelado e dessexualizado para coroar o centralismo de Vargas.</w:t>
      </w:r>
    </w:p>
    <w:p>
      <w:pPr>
        <w:pStyle w:val="Compact"/>
        <w:numPr>
          <w:ilvl w:val="0"/>
          <w:numId w:val="1008"/>
        </w:numPr>
      </w:pPr>
      <w:r>
        <w:rPr>
          <w:b/>
          <w:bCs/>
        </w:rPr>
        <w:t xml:space="preserve">A Justiça de Ceschiatti (1961)</w:t>
      </w:r>
      <w:r>
        <w:t xml:space="preserve">: A escultura</w:t>
      </w:r>
      <w:r>
        <w:t xml:space="preserve"> </w:t>
      </w:r>
      <w:r>
        <w:rPr>
          <w:i/>
          <w:iCs/>
        </w:rPr>
        <w:t xml:space="preserve">A Justiça</w:t>
      </w:r>
      <w:r>
        <w:t xml:space="preserve"> </w:t>
      </w:r>
      <w:r>
        <w:t xml:space="preserve">em frente ao STF em Brasília (</w:t>
      </w:r>
      <w:r>
        <w:rPr>
          <w:rStyle w:val="VerbatimChar"/>
        </w:rPr>
        <w:t xml:space="preserve">SCOUT-520</w:t>
      </w:r>
      <w:r>
        <w:t xml:space="preserve">). O ápice do endurecimento e purificação: a Justiça perde a venda tradicional de tecido (que representava a imparcialidade ativa) para ganhar vendas que são extensões do próprio bloco de pedra de granito. A Justiça de Ceschiatti é constitutivamente cega, atônica e incapaz de agência carnal.</w:t>
      </w:r>
    </w:p>
    <w:bookmarkEnd w:id="75"/>
    <w:bookmarkStart w:id="76" w:name="conexões-com-o-corpus-3"/>
    <w:p>
      <w:pPr>
        <w:pStyle w:val="Heading3"/>
      </w:pPr>
      <w:r>
        <w:rPr>
          <w:rStyle w:val="SectionNumber"/>
        </w:rPr>
        <w:t xml:space="preserve">8.5.2</w:t>
      </w:r>
      <w:r>
        <w:tab/>
      </w:r>
      <w:r>
        <w:t xml:space="preserve">Conexões com o Corpus:</w:t>
      </w:r>
    </w:p>
    <w:p>
      <w:pPr>
        <w:pStyle w:val="Compact"/>
        <w:numPr>
          <w:ilvl w:val="0"/>
          <w:numId w:val="1009"/>
        </w:numPr>
      </w:pPr>
      <w:r>
        <w:rPr>
          <w:rStyle w:val="VerbatimChar"/>
        </w:rPr>
        <w:t xml:space="preserve">SCOUT-425</w:t>
      </w:r>
      <w:r>
        <w:t xml:space="preserve"> </w:t>
      </w:r>
      <w:r>
        <w:t xml:space="preserve">(Visconti, 1910) — O contrato racial visual neoclássico.</w:t>
      </w:r>
    </w:p>
    <w:p>
      <w:pPr>
        <w:pStyle w:val="Compact"/>
        <w:numPr>
          <w:ilvl w:val="0"/>
          <w:numId w:val="1009"/>
        </w:numPr>
      </w:pPr>
      <w:r>
        <w:rPr>
          <w:rStyle w:val="VerbatimChar"/>
        </w:rPr>
        <w:t xml:space="preserve">BR-002</w:t>
      </w:r>
      <w:r>
        <w:t xml:space="preserve"> </w:t>
      </w:r>
      <w:r>
        <w:t xml:space="preserve">(Monumento à República, Belém, 1940) — Estabilização autoritária de Vargas.</w:t>
      </w:r>
    </w:p>
    <w:p>
      <w:pPr>
        <w:pStyle w:val="Compact"/>
        <w:numPr>
          <w:ilvl w:val="0"/>
          <w:numId w:val="1009"/>
        </w:numPr>
      </w:pPr>
      <w:r>
        <w:rPr>
          <w:rStyle w:val="VerbatimChar"/>
        </w:rPr>
        <w:t xml:space="preserve">SCOUT-520</w:t>
      </w:r>
      <w:r>
        <w:t xml:space="preserve"> </w:t>
      </w:r>
      <w:r>
        <w:t xml:space="preserve">(Ceschiatti, STF, 1961) — O corpo-monólito de granito.</w:t>
      </w:r>
    </w:p>
    <w:p>
      <w:r>
        <w:pict>
          <v:rect style="width:0;height:1.5pt" o:hralign="center" o:hrstd="t" o:hr="t"/>
        </w:pict>
      </w:r>
    </w:p>
    <w:bookmarkEnd w:id="76"/>
    <w:bookmarkEnd w:id="77"/>
    <w:bookmarkStart w:id="80" w:name="Xb5019d2878ce36283da8f54f340bbbc22e00028"/>
    <w:p>
      <w:pPr>
        <w:pStyle w:val="Heading2"/>
      </w:pPr>
      <w:r>
        <w:rPr>
          <w:rStyle w:val="SectionNumber"/>
        </w:rPr>
        <w:t xml:space="preserve">8.6</w:t>
      </w:r>
      <w:r>
        <w:tab/>
      </w:r>
      <w:r>
        <w:t xml:space="preserve">7.5 — O Palais de Justice de Bruxelas (Justiça, Pedra e Colônia)</w:t>
      </w:r>
    </w:p>
    <w:p>
      <w:pPr>
        <w:pStyle w:val="BlockText"/>
      </w:pPr>
      <w:r>
        <w:t xml:space="preserve">▸</w:t>
      </w:r>
      <w:r>
        <w:t xml:space="preserve"> </w:t>
      </w:r>
      <w:r>
        <w:rPr>
          <w:i/>
          <w:iCs/>
        </w:rPr>
        <w:t xml:space="preserve">Caso belga. Poelaert (1866–1883). Alegorias em togas romanas num edifício-monumento ao Congo. Análise cruzada com Huygebaert.</w:t>
      </w:r>
    </w:p>
    <w:p>
      <w:pPr>
        <w:pStyle w:val="FirstParagraph"/>
      </w:pPr>
      <w:r>
        <w:t xml:space="preserve">Estudo de caso do maior monumento arquitetônico forense da Europa ocidental como anteparo estético clássico financiado pelo colonialismo.</w:t>
      </w:r>
    </w:p>
    <w:bookmarkStart w:id="78" w:name="tópicos-de-desenvolvimento-4"/>
    <w:p>
      <w:pPr>
        <w:pStyle w:val="Heading3"/>
      </w:pPr>
      <w:r>
        <w:rPr>
          <w:rStyle w:val="SectionNumber"/>
        </w:rPr>
        <w:t xml:space="preserve">8.6.1</w:t>
      </w:r>
      <w:r>
        <w:tab/>
      </w:r>
      <w:r>
        <w:t xml:space="preserve">Tópicos de Desenvolvimento:</w:t>
      </w:r>
    </w:p>
    <w:p>
      <w:pPr>
        <w:pStyle w:val="Compact"/>
        <w:numPr>
          <w:ilvl w:val="0"/>
          <w:numId w:val="1010"/>
        </w:numPr>
      </w:pPr>
      <w:r>
        <w:rPr>
          <w:b/>
          <w:bCs/>
        </w:rPr>
        <w:t xml:space="preserve">A Escala Monumental do Direito</w:t>
      </w:r>
      <w:r>
        <w:t xml:space="preserve">: O Palais de Justice de Bruxelas (Poelaert, 1866–1883,</w:t>
      </w:r>
      <w:r>
        <w:t xml:space="preserve"> </w:t>
      </w:r>
      <w:r>
        <w:rPr>
          <w:rStyle w:val="VerbatimChar"/>
        </w:rPr>
        <w:t xml:space="preserve">SCOUT-532</w:t>
      </w:r>
      <w:r>
        <w:t xml:space="preserve">) como representação física da esmagadora autoridade estatal penal. O enquadramento das alegorias em nichos gigantescos de granito cinzento.</w:t>
      </w:r>
    </w:p>
    <w:p>
      <w:pPr>
        <w:pStyle w:val="Compact"/>
        <w:numPr>
          <w:ilvl w:val="0"/>
          <w:numId w:val="1010"/>
        </w:numPr>
      </w:pPr>
      <w:r>
        <w:rPr>
          <w:b/>
          <w:bCs/>
        </w:rPr>
        <w:t xml:space="preserve">A Cegueira para o Congo</w:t>
      </w:r>
      <w:r>
        <w:t xml:space="preserve">: Enquanto o edifício era erguido e adornado com representações neoclássicas purificadas de</w:t>
      </w:r>
      <w:r>
        <w:t xml:space="preserve"> </w:t>
      </w:r>
      <w:r>
        <w:rPr>
          <w:i/>
          <w:iCs/>
        </w:rPr>
        <w:t xml:space="preserve">Providence</w:t>
      </w:r>
      <w:r>
        <w:t xml:space="preserve"> </w:t>
      </w:r>
      <w:r>
        <w:t xml:space="preserve">e</w:t>
      </w:r>
      <w:r>
        <w:t xml:space="preserve"> </w:t>
      </w:r>
      <w:r>
        <w:rPr>
          <w:i/>
          <w:iCs/>
        </w:rPr>
        <w:t xml:space="preserve">Justice</w:t>
      </w:r>
      <w:r>
        <w:t xml:space="preserve"> </w:t>
      </w:r>
      <w:r>
        <w:t xml:space="preserve">(</w:t>
      </w:r>
      <w:r>
        <w:rPr>
          <w:rStyle w:val="VerbatimChar"/>
        </w:rPr>
        <w:t xml:space="preserve">SCOUT-530</w:t>
      </w:r>
      <w:r>
        <w:t xml:space="preserve">), a máquina extrativista colonial belga devastava o Congo. A toga romana de Justitia atua como uma barreira estética que limpa e purifica a origem financeira do próprio edifício forense.</w:t>
      </w:r>
    </w:p>
    <w:p>
      <w:pPr>
        <w:pStyle w:val="Compact"/>
        <w:numPr>
          <w:ilvl w:val="0"/>
          <w:numId w:val="1010"/>
        </w:numPr>
      </w:pPr>
      <w:r>
        <w:rPr>
          <w:b/>
          <w:bCs/>
        </w:rPr>
        <w:t xml:space="preserve">A Síntese de Huygebaert</w:t>
      </w:r>
      <w:r>
        <w:t xml:space="preserve">: Análise das contribuições e críticas de Huygebaert sobre as contradições entre a universalidade do direito ocidental belga e a exceção colonial africana materializada no Palácio.</w:t>
      </w:r>
    </w:p>
    <w:bookmarkEnd w:id="78"/>
    <w:bookmarkStart w:id="79" w:name="conexões-com-o-corpus-4"/>
    <w:p>
      <w:pPr>
        <w:pStyle w:val="Heading3"/>
      </w:pPr>
      <w:r>
        <w:rPr>
          <w:rStyle w:val="SectionNumber"/>
        </w:rPr>
        <w:t xml:space="preserve">8.6.2</w:t>
      </w:r>
      <w:r>
        <w:tab/>
      </w:r>
      <w:r>
        <w:t xml:space="preserve">Conexões com o Corpus:</w:t>
      </w:r>
    </w:p>
    <w:p>
      <w:pPr>
        <w:pStyle w:val="Compact"/>
        <w:numPr>
          <w:ilvl w:val="0"/>
          <w:numId w:val="1011"/>
        </w:numPr>
      </w:pPr>
      <w:r>
        <w:rPr>
          <w:rStyle w:val="VerbatimChar"/>
        </w:rPr>
        <w:t xml:space="preserve">SCOUT-532</w:t>
      </w:r>
      <w:r>
        <w:t xml:space="preserve"> </w:t>
      </w:r>
      <w:r>
        <w:t xml:space="preserve">(Palais de Justice de Bruxelles) — Monumentalismo forense.</w:t>
      </w:r>
    </w:p>
    <w:p>
      <w:pPr>
        <w:pStyle w:val="Compact"/>
        <w:numPr>
          <w:ilvl w:val="0"/>
          <w:numId w:val="1011"/>
        </w:numPr>
      </w:pPr>
      <w:r>
        <w:rPr>
          <w:rStyle w:val="VerbatimChar"/>
        </w:rPr>
        <w:t xml:space="preserve">SCOUT-530</w:t>
      </w:r>
      <w:r>
        <w:t xml:space="preserve"> </w:t>
      </w:r>
      <w:r>
        <w:t xml:space="preserve">(Providence and Justice) — A pureza clássica como anteparo colonial.</w:t>
      </w:r>
    </w:p>
    <w:p>
      <w:r>
        <w:pict>
          <v:rect style="width:0;height:1.5pt" o:hralign="center" o:hrstd="t" o:hr="t"/>
        </w:pict>
      </w:r>
    </w:p>
    <w:bookmarkEnd w:id="79"/>
    <w:bookmarkEnd w:id="80"/>
    <w:bookmarkStart w:id="82" w:name="X9271b46cd275c1e29978f4d8ad7b202086751b0"/>
    <w:p>
      <w:pPr>
        <w:pStyle w:val="Heading2"/>
      </w:pPr>
      <w:r>
        <w:rPr>
          <w:rStyle w:val="SectionNumber"/>
        </w:rPr>
        <w:t xml:space="preserve">8.7</w:t>
      </w:r>
      <w:r>
        <w:tab/>
      </w:r>
      <w:r>
        <w:t xml:space="preserve">7.6 — A</w:t>
      </w:r>
      <w:r>
        <w:t xml:space="preserve"> </w:t>
      </w:r>
      <w:r>
        <w:t xml:space="preserve">“Balança da Justiça”</w:t>
      </w:r>
      <w:r>
        <w:t xml:space="preserve"> </w:t>
      </w:r>
      <w:r>
        <w:t xml:space="preserve">como arma geopolítica</w:t>
      </w:r>
    </w:p>
    <w:p>
      <w:pPr>
        <w:pStyle w:val="BlockText"/>
      </w:pPr>
      <w:r>
        <w:t xml:space="preserve">▸</w:t>
      </w:r>
      <w:r>
        <w:t xml:space="preserve"> </w:t>
      </w:r>
      <w:r>
        <w:rPr>
          <w:i/>
          <w:iCs/>
        </w:rPr>
        <w:t xml:space="preserve">Análise transversal: a Justiça com balança como instrumento de poder imperial (Will, 1780: Die Wage der Macht; America pois’d in the balance, 1776). A alegoria como linguagem diplomática visual.</w:t>
      </w:r>
    </w:p>
    <w:p>
      <w:pPr>
        <w:pStyle w:val="FirstParagraph"/>
      </w:pPr>
      <w:r>
        <w:t xml:space="preserve">Investigação final sobre a balança — historicamente considerada o atributo neutro da equidade — como dispositivo de demarcação e violência geopolítica transatlântica.</w:t>
      </w:r>
    </w:p>
    <w:bookmarkStart w:id="81" w:name="tópicos-de-desenvolvimento-5"/>
    <w:p>
      <w:pPr>
        <w:pStyle w:val="Heading3"/>
      </w:pPr>
      <w:r>
        <w:rPr>
          <w:rStyle w:val="SectionNumber"/>
        </w:rPr>
        <w:t xml:space="preserve">8.7.1</w:t>
      </w:r>
      <w:r>
        <w:tab/>
      </w:r>
      <w:r>
        <w:t xml:space="preserve">Tópicos de Desenvolvimento:</w:t>
      </w:r>
    </w:p>
    <w:p>
      <w:pPr>
        <w:pStyle w:val="Compact"/>
        <w:numPr>
          <w:ilvl w:val="0"/>
          <w:numId w:val="1012"/>
        </w:numPr>
      </w:pPr>
      <w:r>
        <w:rPr>
          <w:b/>
          <w:bCs/>
        </w:rPr>
        <w:t xml:space="preserve">A Balança Descompensada</w:t>
      </w:r>
      <w:r>
        <w:t xml:space="preserve">: Análise das gravuras satíricas de propaganda britânica e francesa do final do século XVIII (ex:</w:t>
      </w:r>
      <w:r>
        <w:t xml:space="preserve"> </w:t>
      </w:r>
      <w:r>
        <w:rPr>
          <w:i/>
          <w:iCs/>
        </w:rPr>
        <w:t xml:space="preserve">Die Wage der Macht</w:t>
      </w:r>
      <w:r>
        <w:t xml:space="preserve">, Will, 1780, e</w:t>
      </w:r>
      <w:r>
        <w:t xml:space="preserve"> </w:t>
      </w:r>
      <w:r>
        <w:rPr>
          <w:i/>
          <w:iCs/>
        </w:rPr>
        <w:t xml:space="preserve">America pois’d in the balance</w:t>
      </w:r>
      <w:r>
        <w:t xml:space="preserve">, 1776). A balança da Justiça deixa de medir direitos civis individuais e passa a arbitrar o peso das forças navais e territoriais entre impérios rivais.</w:t>
      </w:r>
    </w:p>
    <w:p>
      <w:pPr>
        <w:pStyle w:val="Compact"/>
        <w:numPr>
          <w:ilvl w:val="0"/>
          <w:numId w:val="1012"/>
        </w:numPr>
      </w:pPr>
      <w:r>
        <w:rPr>
          <w:b/>
          <w:bCs/>
        </w:rPr>
        <w:t xml:space="preserve">A Linguagem Visual da Hegemonia</w:t>
      </w:r>
      <w:r>
        <w:t xml:space="preserve">: Como as potências imperialistas utilizaram a alegoria da Justiça para sancionar a partilha colonial da África e Ásia, retratando-se como detentoras naturais da balança (equidade civilizatória) enquanto os povos colonizados eram retratados como pesos inertes a serem medidos.</w:t>
      </w:r>
    </w:p>
    <w:p>
      <w:pPr>
        <w:pStyle w:val="Compact"/>
        <w:numPr>
          <w:ilvl w:val="0"/>
          <w:numId w:val="1012"/>
        </w:numPr>
      </w:pPr>
      <w:r>
        <w:rPr>
          <w:b/>
          <w:bCs/>
        </w:rPr>
        <w:t xml:space="preserve">Conclusão Metodológica do Capítulo</w:t>
      </w:r>
      <w:r>
        <w:t xml:space="preserve">: A balança e a espada revelam-se não como símbolos morais passivos, mas como os eixos operacionais de uma</w:t>
      </w:r>
      <w:r>
        <w:t xml:space="preserve"> </w:t>
      </w:r>
      <w:r>
        <w:rPr>
          <w:i/>
          <w:iCs/>
        </w:rPr>
        <w:t xml:space="preserve">lisiocracia internacional</w:t>
      </w:r>
      <w:r>
        <w:t xml:space="preserve"> </w:t>
      </w:r>
      <w:r>
        <w:t xml:space="preserve">que instrumentaliza a estética para estabilizar a força.</w:t>
      </w:r>
    </w:p>
    <w:bookmarkEnd w:id="81"/>
    <w:bookmarkEnd w:id="82"/>
    <w:bookmarkEnd w:id="83"/>
    <w:bookmarkStart w:id="87" w:name="Xe9489bcf89baa7cbbb63eb79968dc4cf9182020"/>
    <w:p>
      <w:pPr>
        <w:pStyle w:val="Heading1"/>
      </w:pPr>
      <w:r>
        <w:rPr>
          <w:rStyle w:val="SectionNumber"/>
        </w:rPr>
        <w:t xml:space="preserve">9</w:t>
      </w:r>
      <w:r>
        <w:tab/>
      </w:r>
      <w:r>
        <w:t xml:space="preserve">Capítulo 8 — O Atlas Iconocrático: Princípios e Arquitetura</w:t>
      </w:r>
    </w:p>
    <w:bookmarkStart w:id="84" w:name="X8020449724d679c2d032921348973c42f9384d5"/>
    <w:p>
      <w:pPr>
        <w:pStyle w:val="Heading2"/>
      </w:pPr>
      <w:r>
        <w:rPr>
          <w:rStyle w:val="SectionNumber"/>
        </w:rPr>
        <w:t xml:space="preserve">9.1</w:t>
      </w:r>
      <w:r>
        <w:tab/>
      </w:r>
      <w:r>
        <w:t xml:space="preserve">8.1 — Do Mnemosyne ao Atlas Iconocrático: herança e adaptação</w:t>
      </w:r>
    </w:p>
    <w:bookmarkEnd w:id="84"/>
    <w:bookmarkStart w:id="85" w:name="critérios-de-composição-dos-painéis"/>
    <w:p>
      <w:pPr>
        <w:pStyle w:val="Heading2"/>
      </w:pPr>
      <w:r>
        <w:rPr>
          <w:rStyle w:val="SectionNumber"/>
        </w:rPr>
        <w:t xml:space="preserve">9.2</w:t>
      </w:r>
      <w:r>
        <w:tab/>
      </w:r>
      <w:r>
        <w:t xml:space="preserve">8.2 — Critérios de composição dos painéis</w:t>
      </w:r>
    </w:p>
    <w:bookmarkEnd w:id="85"/>
    <w:bookmarkStart w:id="86" w:name="Xdc014ca45af7c10750ba4208f5692bbc14003af"/>
    <w:p>
      <w:pPr>
        <w:pStyle w:val="Heading2"/>
      </w:pPr>
      <w:r>
        <w:rPr>
          <w:rStyle w:val="SectionNumber"/>
        </w:rPr>
        <w:t xml:space="preserve">9.3</w:t>
      </w:r>
      <w:r>
        <w:tab/>
      </w:r>
      <w:r>
        <w:t xml:space="preserve">8.3 — O Zwischenraum como princípio estruturante</w:t>
      </w:r>
    </w:p>
    <w:bookmarkEnd w:id="86"/>
    <w:bookmarkEnd w:id="87"/>
    <w:bookmarkStart w:id="96" w:name="Xb0ab7fb51e79684b7519e4ee2a7b3c836c13ca8"/>
    <w:p>
      <w:pPr>
        <w:pStyle w:val="Heading1"/>
      </w:pPr>
      <w:r>
        <w:rPr>
          <w:rStyle w:val="SectionNumber"/>
        </w:rPr>
        <w:t xml:space="preserve">10</w:t>
      </w:r>
      <w:r>
        <w:tab/>
      </w:r>
      <w:r>
        <w:t xml:space="preserve">Capítulo 9 — Os 8 Painéis do Atlas Iconocrático</w:t>
      </w:r>
    </w:p>
    <w:bookmarkStart w:id="88" w:name="painel-i-gênese"/>
    <w:p>
      <w:pPr>
        <w:pStyle w:val="Heading2"/>
      </w:pPr>
      <w:r>
        <w:rPr>
          <w:rStyle w:val="SectionNumber"/>
        </w:rPr>
        <w:t xml:space="preserve">10.1</w:t>
      </w:r>
      <w:r>
        <w:tab/>
      </w:r>
      <w:r>
        <w:t xml:space="preserve">9.1 — Painel I: GÊNESE</w:t>
      </w:r>
    </w:p>
    <w:bookmarkEnd w:id="88"/>
    <w:bookmarkStart w:id="89" w:name="painel-ii-justitia"/>
    <w:p>
      <w:pPr>
        <w:pStyle w:val="Heading2"/>
      </w:pPr>
      <w:r>
        <w:rPr>
          <w:rStyle w:val="SectionNumber"/>
        </w:rPr>
        <w:t xml:space="preserve">10.2</w:t>
      </w:r>
      <w:r>
        <w:tab/>
      </w:r>
      <w:r>
        <w:t xml:space="preserve">9.2 — Painel II: JUSTITIA</w:t>
      </w:r>
    </w:p>
    <w:bookmarkEnd w:id="89"/>
    <w:bookmarkStart w:id="90" w:name="painel-iii-domesticação"/>
    <w:p>
      <w:pPr>
        <w:pStyle w:val="Heading2"/>
      </w:pPr>
      <w:r>
        <w:rPr>
          <w:rStyle w:val="SectionNumber"/>
        </w:rPr>
        <w:t xml:space="preserve">10.3</w:t>
      </w:r>
      <w:r>
        <w:tab/>
      </w:r>
      <w:r>
        <w:t xml:space="preserve">9.3 — Painel III: DOMESTICAÇÃO</w:t>
      </w:r>
    </w:p>
    <w:bookmarkEnd w:id="90"/>
    <w:bookmarkStart w:id="91" w:name="painel-iv-endurecimento"/>
    <w:p>
      <w:pPr>
        <w:pStyle w:val="Heading2"/>
      </w:pPr>
      <w:r>
        <w:rPr>
          <w:rStyle w:val="SectionNumber"/>
        </w:rPr>
        <w:t xml:space="preserve">10.4</w:t>
      </w:r>
      <w:r>
        <w:tab/>
      </w:r>
      <w:r>
        <w:t xml:space="preserve">9.4 — Painel IV: endurecimento</w:t>
      </w:r>
    </w:p>
    <w:bookmarkEnd w:id="91"/>
    <w:bookmarkStart w:id="92" w:name="painel-v-pedra-e-bronze"/>
    <w:p>
      <w:pPr>
        <w:pStyle w:val="Heading2"/>
      </w:pPr>
      <w:r>
        <w:rPr>
          <w:rStyle w:val="SectionNumber"/>
        </w:rPr>
        <w:t xml:space="preserve">10.5</w:t>
      </w:r>
      <w:r>
        <w:tab/>
      </w:r>
      <w:r>
        <w:t xml:space="preserve">9.5 — Painel V: PEDRA E BRONZE</w:t>
      </w:r>
    </w:p>
    <w:bookmarkEnd w:id="92"/>
    <w:bookmarkStart w:id="93" w:name="painel-vi-balança-e-império"/>
    <w:p>
      <w:pPr>
        <w:pStyle w:val="Heading2"/>
      </w:pPr>
      <w:r>
        <w:rPr>
          <w:rStyle w:val="SectionNumber"/>
        </w:rPr>
        <w:t xml:space="preserve">10.6</w:t>
      </w:r>
      <w:r>
        <w:tab/>
      </w:r>
      <w:r>
        <w:t xml:space="preserve">9.6 — Painel VI: BALANÇA E IMPÉRIO</w:t>
      </w:r>
    </w:p>
    <w:bookmarkEnd w:id="93"/>
    <w:bookmarkStart w:id="94" w:name="painel-vii-branquitude"/>
    <w:p>
      <w:pPr>
        <w:pStyle w:val="Heading2"/>
      </w:pPr>
      <w:r>
        <w:rPr>
          <w:rStyle w:val="SectionNumber"/>
        </w:rPr>
        <w:t xml:space="preserve">10.7</w:t>
      </w:r>
      <w:r>
        <w:tab/>
      </w:r>
      <w:r>
        <w:t xml:space="preserve">9.7 — Painel VII: BRANQUITUDE</w:t>
      </w:r>
    </w:p>
    <w:bookmarkEnd w:id="94"/>
    <w:bookmarkStart w:id="95" w:name="painel-viii-fissuras"/>
    <w:p>
      <w:pPr>
        <w:pStyle w:val="Heading2"/>
      </w:pPr>
      <w:r>
        <w:rPr>
          <w:rStyle w:val="SectionNumber"/>
        </w:rPr>
        <w:t xml:space="preserve">10.8</w:t>
      </w:r>
      <w:r>
        <w:tab/>
      </w:r>
      <w:r>
        <w:t xml:space="preserve">9.8 — Painel VIII: FISSURAS</w:t>
      </w:r>
    </w:p>
    <w:bookmarkEnd w:id="95"/>
    <w:bookmarkEnd w:id="96"/>
    <w:bookmarkStart w:id="171" w:name="conclusão"/>
    <w:p>
      <w:pPr>
        <w:pStyle w:val="Heading1"/>
      </w:pPr>
      <w:r>
        <w:rPr>
          <w:rStyle w:val="SectionNumber"/>
        </w:rPr>
        <w:t xml:space="preserve">11</w:t>
      </w:r>
      <w:r>
        <w:tab/>
      </w:r>
      <w:r>
        <w:t xml:space="preserve">Conclusão</w:t>
      </w:r>
    </w:p>
    <w:bookmarkStart w:id="97" w:name="Xd9d0e21f10da7612cd229dd36a6bdfd9e3f7522"/>
    <w:p>
      <w:pPr>
        <w:pStyle w:val="Heading2"/>
      </w:pPr>
      <w:r>
        <w:rPr>
          <w:rStyle w:val="SectionNumber"/>
        </w:rPr>
        <w:t xml:space="preserve">11.1</w:t>
      </w:r>
      <w:r>
        <w:tab/>
      </w:r>
      <w:r>
        <w:t xml:space="preserve">C.1 — Síntese dos achados: confirmação, nuances e surpresas</w:t>
      </w:r>
    </w:p>
    <w:p>
      <w:pPr>
        <w:pStyle w:val="FirstParagraph"/>
      </w:pPr>
      <w:r>
        <w:t xml:space="preserve">A travessia dos nove capítulos consolida a arquitetura de quatro conceitos originais que estrutura a contribuição teórica desta tese. O</w:t>
      </w:r>
      <w:r>
        <w:t xml:space="preserve"> </w:t>
      </w:r>
      <w:r>
        <w:rPr>
          <w:b/>
          <w:bCs/>
        </w:rPr>
        <w:t xml:space="preserve">Contrato Sexual Visual</w:t>
      </w:r>
      <w:r>
        <w:t xml:space="preserve"> </w:t>
      </w:r>
      <w:r>
        <w:t xml:space="preserve">(Cap. 1) formula a dimensão iconográfica do contrato sexual formulado por Pateman (1988): a alegoria feminina estatal reconhece simbolicamente o feminino ao mesmo tempo em que perpetua a exclusão cívica das mulheres. A</w:t>
      </w:r>
      <w:r>
        <w:t xml:space="preserve"> </w:t>
      </w:r>
      <w:r>
        <w:rPr>
          <w:b/>
          <w:bCs/>
        </w:rPr>
        <w:t xml:space="preserve">Feminilidade de Estado</w:t>
      </w:r>
      <w:r>
        <w:t xml:space="preserve"> </w:t>
      </w:r>
      <w:r>
        <w:t xml:space="preserve">(Cap. 2) descreve o efeito subjetivo dessa economia sobre o corpo alegórico — esvaziado de agência para funcionar como infraestrutura de afeto público, em junção genealógica entre a dogmática totêmica de Legendre (1994) e a hystéra carsoniana (CARSON, 2023). O</w:t>
      </w:r>
      <w:r>
        <w:t xml:space="preserve"> </w:t>
      </w:r>
      <w:r>
        <w:rPr>
          <w:b/>
          <w:bCs/>
        </w:rPr>
        <w:t xml:space="preserve">Contrato Racial Visual</w:t>
      </w:r>
      <w:r>
        <w:t xml:space="preserve"> </w:t>
      </w:r>
      <w:r>
        <w:t xml:space="preserve">(Cap. 3) revela a branquitude constitutiva da alegoria</w:t>
      </w:r>
      <w:r>
        <w:t xml:space="preserve"> </w:t>
      </w:r>
      <w:r>
        <w:t xml:space="preserve">“universal”</w:t>
      </w:r>
      <w:r>
        <w:t xml:space="preserve"> </w:t>
      </w:r>
      <w:r>
        <w:t xml:space="preserve">e a transferência transatlântica de modelos neoclássicos que instalam um padrão racializado nos repertórios pós-coloniais. A</w:t>
      </w:r>
      <w:r>
        <w:t xml:space="preserve"> </w:t>
      </w:r>
      <w:r>
        <w:rPr>
          <w:b/>
          <w:bCs/>
        </w:rPr>
        <w:t xml:space="preserve">Purificação Clássica</w:t>
      </w:r>
      <w:r>
        <w:t xml:space="preserve"> </w:t>
      </w:r>
      <w:r>
        <w:t xml:space="preserve">(Cap. 5.2) é o mecanismo formal que produz os três efeitos: operação de extração do feminino histórico para fixá-lo no eterno alegórico, ancorada na matriz jurídica de Kantorowicz (1957), Legendre (1994) e Hespanha (2005), e mensurada, em escala ordinal 0–3 sobre as 145 peças do corpus, pelos dez indicadores de endurecimento. Os três primeiros conceitos descrevem efeitos — político, subjetivo, racial; o quarto descreve a operação que os produz, e é sobre ele que recai a operacionalização empírica que distingue metodologicamente esta tese na história da cultura jurídica.</w:t>
      </w:r>
    </w:p>
    <w:bookmarkEnd w:id="97"/>
    <w:bookmarkStart w:id="98" w:name="Xc71b8681d6857bb7f685a54de39b43132a330a4"/>
    <w:p>
      <w:pPr>
        <w:pStyle w:val="Heading2"/>
      </w:pPr>
      <w:r>
        <w:rPr>
          <w:rStyle w:val="SectionNumber"/>
        </w:rPr>
        <w:t xml:space="preserve">11.2</w:t>
      </w:r>
      <w:r>
        <w:tab/>
      </w:r>
      <w:r>
        <w:t xml:space="preserve">C.2 — O Contrato Sexual Visual como chave de leitura</w:t>
      </w:r>
    </w:p>
    <w:bookmarkEnd w:id="98"/>
    <w:bookmarkStart w:id="99" w:name="X34da09d33bc1cd9d0f546b04b539c00c4b45cd0"/>
    <w:p>
      <w:pPr>
        <w:pStyle w:val="Heading2"/>
      </w:pPr>
      <w:r>
        <w:rPr>
          <w:rStyle w:val="SectionNumber"/>
        </w:rPr>
        <w:t xml:space="preserve">11.3</w:t>
      </w:r>
      <w:r>
        <w:tab/>
      </w:r>
      <w:r>
        <w:t xml:space="preserve">C.3 — Implicações para a teoria jurídica e o letramento visual no Direito</w:t>
      </w:r>
    </w:p>
    <w:bookmarkEnd w:id="99"/>
    <w:bookmarkStart w:id="170" w:name="X97b39a7259916fdcd1c1a1f2b45a6b29b5480b8"/>
    <w:p>
      <w:pPr>
        <w:pStyle w:val="Heading2"/>
      </w:pPr>
      <w:r>
        <w:t xml:space="preserve">C.4 — Os limites deste Atlas e os atlas que ficam por fazer</w:t>
      </w:r>
    </w:p>
    <w:bookmarkStart w:id="169" w:name="refs"/>
    <w:bookmarkStart w:id="100" w:name="ref-agamben1998"/>
    <w:p>
      <w:pPr>
        <w:pStyle w:val="Bibliography"/>
      </w:pPr>
      <w:r>
        <w:t xml:space="preserve">AGAMBEN, Giorgio.</w:t>
      </w:r>
      <w:r>
        <w:t xml:space="preserve"> </w:t>
      </w:r>
      <w:r>
        <w:rPr>
          <w:b/>
          <w:bCs/>
        </w:rPr>
        <w:t xml:space="preserve">Homo Sacer: Sovereign Power and Bare Life</w:t>
      </w:r>
      <w:r>
        <w:t xml:space="preserve">. Tradução: Daniel Heller-Roazen. Stanford: Stanford University Press, 1998.</w:t>
      </w:r>
    </w:p>
    <w:bookmarkEnd w:id="100"/>
    <w:bookmarkStart w:id="101" w:name="ref-agamben2002"/>
    <w:p>
      <w:pPr>
        <w:pStyle w:val="Bibliography"/>
      </w:pPr>
      <w:r>
        <w:t xml:space="preserve">AGAMBEN, Giorgio.</w:t>
      </w:r>
      <w:r>
        <w:t xml:space="preserve"> </w:t>
      </w:r>
      <w:r>
        <w:rPr>
          <w:b/>
          <w:bCs/>
        </w:rPr>
        <w:t xml:space="preserve">Homo Sacer: o poder soberano e a vida nua</w:t>
      </w:r>
      <w:r>
        <w:t xml:space="preserve">. Tradução: Henrique Burigo. Belo Horizonte: Editora UFMG, 2002.</w:t>
      </w:r>
    </w:p>
    <w:bookmarkEnd w:id="101"/>
    <w:bookmarkStart w:id="102" w:name="ref-agamben2007"/>
    <w:p>
      <w:pPr>
        <w:pStyle w:val="Bibliography"/>
      </w:pPr>
      <w:r>
        <w:t xml:space="preserve">AGAMBEN, Giorgio.</w:t>
      </w:r>
      <w:r>
        <w:t xml:space="preserve"> </w:t>
      </w:r>
      <w:r>
        <w:rPr>
          <w:b/>
          <w:bCs/>
        </w:rPr>
        <w:t xml:space="preserve">Ninfas</w:t>
      </w:r>
      <w:r>
        <w:t xml:space="preserve">. Tradução: Renato Ambrosio. São Paulo: Editora Hedra, 2007.</w:t>
      </w:r>
    </w:p>
    <w:bookmarkEnd w:id="102"/>
    <w:bookmarkStart w:id="103" w:name="ref-agulhon1979"/>
    <w:p>
      <w:pPr>
        <w:pStyle w:val="Bibliography"/>
      </w:pPr>
      <w:r>
        <w:t xml:space="preserve">AGULHON, Maurice.</w:t>
      </w:r>
      <w:r>
        <w:t xml:space="preserve"> </w:t>
      </w:r>
      <w:r>
        <w:rPr>
          <w:b/>
          <w:bCs/>
        </w:rPr>
        <w:t xml:space="preserve">Marianne au combat: l’imagerie et la symbolique républicaines de 1789 à 1880</w:t>
      </w:r>
      <w:r>
        <w:t xml:space="preserve">. Paris: Flammarion, 1979.</w:t>
      </w:r>
    </w:p>
    <w:bookmarkEnd w:id="103"/>
    <w:bookmarkStart w:id="104" w:name="ref-agulhon1989"/>
    <w:p>
      <w:pPr>
        <w:pStyle w:val="Bibliography"/>
      </w:pPr>
      <w:r>
        <w:t xml:space="preserve">AGULHON, Maurice.</w:t>
      </w:r>
      <w:r>
        <w:t xml:space="preserve"> </w:t>
      </w:r>
      <w:r>
        <w:rPr>
          <w:b/>
          <w:bCs/>
        </w:rPr>
        <w:t xml:space="preserve">Marianne au pouvoir: l’imagerie et la symbolique républicaines de 1880 à 1914</w:t>
      </w:r>
      <w:r>
        <w:t xml:space="preserve">. Paris: Flammarion, 1989.</w:t>
      </w:r>
    </w:p>
    <w:bookmarkEnd w:id="104"/>
    <w:bookmarkStart w:id="106" w:name="ref-bihl2015"/>
    <w:p>
      <w:pPr>
        <w:pStyle w:val="Bibliography"/>
      </w:pPr>
      <w:r>
        <w:t xml:space="preserve">BIHL, Laurent.</w:t>
      </w:r>
      <w:r>
        <w:t xml:space="preserve"> </w:t>
      </w:r>
      <w:hyperlink r:id="rId105">
        <w:r>
          <w:rPr>
            <w:rStyle w:val="Hyperlink"/>
            <w:b/>
            <w:bCs/>
          </w:rPr>
          <w:t xml:space="preserve">Marianne in the Trenches: Typology and Iconographic Polysemy of Marianne between 1914 and 1918</w:t>
        </w:r>
      </w:hyperlink>
      <w:r>
        <w:t xml:space="preserve">., 2015.</w:t>
      </w:r>
    </w:p>
    <w:bookmarkEnd w:id="106"/>
    <w:bookmarkStart w:id="107" w:name="ref-carson2023"/>
    <w:p>
      <w:pPr>
        <w:pStyle w:val="Bibliography"/>
      </w:pPr>
      <w:r>
        <w:t xml:space="preserve">CARSON, Anne.</w:t>
      </w:r>
      <w:r>
        <w:t xml:space="preserve"> </w:t>
      </w:r>
      <w:r>
        <w:rPr>
          <w:b/>
          <w:bCs/>
        </w:rPr>
        <w:t xml:space="preserve">Sobre aquilo em que eu mais penso</w:t>
      </w:r>
      <w:r>
        <w:t xml:space="preserve">.</w:t>
      </w:r>
      <w:r>
        <w:t xml:space="preserve"> </w:t>
      </w:r>
      <w:r>
        <w:rPr>
          <w:i/>
          <w:iCs/>
        </w:rPr>
        <w:t xml:space="preserve">[S.l.: S.n.]</w:t>
      </w:r>
      <w:r>
        <w:t xml:space="preserve">.</w:t>
      </w:r>
    </w:p>
    <w:bookmarkEnd w:id="107"/>
    <w:bookmarkStart w:id="108" w:name="ref-carvalho1990"/>
    <w:p>
      <w:pPr>
        <w:pStyle w:val="Bibliography"/>
      </w:pPr>
      <w:r>
        <w:t xml:space="preserve">CARVALHO, José Murilo de.</w:t>
      </w:r>
      <w:r>
        <w:t xml:space="preserve"> </w:t>
      </w:r>
      <w:r>
        <w:rPr>
          <w:b/>
          <w:bCs/>
        </w:rPr>
        <w:t xml:space="preserve">A formação das almas: o imaginário da República no Brasil</w:t>
      </w:r>
      <w:r>
        <w:t xml:space="preserve">. São Paulo: Companhia das Letras, 1990.</w:t>
      </w:r>
    </w:p>
    <w:bookmarkEnd w:id="108"/>
    <w:bookmarkStart w:id="109" w:name="ref-creswell2018"/>
    <w:p>
      <w:pPr>
        <w:pStyle w:val="Bibliography"/>
      </w:pPr>
      <w:r>
        <w:t xml:space="preserve">CRESWELL, John W.; PLANO CLARK, Vicki L.</w:t>
      </w:r>
      <w:r>
        <w:t xml:space="preserve"> </w:t>
      </w:r>
      <w:r>
        <w:rPr>
          <w:b/>
          <w:bCs/>
        </w:rPr>
        <w:t xml:space="preserve">Designing and Conducting Mixed Methods Research</w:t>
      </w:r>
      <w:r>
        <w:t xml:space="preserve">. 3. ed. Thousand Oaks: SAGE Publications, 2018.</w:t>
      </w:r>
    </w:p>
    <w:bookmarkEnd w:id="109"/>
    <w:bookmarkStart w:id="111" w:name="ref-curtis1998"/>
    <w:p>
      <w:pPr>
        <w:pStyle w:val="Bibliography"/>
      </w:pPr>
      <w:r>
        <w:t xml:space="preserve">CURTIS, L. Perry.</w:t>
      </w:r>
      <w:r>
        <w:t xml:space="preserve"> </w:t>
      </w:r>
      <w:hyperlink r:id="rId110">
        <w:r>
          <w:rPr>
            <w:rStyle w:val="Hyperlink"/>
          </w:rPr>
          <w:t xml:space="preserve">The Four Erins: Feminine Images of Ireland, 1780–1900</w:t>
        </w:r>
      </w:hyperlink>
      <w:r>
        <w:t xml:space="preserve">.</w:t>
      </w:r>
      <w:r>
        <w:t xml:space="preserve"> </w:t>
      </w:r>
      <w:r>
        <w:rPr>
          <w:b/>
          <w:bCs/>
        </w:rPr>
        <w:t xml:space="preserve">Eire-ireland</w:t>
      </w:r>
      <w:r>
        <w:t xml:space="preserve">, 1998.</w:t>
      </w:r>
    </w:p>
    <w:bookmarkEnd w:id="111"/>
    <w:bookmarkStart w:id="112" w:name="ref-descola2021"/>
    <w:p>
      <w:pPr>
        <w:pStyle w:val="Bibliography"/>
      </w:pPr>
      <w:r>
        <w:t xml:space="preserve">DESCOLA, Philippe.</w:t>
      </w:r>
      <w:r>
        <w:t xml:space="preserve"> </w:t>
      </w:r>
      <w:r>
        <w:rPr>
          <w:b/>
          <w:bCs/>
        </w:rPr>
        <w:t xml:space="preserve">Les Formes du visible: une anthropologie de la figuration</w:t>
      </w:r>
      <w:r>
        <w:t xml:space="preserve">. Paris: Seuil, 2021.</w:t>
      </w:r>
    </w:p>
    <w:bookmarkEnd w:id="112"/>
    <w:bookmarkStart w:id="113" w:name="ref-descola2023"/>
    <w:p>
      <w:pPr>
        <w:pStyle w:val="Bibliography"/>
      </w:pPr>
      <w:r>
        <w:t xml:space="preserve">DESCOLA, Philippe.</w:t>
      </w:r>
      <w:r>
        <w:t xml:space="preserve"> </w:t>
      </w:r>
      <w:r>
        <w:rPr>
          <w:b/>
          <w:bCs/>
        </w:rPr>
        <w:t xml:space="preserve">As Formas do Visível: uma antropologia da figuração</w:t>
      </w:r>
      <w:r>
        <w:t xml:space="preserve">. Tradução: Mariana Nogueira. São Paulo: Ubu, 2023.</w:t>
      </w:r>
    </w:p>
    <w:bookmarkEnd w:id="113"/>
    <w:bookmarkStart w:id="114" w:name="ref-didihuberman2002"/>
    <w:p>
      <w:pPr>
        <w:pStyle w:val="Bibliography"/>
      </w:pPr>
      <w:r>
        <w:t xml:space="preserve">DIDI-HUBERMAN, Georges.</w:t>
      </w:r>
      <w:r>
        <w:t xml:space="preserve"> </w:t>
      </w:r>
      <w:r>
        <w:rPr>
          <w:b/>
          <w:bCs/>
        </w:rPr>
        <w:t xml:space="preserve">L’image survivante: histoire de l’art et temps des fantômes selon Aby Warburg</w:t>
      </w:r>
      <w:r>
        <w:t xml:space="preserve">. Paris: Les Éditions de Minuit, 2002.</w:t>
      </w:r>
    </w:p>
    <w:bookmarkEnd w:id="114"/>
    <w:bookmarkStart w:id="115" w:name="ref-dietz2015"/>
    <w:p>
      <w:pPr>
        <w:pStyle w:val="Bibliography"/>
      </w:pPr>
      <w:r>
        <w:t xml:space="preserve">DIETZ, Mary G.</w:t>
      </w:r>
      <w:r>
        <w:t xml:space="preserve"> </w:t>
      </w:r>
      <w:r>
        <w:rPr>
          <w:b/>
          <w:bCs/>
        </w:rPr>
        <w:t xml:space="preserve">Turning Operations: Feminism, Arendt, and Politics</w:t>
      </w:r>
      <w:r>
        <w:t xml:space="preserve">. New York: Routledge, 2015.</w:t>
      </w:r>
    </w:p>
    <w:bookmarkEnd w:id="115"/>
    <w:bookmarkStart w:id="116" w:name="ref-douzinasnead1999"/>
    <w:p>
      <w:pPr>
        <w:pStyle w:val="Bibliography"/>
      </w:pPr>
      <w:r>
        <w:t xml:space="preserve">DOUZINAS, Costas; NEAD, Lynda (ORGS.).</w:t>
      </w:r>
      <w:r>
        <w:t xml:space="preserve"> </w:t>
      </w:r>
      <w:r>
        <w:rPr>
          <w:b/>
          <w:bCs/>
        </w:rPr>
        <w:t xml:space="preserve">Law and the Image: The Authority of Art and the Aesthetics of Law</w:t>
      </w:r>
      <w:r>
        <w:t xml:space="preserve">. Chicago: University of Chicago Press, 1999.</w:t>
      </w:r>
    </w:p>
    <w:bookmarkEnd w:id="116"/>
    <w:bookmarkStart w:id="118" w:name="ref-dupratnd"/>
    <w:p>
      <w:pPr>
        <w:pStyle w:val="Bibliography"/>
      </w:pPr>
      <w:r>
        <w:t xml:space="preserve">DUPRAT, Annie.</w:t>
      </w:r>
      <w:r>
        <w:t xml:space="preserve"> </w:t>
      </w:r>
      <w:hyperlink r:id="rId117">
        <w:r>
          <w:rPr>
            <w:rStyle w:val="Hyperlink"/>
            <w:b/>
            <w:bCs/>
          </w:rPr>
          <w:t xml:space="preserve">Comment Est Née "marianne"? La Caricature, Médiatrice De La Figuration De La République En France</w:t>
        </w:r>
      </w:hyperlink>
      <w:r>
        <w:t xml:space="preserve">., s.d.s.d.</w:t>
      </w:r>
    </w:p>
    <w:bookmarkEnd w:id="118"/>
    <w:bookmarkStart w:id="120" w:name="ref-ettwillernd"/>
    <w:p>
      <w:pPr>
        <w:pStyle w:val="Bibliography"/>
      </w:pPr>
      <w:r>
        <w:t xml:space="preserve">ETTWILLER, Éric.</w:t>
      </w:r>
      <w:r>
        <w:t xml:space="preserve"> </w:t>
      </w:r>
      <w:hyperlink r:id="rId119">
        <w:r>
          <w:rPr>
            <w:rStyle w:val="Hyperlink"/>
            <w:b/>
            <w:bCs/>
          </w:rPr>
          <w:t xml:space="preserve">Vlossak (elizabeth), Marianne or Germania? Nationalizing Women in Alsace, 1870-1946. Oxford, Oxford University Press, 2010, 330 P.</w:t>
        </w:r>
      </w:hyperlink>
      <w:r>
        <w:t xml:space="preserve">, s.d.s.d.</w:t>
      </w:r>
    </w:p>
    <w:bookmarkEnd w:id="120"/>
    <w:bookmarkStart w:id="121" w:name="ref-goodrich2012"/>
    <w:p>
      <w:pPr>
        <w:pStyle w:val="Bibliography"/>
      </w:pPr>
      <w:r>
        <w:t xml:space="preserve">GOODRICH, Peter. Specters of Law: Why the History of the Legal Spectacle Has Not Been Written.</w:t>
      </w:r>
      <w:r>
        <w:t xml:space="preserve"> </w:t>
      </w:r>
      <w:r>
        <w:rPr>
          <w:b/>
          <w:bCs/>
        </w:rPr>
        <w:t xml:space="preserve">UC Irvine Law Review</w:t>
      </w:r>
      <w:r>
        <w:t xml:space="preserve">, v. 1, n. 3, p. 773–812, 2011.</w:t>
      </w:r>
    </w:p>
    <w:bookmarkEnd w:id="121"/>
    <w:bookmarkStart w:id="122" w:name="ref-goodrich2013a"/>
    <w:p>
      <w:pPr>
        <w:pStyle w:val="Bibliography"/>
      </w:pPr>
      <w:r>
        <w:t xml:space="preserve">GOODRICH, Peter. Visiocracy: On the Futures of the Fingerpost.</w:t>
      </w:r>
      <w:r>
        <w:t xml:space="preserve"> </w:t>
      </w:r>
      <w:r>
        <w:rPr>
          <w:b/>
          <w:bCs/>
        </w:rPr>
        <w:t xml:space="preserve">Critical Inquiry</w:t>
      </w:r>
      <w:r>
        <w:t xml:space="preserve">, v. 39, n. 3, p. 498–531, a2013.</w:t>
      </w:r>
    </w:p>
    <w:bookmarkEnd w:id="122"/>
    <w:bookmarkStart w:id="123" w:name="ref-goodrich2013b"/>
    <w:p>
      <w:pPr>
        <w:pStyle w:val="Bibliography"/>
      </w:pPr>
      <w:r>
        <w:t xml:space="preserve">GOODRICH, Peter.</w:t>
      </w:r>
      <w:r>
        <w:t xml:space="preserve"> </w:t>
      </w:r>
      <w:r>
        <w:rPr>
          <w:b/>
          <w:bCs/>
        </w:rPr>
        <w:t xml:space="preserve">Legal Emblems and the Art of Law: Obiter Depicta as the Vision of Governance</w:t>
      </w:r>
      <w:r>
        <w:t xml:space="preserve">. Cambridge: Cambridge University Press, 2013b.</w:t>
      </w:r>
    </w:p>
    <w:bookmarkEnd w:id="123"/>
    <w:bookmarkStart w:id="125" w:name="ref-goodrich2017"/>
    <w:p>
      <w:pPr>
        <w:pStyle w:val="Bibliography"/>
      </w:pPr>
      <w:r>
        <w:t xml:space="preserve">GOODRICH, Peter.</w:t>
      </w:r>
      <w:r>
        <w:t xml:space="preserve"> </w:t>
      </w:r>
      <w:hyperlink r:id="rId124">
        <w:r>
          <w:rPr>
            <w:rStyle w:val="Hyperlink"/>
          </w:rPr>
          <w:t xml:space="preserve">Imago Decidendi: On the Common Law of Images</w:t>
        </w:r>
      </w:hyperlink>
      <w:r>
        <w:t xml:space="preserve">.</w:t>
      </w:r>
      <w:r>
        <w:t xml:space="preserve"> </w:t>
      </w:r>
      <w:r>
        <w:rPr>
          <w:b/>
          <w:bCs/>
        </w:rPr>
        <w:t xml:space="preserve">Brill Research Perspectives in Art and Law</w:t>
      </w:r>
      <w:r>
        <w:t xml:space="preserve">, v. 1, n. 1, p. 1–57, 2017.</w:t>
      </w:r>
    </w:p>
    <w:bookmarkEnd w:id="125"/>
    <w:bookmarkStart w:id="126" w:name="ref-grossi2007"/>
    <w:p>
      <w:pPr>
        <w:pStyle w:val="Bibliography"/>
      </w:pPr>
      <w:r>
        <w:t xml:space="preserve">GROSSI, Paolo.</w:t>
      </w:r>
      <w:r>
        <w:t xml:space="preserve"> </w:t>
      </w:r>
      <w:r>
        <w:rPr>
          <w:b/>
          <w:bCs/>
        </w:rPr>
        <w:t xml:space="preserve">Mitologias jurídicas da modernidade</w:t>
      </w:r>
      <w:r>
        <w:t xml:space="preserve">. Tradução: Arno Dal Ri Júnior. Florianópolis: Fundação Boiteux, 2007.</w:t>
      </w:r>
    </w:p>
    <w:bookmarkEnd w:id="126"/>
    <w:bookmarkStart w:id="128" w:name="ref-guidiby2022"/>
    <w:p>
      <w:pPr>
        <w:pStyle w:val="Bibliography"/>
      </w:pPr>
      <w:r>
        <w:t xml:space="preserve">GUI-DIBY, Steve Loris.</w:t>
      </w:r>
      <w:r>
        <w:t xml:space="preserve"> </w:t>
      </w:r>
      <w:hyperlink r:id="rId127">
        <w:r>
          <w:rPr>
            <w:rStyle w:val="Hyperlink"/>
            <w:b/>
            <w:bCs/>
          </w:rPr>
          <w:t xml:space="preserve">The St George Ribbon and the Immortal Regiment: New Symbols and Rituals in Russian Regime-Legitimation</w:t>
        </w:r>
      </w:hyperlink>
      <w:r>
        <w:t xml:space="preserve">., 2022.</w:t>
      </w:r>
    </w:p>
    <w:bookmarkEnd w:id="128"/>
    <w:bookmarkStart w:id="129" w:name="ref-haraway1985"/>
    <w:p>
      <w:pPr>
        <w:pStyle w:val="Bibliography"/>
      </w:pPr>
      <w:r>
        <w:t xml:space="preserve">HARAWAY, Donna. A Manifesto for Cyborgs: Science, Technology, and Socialist Feminism in the 1980s.</w:t>
      </w:r>
      <w:r>
        <w:t xml:space="preserve"> </w:t>
      </w:r>
      <w:r>
        <w:rPr>
          <w:b/>
          <w:bCs/>
        </w:rPr>
        <w:t xml:space="preserve">Socialist Review</w:t>
      </w:r>
      <w:r>
        <w:t xml:space="preserve">, n. 80, p. 65–108, 1985.</w:t>
      </w:r>
    </w:p>
    <w:bookmarkEnd w:id="129"/>
    <w:bookmarkStart w:id="130" w:name="ref-haraway2009"/>
    <w:p>
      <w:pPr>
        <w:pStyle w:val="Bibliography"/>
      </w:pPr>
      <w:r>
        <w:t xml:space="preserve">HARAWAY, Donna. Manifesto ciborgue: ciência, tecnologia e feminismo-socialista no final do século XX.</w:t>
      </w:r>
      <w:r>
        <w:t xml:space="preserve"> </w:t>
      </w:r>
      <w:r>
        <w:rPr>
          <w:i/>
          <w:iCs/>
        </w:rPr>
        <w:t xml:space="preserve">In</w:t>
      </w:r>
      <w:r>
        <w:t xml:space="preserve">: SILVA, Tomaz Tadeu (Org.).</w:t>
      </w:r>
      <w:r>
        <w:t xml:space="preserve"> </w:t>
      </w:r>
      <w:r>
        <w:rPr>
          <w:b/>
          <w:bCs/>
        </w:rPr>
        <w:t xml:space="preserve">Antropologia do Ciborgue: as vertigens do pós-humano</w:t>
      </w:r>
      <w:r>
        <w:t xml:space="preserve">. Tradução: Tomaz Tadeu. 2. ed. Belo Horizonte: Autêntica, 2009. p. 33–118.</w:t>
      </w:r>
    </w:p>
    <w:bookmarkEnd w:id="130"/>
    <w:bookmarkStart w:id="131" w:name="ref-hespanha2005"/>
    <w:p>
      <w:pPr>
        <w:pStyle w:val="Bibliography"/>
      </w:pPr>
      <w:r>
        <w:t xml:space="preserve">HESPANHA, António Manuel.</w:t>
      </w:r>
      <w:r>
        <w:t xml:space="preserve"> </w:t>
      </w:r>
      <w:r>
        <w:rPr>
          <w:b/>
          <w:bCs/>
        </w:rPr>
        <w:t xml:space="preserve">Cultura Jurídica Europeia: síntese de um milénio</w:t>
      </w:r>
      <w:r>
        <w:t xml:space="preserve">. Coimbra: Almedina, 2005.</w:t>
      </w:r>
    </w:p>
    <w:bookmarkEnd w:id="131"/>
    <w:bookmarkStart w:id="132" w:name="ref-hunt1984"/>
    <w:p>
      <w:pPr>
        <w:pStyle w:val="Bibliography"/>
      </w:pPr>
      <w:r>
        <w:t xml:space="preserve">HUNT, Lynn.</w:t>
      </w:r>
      <w:r>
        <w:t xml:space="preserve"> </w:t>
      </w:r>
      <w:r>
        <w:rPr>
          <w:b/>
          <w:bCs/>
        </w:rPr>
        <w:t xml:space="preserve">Politics, Culture, and Class in the French Revolution</w:t>
      </w:r>
      <w:r>
        <w:t xml:space="preserve">. Berkeley: University of California Press, 1984.</w:t>
      </w:r>
    </w:p>
    <w:bookmarkEnd w:id="132"/>
    <w:bookmarkStart w:id="133" w:name="ref-huygebaert2015"/>
    <w:p>
      <w:pPr>
        <w:pStyle w:val="Bibliography"/>
      </w:pPr>
      <w:r>
        <w:t xml:space="preserve">HUYGEBAERT, Stefan. Visualizing Law and Justice: Iconographies of the Legal and the Just in the Long Nineteenth Century.</w:t>
      </w:r>
      <w:r>
        <w:t xml:space="preserve"> </w:t>
      </w:r>
      <w:r>
        <w:rPr>
          <w:i/>
          <w:iCs/>
        </w:rPr>
        <w:t xml:space="preserve">In</w:t>
      </w:r>
      <w:r>
        <w:t xml:space="preserve">:</w:t>
      </w:r>
      <w:r>
        <w:t xml:space="preserve"> </w:t>
      </w:r>
      <w:r>
        <w:rPr>
          <w:b/>
          <w:bCs/>
        </w:rPr>
        <w:t xml:space="preserve">Law and the Visual</w:t>
      </w:r>
      <w:r>
        <w:t xml:space="preserve">.</w:t>
      </w:r>
      <w:r>
        <w:t xml:space="preserve"> </w:t>
      </w:r>
      <w:r>
        <w:rPr>
          <w:i/>
          <w:iCs/>
        </w:rPr>
        <w:t xml:space="preserve">[S.l.]</w:t>
      </w:r>
      <w:r>
        <w:t xml:space="preserve">: s.n., 2015.</w:t>
      </w:r>
    </w:p>
    <w:bookmarkEnd w:id="133"/>
    <w:bookmarkStart w:id="134" w:name="ref-kantorowicz1957"/>
    <w:p>
      <w:pPr>
        <w:pStyle w:val="Bibliography"/>
      </w:pPr>
      <w:r>
        <w:t xml:space="preserve">KANTOROWICZ, Ernst H.</w:t>
      </w:r>
      <w:r>
        <w:t xml:space="preserve"> </w:t>
      </w:r>
      <w:r>
        <w:rPr>
          <w:b/>
          <w:bCs/>
        </w:rPr>
        <w:t xml:space="preserve">The King’s Two Bodies: A Study in Mediaeval Political Theology</w:t>
      </w:r>
      <w:r>
        <w:t xml:space="preserve">. Princeton: Princeton University Press, 1957.</w:t>
      </w:r>
    </w:p>
    <w:bookmarkEnd w:id="134"/>
    <w:bookmarkStart w:id="135" w:name="ref-kantorowicz1998"/>
    <w:p>
      <w:pPr>
        <w:pStyle w:val="Bibliography"/>
      </w:pPr>
      <w:r>
        <w:t xml:space="preserve">KANTOROWICZ, Ernst H.</w:t>
      </w:r>
      <w:r>
        <w:t xml:space="preserve"> </w:t>
      </w:r>
      <w:r>
        <w:rPr>
          <w:b/>
          <w:bCs/>
        </w:rPr>
        <w:t xml:space="preserve">Os Dois Corpos do Rei: um estudo sobre teologia política medieval</w:t>
      </w:r>
      <w:r>
        <w:t xml:space="preserve">. Tradução: Cid Knipel Moreira. São Paulo: Companhia das Letras, 1998.</w:t>
      </w:r>
    </w:p>
    <w:bookmarkEnd w:id="135"/>
    <w:bookmarkStart w:id="137" w:name="ref-konig2013"/>
    <w:p>
      <w:pPr>
        <w:pStyle w:val="Bibliography"/>
      </w:pPr>
      <w:r>
        <w:t xml:space="preserve">KÖNIG, Subrata Mitra Lion.</w:t>
      </w:r>
      <w:r>
        <w:t xml:space="preserve"> </w:t>
      </w:r>
      <w:hyperlink r:id="rId136">
        <w:r>
          <w:rPr>
            <w:rStyle w:val="Hyperlink"/>
          </w:rPr>
          <w:t xml:space="preserve">Icon-ising national identity: France and India in comparative perspective</w:t>
        </w:r>
      </w:hyperlink>
      <w:r>
        <w:t xml:space="preserve">.</w:t>
      </w:r>
      <w:r>
        <w:t xml:space="preserve"> </w:t>
      </w:r>
      <w:r>
        <w:rPr>
          <w:b/>
          <w:bCs/>
        </w:rPr>
        <w:t xml:space="preserve">National Identities</w:t>
      </w:r>
      <w:r>
        <w:t xml:space="preserve">, 2013.</w:t>
      </w:r>
    </w:p>
    <w:bookmarkEnd w:id="137"/>
    <w:bookmarkStart w:id="138" w:name="ref-landes2001"/>
    <w:p>
      <w:pPr>
        <w:pStyle w:val="Bibliography"/>
      </w:pPr>
      <w:r>
        <w:t xml:space="preserve">LANDES, Joan B.</w:t>
      </w:r>
      <w:r>
        <w:t xml:space="preserve"> </w:t>
      </w:r>
      <w:r>
        <w:rPr>
          <w:b/>
          <w:bCs/>
        </w:rPr>
        <w:t xml:space="preserve">Visualizing the Nation: Gender, Representation, and Revolution in Eighteenth-Century France</w:t>
      </w:r>
      <w:r>
        <w:t xml:space="preserve">. Ithaca: Cornell University Press, 2001.</w:t>
      </w:r>
    </w:p>
    <w:bookmarkEnd w:id="138"/>
    <w:bookmarkStart w:id="139" w:name="ref-latour1991"/>
    <w:p>
      <w:pPr>
        <w:pStyle w:val="Bibliography"/>
      </w:pPr>
      <w:r>
        <w:t xml:space="preserve">LATOUR, Bruno.</w:t>
      </w:r>
      <w:r>
        <w:t xml:space="preserve"> </w:t>
      </w:r>
      <w:r>
        <w:rPr>
          <w:b/>
          <w:bCs/>
        </w:rPr>
        <w:t xml:space="preserve">Nous n’avons jamais été modernes: essai d’anthropologie symétrique</w:t>
      </w:r>
      <w:r>
        <w:t xml:space="preserve">. Paris: La Découverte, 1991.</w:t>
      </w:r>
    </w:p>
    <w:bookmarkEnd w:id="139"/>
    <w:bookmarkStart w:id="140" w:name="ref-latour1994"/>
    <w:p>
      <w:pPr>
        <w:pStyle w:val="Bibliography"/>
      </w:pPr>
      <w:r>
        <w:t xml:space="preserve">LATOUR, Bruno.</w:t>
      </w:r>
      <w:r>
        <w:t xml:space="preserve"> </w:t>
      </w:r>
      <w:r>
        <w:rPr>
          <w:b/>
          <w:bCs/>
        </w:rPr>
        <w:t xml:space="preserve">Jamais Fomos Modernos: ensaio de antropologia simétrica</w:t>
      </w:r>
      <w:r>
        <w:t xml:space="preserve">. Tradução: Carlos Irineu da Costa. Rio de Janeiro: Editora 34, 1994.</w:t>
      </w:r>
    </w:p>
    <w:bookmarkEnd w:id="140"/>
    <w:bookmarkStart w:id="141" w:name="ref-legendre1974"/>
    <w:p>
      <w:pPr>
        <w:pStyle w:val="Bibliography"/>
      </w:pPr>
      <w:r>
        <w:t xml:space="preserve">LEGENDRE, Pierre.</w:t>
      </w:r>
      <w:r>
        <w:t xml:space="preserve"> </w:t>
      </w:r>
      <w:r>
        <w:rPr>
          <w:b/>
          <w:bCs/>
        </w:rPr>
        <w:t xml:space="preserve">L’Amour du censeur: essai sur l’ordre dogmatique</w:t>
      </w:r>
      <w:r>
        <w:t xml:space="preserve">. Paris: Seuil, 1974.</w:t>
      </w:r>
    </w:p>
    <w:bookmarkEnd w:id="141"/>
    <w:bookmarkStart w:id="142" w:name="ref-legendre1994"/>
    <w:p>
      <w:pPr>
        <w:pStyle w:val="Bibliography"/>
      </w:pPr>
      <w:r>
        <w:t xml:space="preserve">LEGENDRE, Pierre.</w:t>
      </w:r>
      <w:r>
        <w:t xml:space="preserve"> </w:t>
      </w:r>
      <w:r>
        <w:rPr>
          <w:b/>
          <w:bCs/>
        </w:rPr>
        <w:t xml:space="preserve">Dieu au miroir: étude sur l’institution des images</w:t>
      </w:r>
      <w:r>
        <w:t xml:space="preserve">. Paris: Fayard, 1994.</w:t>
      </w:r>
    </w:p>
    <w:bookmarkEnd w:id="142"/>
    <w:bookmarkStart w:id="143" w:name="ref-manderson2018"/>
    <w:p>
      <w:pPr>
        <w:pStyle w:val="Bibliography"/>
      </w:pPr>
      <w:r>
        <w:t xml:space="preserve">MANDERSON, Desmond (ORG.).</w:t>
      </w:r>
      <w:r>
        <w:t xml:space="preserve"> </w:t>
      </w:r>
      <w:r>
        <w:rPr>
          <w:b/>
          <w:bCs/>
        </w:rPr>
        <w:t xml:space="preserve">Law and the Visual: Representations, Jurisprudences, and Aesthetics</w:t>
      </w:r>
      <w:r>
        <w:t xml:space="preserve">. Toronto: University of Toronto Press, 2018.</w:t>
      </w:r>
    </w:p>
    <w:bookmarkEnd w:id="143"/>
    <w:bookmarkStart w:id="144" w:name="ref-mirzoeff1999"/>
    <w:p>
      <w:pPr>
        <w:pStyle w:val="Bibliography"/>
      </w:pPr>
      <w:r>
        <w:t xml:space="preserve">MIRZOEFF, Nicholas.</w:t>
      </w:r>
      <w:r>
        <w:t xml:space="preserve"> </w:t>
      </w:r>
      <w:r>
        <w:rPr>
          <w:b/>
          <w:bCs/>
        </w:rPr>
        <w:t xml:space="preserve">An Introduction to Visual Culture</w:t>
      </w:r>
      <w:r>
        <w:t xml:space="preserve">. London: Routledge, 1999.</w:t>
      </w:r>
    </w:p>
    <w:bookmarkEnd w:id="144"/>
    <w:bookmarkStart w:id="145" w:name="ref-mitchell1994"/>
    <w:p>
      <w:pPr>
        <w:pStyle w:val="Bibliography"/>
      </w:pPr>
      <w:r>
        <w:t xml:space="preserve">MITCHELL, W. J. T.</w:t>
      </w:r>
      <w:r>
        <w:t xml:space="preserve"> </w:t>
      </w:r>
      <w:r>
        <w:rPr>
          <w:b/>
          <w:bCs/>
        </w:rPr>
        <w:t xml:space="preserve">Picture Theory: Essays on Verbal and Visual Representation</w:t>
      </w:r>
      <w:r>
        <w:t xml:space="preserve">. Chicago: University of Chicago Press, 1994.</w:t>
      </w:r>
    </w:p>
    <w:bookmarkEnd w:id="145"/>
    <w:bookmarkStart w:id="146" w:name="ref-mondzain2002"/>
    <w:p>
      <w:pPr>
        <w:pStyle w:val="Bibliography"/>
      </w:pPr>
      <w:r>
        <w:t xml:space="preserve">MONDZAIN, Marie-José.</w:t>
      </w:r>
      <w:r>
        <w:t xml:space="preserve"> </w:t>
      </w:r>
      <w:r>
        <w:rPr>
          <w:b/>
          <w:bCs/>
        </w:rPr>
        <w:t xml:space="preserve">Image, icône, économie: les sources byzantines de l’imaginaire contemporain</w:t>
      </w:r>
      <w:r>
        <w:t xml:space="preserve">. Paris: Seuil, 2002.</w:t>
      </w:r>
    </w:p>
    <w:bookmarkEnd w:id="146"/>
    <w:bookmarkStart w:id="147" w:name="ref-mondzain2017"/>
    <w:p>
      <w:pPr>
        <w:pStyle w:val="Bibliography"/>
      </w:pPr>
      <w:r>
        <w:t xml:space="preserve">MONDZAIN, Marie-José.</w:t>
      </w:r>
      <w:r>
        <w:t xml:space="preserve"> </w:t>
      </w:r>
      <w:r>
        <w:rPr>
          <w:b/>
          <w:bCs/>
        </w:rPr>
        <w:t xml:space="preserve">Confiscation: des mots, des images et du temps</w:t>
      </w:r>
      <w:r>
        <w:t xml:space="preserve">. Paris: Les liens qui libèrent, 2017.</w:t>
      </w:r>
    </w:p>
    <w:bookmarkEnd w:id="147"/>
    <w:bookmarkStart w:id="149" w:name="ref-anon2023"/>
    <w:p>
      <w:pPr>
        <w:pStyle w:val="Bibliography"/>
      </w:pPr>
      <w:r>
        <w:t xml:space="preserve">N.], [s.</w:t>
      </w:r>
      <w:r>
        <w:t xml:space="preserve"> </w:t>
      </w:r>
      <w:hyperlink r:id="rId148">
        <w:r>
          <w:rPr>
            <w:rStyle w:val="Hyperlink"/>
            <w:b/>
            <w:bCs/>
          </w:rPr>
          <w:t xml:space="preserve">Actas de las Jornadas de Historia sobre el Descubrimiento de América. Tomo V: Jornadas XV, XVI, XVII y XVIII (2019, 2020, 2021 y 2022)</w:t>
        </w:r>
      </w:hyperlink>
      <w:r>
        <w:t xml:space="preserve">., 2023.</w:t>
      </w:r>
    </w:p>
    <w:bookmarkEnd w:id="149"/>
    <w:bookmarkStart w:id="150" w:name="ref-nussbaum1995"/>
    <w:p>
      <w:pPr>
        <w:pStyle w:val="Bibliography"/>
      </w:pPr>
      <w:r>
        <w:t xml:space="preserve">NUSSBAUM, Martha C.</w:t>
      </w:r>
      <w:r>
        <w:t xml:space="preserve"> </w:t>
      </w:r>
      <w:r>
        <w:rPr>
          <w:b/>
          <w:bCs/>
        </w:rPr>
        <w:t xml:space="preserve">Poetic Justice: The Literary Imagination and Public Life</w:t>
      </w:r>
      <w:r>
        <w:t xml:space="preserve">. Boston: Beacon Press, 1995.</w:t>
      </w:r>
    </w:p>
    <w:bookmarkEnd w:id="150"/>
    <w:bookmarkStart w:id="151" w:name="ref-panofsky1939"/>
    <w:p>
      <w:pPr>
        <w:pStyle w:val="Bibliography"/>
      </w:pPr>
      <w:r>
        <w:t xml:space="preserve">PANOFSKY, Erwin.</w:t>
      </w:r>
      <w:r>
        <w:t xml:space="preserve"> </w:t>
      </w:r>
      <w:r>
        <w:rPr>
          <w:b/>
          <w:bCs/>
        </w:rPr>
        <w:t xml:space="preserve">Studies in Iconology: Humanistic Themes in the Art of the Renaissance</w:t>
      </w:r>
      <w:r>
        <w:t xml:space="preserve">. New York: Oxford University Press, 1939.</w:t>
      </w:r>
    </w:p>
    <w:bookmarkEnd w:id="151"/>
    <w:bookmarkStart w:id="152" w:name="ref-panofsky1955"/>
    <w:p>
      <w:pPr>
        <w:pStyle w:val="Bibliography"/>
      </w:pPr>
      <w:r>
        <w:t xml:space="preserve">PANOFSKY, Erwin.</w:t>
      </w:r>
      <w:r>
        <w:t xml:space="preserve"> </w:t>
      </w:r>
      <w:r>
        <w:rPr>
          <w:b/>
          <w:bCs/>
        </w:rPr>
        <w:t xml:space="preserve">Meaning in the Visual Arts</w:t>
      </w:r>
      <w:r>
        <w:t xml:space="preserve">. Garden City, NY: Doubleday Anchor, 1955.</w:t>
      </w:r>
    </w:p>
    <w:bookmarkEnd w:id="152"/>
    <w:bookmarkStart w:id="153" w:name="ref-pateman1988"/>
    <w:p>
      <w:pPr>
        <w:pStyle w:val="Bibliography"/>
      </w:pPr>
      <w:r>
        <w:t xml:space="preserve">PATEMAN, Carole.</w:t>
      </w:r>
      <w:r>
        <w:t xml:space="preserve"> </w:t>
      </w:r>
      <w:r>
        <w:rPr>
          <w:b/>
          <w:bCs/>
        </w:rPr>
        <w:t xml:space="preserve">The Sexual Contract</w:t>
      </w:r>
      <w:r>
        <w:t xml:space="preserve">. Stanford: Stanford University Press, 1988.</w:t>
      </w:r>
    </w:p>
    <w:bookmarkEnd w:id="153"/>
    <w:bookmarkStart w:id="154" w:name="ref-pateman1993"/>
    <w:p>
      <w:pPr>
        <w:pStyle w:val="Bibliography"/>
      </w:pPr>
      <w:r>
        <w:t xml:space="preserve">PATEMAN, Carole.</w:t>
      </w:r>
      <w:r>
        <w:t xml:space="preserve"> </w:t>
      </w:r>
      <w:r>
        <w:rPr>
          <w:b/>
          <w:bCs/>
        </w:rPr>
        <w:t xml:space="preserve">O contrato sexual</w:t>
      </w:r>
      <w:r>
        <w:t xml:space="preserve">. Tradução: Marta Avancini. Rio de Janeiro: Paz e Terra, 1993.</w:t>
      </w:r>
    </w:p>
    <w:bookmarkEnd w:id="154"/>
    <w:bookmarkStart w:id="155" w:name="ref-patemanmills2007"/>
    <w:p>
      <w:pPr>
        <w:pStyle w:val="Bibliography"/>
      </w:pPr>
      <w:r>
        <w:t xml:space="preserve">PATEMAN, Carole; MILLS, Charles W.</w:t>
      </w:r>
      <w:r>
        <w:t xml:space="preserve"> </w:t>
      </w:r>
      <w:r>
        <w:rPr>
          <w:b/>
          <w:bCs/>
        </w:rPr>
        <w:t xml:space="preserve">Contract and Domination</w:t>
      </w:r>
      <w:r>
        <w:t xml:space="preserve">. Cambridge: Polity Press, 2007.</w:t>
      </w:r>
    </w:p>
    <w:bookmarkEnd w:id="155"/>
    <w:bookmarkStart w:id="156" w:name="ref-rich1980"/>
    <w:p>
      <w:pPr>
        <w:pStyle w:val="Bibliography"/>
      </w:pPr>
      <w:r>
        <w:t xml:space="preserve">RICH, Adrienne. Compulsory Heterosexuality and Lesbian Existence.</w:t>
      </w:r>
      <w:r>
        <w:t xml:space="preserve"> </w:t>
      </w:r>
      <w:r>
        <w:rPr>
          <w:b/>
          <w:bCs/>
        </w:rPr>
        <w:t xml:space="preserve">Signs</w:t>
      </w:r>
      <w:r>
        <w:t xml:space="preserve">, v. 5, n. 4, p. 631–660, 1980.</w:t>
      </w:r>
    </w:p>
    <w:bookmarkEnd w:id="156"/>
    <w:bookmarkStart w:id="157" w:name="ref-richardson2007"/>
    <w:p>
      <w:pPr>
        <w:pStyle w:val="Bibliography"/>
      </w:pPr>
      <w:r>
        <w:t xml:space="preserve">RICHARDSON, Janice.</w:t>
      </w:r>
      <w:r>
        <w:t xml:space="preserve"> </w:t>
      </w:r>
      <w:r>
        <w:rPr>
          <w:b/>
          <w:bCs/>
        </w:rPr>
        <w:t xml:space="preserve">Selves, Persons, Individuals: Philosophical Perspectives on Women and Legal Obligations</w:t>
      </w:r>
      <w:r>
        <w:t xml:space="preserve">. Aldershot: Ashgate, 2007.</w:t>
      </w:r>
    </w:p>
    <w:bookmarkEnd w:id="157"/>
    <w:bookmarkStart w:id="158" w:name="ref-richardson2009"/>
    <w:p>
      <w:pPr>
        <w:pStyle w:val="Bibliography"/>
      </w:pPr>
      <w:r>
        <w:t xml:space="preserve">RICHARDSON, Janice.</w:t>
      </w:r>
      <w:r>
        <w:t xml:space="preserve"> </w:t>
      </w:r>
      <w:r>
        <w:rPr>
          <w:b/>
          <w:bCs/>
        </w:rPr>
        <w:t xml:space="preserve">The Classic Social Contractarians: Critical Perspectives from Contemporary Feminist Philosophy and Law</w:t>
      </w:r>
      <w:r>
        <w:t xml:space="preserve">. Farnham: Ashgate, 2009.</w:t>
      </w:r>
    </w:p>
    <w:bookmarkEnd w:id="158"/>
    <w:bookmarkStart w:id="160" w:name="ref-schor1992"/>
    <w:p>
      <w:pPr>
        <w:pStyle w:val="Bibliography"/>
      </w:pPr>
      <w:r>
        <w:t xml:space="preserve">SCHOR, Naomi.</w:t>
      </w:r>
      <w:r>
        <w:t xml:space="preserve"> </w:t>
      </w:r>
      <w:hyperlink r:id="rId159">
        <w:r>
          <w:rPr>
            <w:rStyle w:val="Hyperlink"/>
            <w:b/>
            <w:bCs/>
          </w:rPr>
          <w:t xml:space="preserve">Triste Amérique: Atala and the Postrevolutionary Construction of Woman</w:t>
        </w:r>
      </w:hyperlink>
      <w:r>
        <w:t xml:space="preserve">., 1992.</w:t>
      </w:r>
    </w:p>
    <w:bookmarkEnd w:id="160"/>
    <w:bookmarkStart w:id="161" w:name="ref-scott1988"/>
    <w:p>
      <w:pPr>
        <w:pStyle w:val="Bibliography"/>
      </w:pPr>
      <w:r>
        <w:t xml:space="preserve">SCOTT, Joan Wallach.</w:t>
      </w:r>
      <w:r>
        <w:t xml:space="preserve"> </w:t>
      </w:r>
      <w:r>
        <w:rPr>
          <w:b/>
          <w:bCs/>
        </w:rPr>
        <w:t xml:space="preserve">Gender and the Politics of History</w:t>
      </w:r>
      <w:r>
        <w:t xml:space="preserve">. New York: Columbia University Press, 1988.</w:t>
      </w:r>
    </w:p>
    <w:bookmarkEnd w:id="161"/>
    <w:bookmarkStart w:id="162" w:name="ref-scott1996"/>
    <w:p>
      <w:pPr>
        <w:pStyle w:val="Bibliography"/>
      </w:pPr>
      <w:r>
        <w:t xml:space="preserve">SCOTT, Joan Wallach.</w:t>
      </w:r>
      <w:r>
        <w:t xml:space="preserve"> </w:t>
      </w:r>
      <w:r>
        <w:rPr>
          <w:b/>
          <w:bCs/>
        </w:rPr>
        <w:t xml:space="preserve">Only Paradoxes to Offer: French Feminists and the Rights of Man</w:t>
      </w:r>
      <w:r>
        <w:t xml:space="preserve">. Cambridge, MA: Harvard University Press, 1996.</w:t>
      </w:r>
    </w:p>
    <w:bookmarkEnd w:id="162"/>
    <w:bookmarkStart w:id="164" w:name="ref-batista2022"/>
    <w:p>
      <w:pPr>
        <w:pStyle w:val="Bibliography"/>
      </w:pPr>
      <w:r>
        <w:t xml:space="preserve">SOUSA NASCIMENTO JOEL MARCOS BRASIL DE SOUSA BATISTA, Francisco De Assis de.</w:t>
      </w:r>
      <w:r>
        <w:t xml:space="preserve"> </w:t>
      </w:r>
      <w:hyperlink r:id="rId163">
        <w:r>
          <w:rPr>
            <w:rStyle w:val="Hyperlink"/>
          </w:rPr>
          <w:t xml:space="preserve">Entre marianne e clotilde</w:t>
        </w:r>
      </w:hyperlink>
      <w:r>
        <w:t xml:space="preserve">.</w:t>
      </w:r>
      <w:r>
        <w:t xml:space="preserve"> </w:t>
      </w:r>
      <w:r>
        <w:rPr>
          <w:b/>
          <w:bCs/>
        </w:rPr>
        <w:t xml:space="preserve">Revista de Estudos de Cultura</w:t>
      </w:r>
      <w:r>
        <w:t xml:space="preserve">, 2022.</w:t>
      </w:r>
    </w:p>
    <w:bookmarkEnd w:id="164"/>
    <w:bookmarkStart w:id="165" w:name="ref-thompson2018"/>
    <w:p>
      <w:pPr>
        <w:pStyle w:val="Bibliography"/>
      </w:pPr>
      <w:r>
        <w:t xml:space="preserve">THOMPSON, Debra; HAYES, Matthew; NEWMAN, Emily. Intersectional Contract Theory.</w:t>
      </w:r>
      <w:r>
        <w:t xml:space="preserve"> </w:t>
      </w:r>
      <w:r>
        <w:rPr>
          <w:b/>
          <w:bCs/>
        </w:rPr>
        <w:t xml:space="preserve">Hypatia</w:t>
      </w:r>
      <w:r>
        <w:t xml:space="preserve">, 2018.</w:t>
      </w:r>
    </w:p>
    <w:bookmarkEnd w:id="165"/>
    <w:bookmarkStart w:id="166" w:name="ref-vandewaal1985"/>
    <w:p>
      <w:pPr>
        <w:pStyle w:val="Bibliography"/>
      </w:pPr>
      <w:r>
        <w:t xml:space="preserve">WAAL, Henri van de.</w:t>
      </w:r>
      <w:r>
        <w:t xml:space="preserve"> </w:t>
      </w:r>
      <w:r>
        <w:rPr>
          <w:b/>
          <w:bCs/>
        </w:rPr>
        <w:t xml:space="preserve">Iconclass: An Iconographic Classification System</w:t>
      </w:r>
      <w:r>
        <w:t xml:space="preserve">. Amsterdam: North-Holland, 1985.</w:t>
      </w:r>
    </w:p>
    <w:bookmarkEnd w:id="166"/>
    <w:bookmarkStart w:id="167" w:name="ref-warburg2000"/>
    <w:p>
      <w:pPr>
        <w:pStyle w:val="Bibliography"/>
      </w:pPr>
      <w:r>
        <w:t xml:space="preserve">WARBURG, Aby.</w:t>
      </w:r>
      <w:r>
        <w:t xml:space="preserve"> </w:t>
      </w:r>
      <w:r>
        <w:rPr>
          <w:b/>
          <w:bCs/>
        </w:rPr>
        <w:t xml:space="preserve">Der Bilderatlas Mnemosyne</w:t>
      </w:r>
      <w:r>
        <w:t xml:space="preserve">. Berlin: Akademie Verlag, 2000.</w:t>
      </w:r>
    </w:p>
    <w:bookmarkEnd w:id="167"/>
    <w:bookmarkStart w:id="168" w:name="ref-warner1985"/>
    <w:p>
      <w:pPr>
        <w:pStyle w:val="Bibliography"/>
      </w:pPr>
      <w:r>
        <w:t xml:space="preserve">WARNER, Marina.</w:t>
      </w:r>
      <w:r>
        <w:t xml:space="preserve"> </w:t>
      </w:r>
      <w:r>
        <w:rPr>
          <w:b/>
          <w:bCs/>
        </w:rPr>
        <w:t xml:space="preserve">Monuments and Maidens: The Allegory of the Female Form</w:t>
      </w:r>
      <w:r>
        <w:t xml:space="preserve">. London: Weidenfeld &amp; Nicolson, 1985.</w:t>
      </w:r>
    </w:p>
    <w:bookmarkEnd w:id="168"/>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5" Target="https://doi.org/10.1057/9781137436436_10" TargetMode="External" /><Relationship Type="http://schemas.openxmlformats.org/officeDocument/2006/relationships/hyperlink" Id="rId136" Target="https://doi.org/10.1080/14608944.2013.829430" TargetMode="External" /><Relationship Type="http://schemas.openxmlformats.org/officeDocument/2006/relationships/hyperlink" Id="rId159" Target="https://doi.org/10.1093/oso/9780195068863.003.0008" TargetMode="External" /><Relationship Type="http://schemas.openxmlformats.org/officeDocument/2006/relationships/hyperlink" Id="rId124" Target="https://doi.org/10.1163/24684309-12340001" TargetMode="External" /><Relationship Type="http://schemas.openxmlformats.org/officeDocument/2006/relationships/hyperlink" Id="rId110" Target="https://doi.org/10.1353/EIR.1998.0007" TargetMode="External" /><Relationship Type="http://schemas.openxmlformats.org/officeDocument/2006/relationships/hyperlink" Id="rId163" Target="https://doi.org/10.32748/revec.v8i21.18508" TargetMode="External" /><Relationship Type="http://schemas.openxmlformats.org/officeDocument/2006/relationships/hyperlink" Id="rId127" Target="https://doi.org/10.3366/edinburgh/9781474495004.003.0007" TargetMode="External" /><Relationship Type="http://schemas.openxmlformats.org/officeDocument/2006/relationships/hyperlink" Id="rId119" Target="https://doi.org/10.4000/alsace.1697" TargetMode="External" /><Relationship Type="http://schemas.openxmlformats.org/officeDocument/2006/relationships/hyperlink" Id="rId117" Target="https://doi.org/10.5433/2237-9126.2007v1n1p12" TargetMode="External" /><Relationship Type="http://schemas.openxmlformats.org/officeDocument/2006/relationships/hyperlink" Id="rId148" Target="https://doi.org/10.56451/10334/7892" TargetMode="External" /></Relationships>
</file>

<file path=word/_rels/footnotes.xml.rels><?xml version="1.0" encoding="UTF-8"?><Relationships xmlns="http://schemas.openxmlformats.org/package/2006/relationships"><Relationship Type="http://schemas.openxmlformats.org/officeDocument/2006/relationships/hyperlink" Id="rId105" Target="https://doi.org/10.1057/9781137436436_10" TargetMode="External" /><Relationship Type="http://schemas.openxmlformats.org/officeDocument/2006/relationships/hyperlink" Id="rId136" Target="https://doi.org/10.1080/14608944.2013.829430" TargetMode="External" /><Relationship Type="http://schemas.openxmlformats.org/officeDocument/2006/relationships/hyperlink" Id="rId159" Target="https://doi.org/10.1093/oso/9780195068863.003.0008" TargetMode="External" /><Relationship Type="http://schemas.openxmlformats.org/officeDocument/2006/relationships/hyperlink" Id="rId124" Target="https://doi.org/10.1163/24684309-12340001" TargetMode="External" /><Relationship Type="http://schemas.openxmlformats.org/officeDocument/2006/relationships/hyperlink" Id="rId110" Target="https://doi.org/10.1353/EIR.1998.0007" TargetMode="External" /><Relationship Type="http://schemas.openxmlformats.org/officeDocument/2006/relationships/hyperlink" Id="rId163" Target="https://doi.org/10.32748/revec.v8i21.18508" TargetMode="External" /><Relationship Type="http://schemas.openxmlformats.org/officeDocument/2006/relationships/hyperlink" Id="rId127" Target="https://doi.org/10.3366/edinburgh/9781474495004.003.0007" TargetMode="External" /><Relationship Type="http://schemas.openxmlformats.org/officeDocument/2006/relationships/hyperlink" Id="rId119" Target="https://doi.org/10.4000/alsace.1697" TargetMode="External" /><Relationship Type="http://schemas.openxmlformats.org/officeDocument/2006/relationships/hyperlink" Id="rId117" Target="https://doi.org/10.5433/2237-9126.2007v1n1p12" TargetMode="External" /><Relationship Type="http://schemas.openxmlformats.org/officeDocument/2006/relationships/hyperlink" Id="rId148" Target="https://doi.org/10.56451/10334/78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Iconocracia: Alegoria Feminina na História da Cultura Jurídica (Séculos XIX–XX)</dc:title>
  <dc:creator/>
  <dc:language>pt-BR</dc:language>
  <cp:keywords/>
  <dcterms:created xsi:type="dcterms:W3CDTF">2026-06-08T02:51:58Z</dcterms:created>
  <dcterms:modified xsi:type="dcterms:W3CDTF">2026-06-08T02:51:58Z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apitulo">
    <vt:lpwstr>10</vt:lpwstr>
  </property>
  <property fmtid="{D5CDD505-2E9C-101B-9397-08002B2CF9AE}" pid="4" name="citacoes">
    <vt:lpwstr>0</vt:lpwstr>
  </property>
  <property fmtid="{D5CDD505-2E9C-101B-9397-08002B2CF9AE}" pid="5" name="csl">
    <vt:lpwstr>abnt.csl</vt:lpwstr>
  </property>
  <property fmtid="{D5CDD505-2E9C-101B-9397-08002B2CF9AE}" pid="6" name="nocite">
    <vt:lpwstr>@*</vt:lpwstr>
  </property>
  <property fmtid="{D5CDD505-2E9C-101B-9397-08002B2CF9AE}" pid="7" name="palavras">
    <vt:lpwstr>0</vt:lpwstr>
  </property>
  <property fmtid="{D5CDD505-2E9C-101B-9397-08002B2CF9AE}" pid="8" name="pandoc">
    <vt:lpwstr/>
  </property>
  <property fmtid="{D5CDD505-2E9C-101B-9397-08002B2CF9AE}" pid="9" name="parte">
    <vt:lpwstr>Conclusão</vt:lpwstr>
  </property>
  <property fmtid="{D5CDD505-2E9C-101B-9397-08002B2CF9AE}" pid="10" name="status">
    <vt:lpwstr>esqueleto</vt:lpwstr>
  </property>
  <property fmtid="{D5CDD505-2E9C-101B-9397-08002B2CF9AE}" pid="11" name="titulo">
    <vt:lpwstr>Conclusão</vt:lpwstr>
  </property>
  <property fmtid="{D5CDD505-2E9C-101B-9397-08002B2CF9AE}" pid="12" name="updated">
    <vt:lpwstr>2026-03-23</vt:lpwstr>
  </property>
</Properties>
</file>