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Maria, Marianne e a República: Disputa de Soberania Afetiva na Primeira República (1889–1922)</w:t>
      </w:r>
    </w:p>
    <w:p>
      <w:pPr>
        <w:pStyle w:val="Date"/>
      </w:pPr>
      <w:r>
        <w:t xml:space="preserve">2026-03-28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X4ecc2d139cb57d8f9074491946919a0c2167fe2"/>
    <w:p>
      <w:pPr>
        <w:pStyle w:val="Heading1"/>
      </w:pPr>
      <w:r>
        <w:t xml:space="preserve">MARIA, MARIANNE E A REPÚBLICA: DISPUTA DE SOBERANIA AFETIVA NA PRIMEIRA REPÚBLICA (1889–1922)</w:t>
      </w:r>
    </w:p>
    <w:p>
      <w:pPr>
        <w:pStyle w:val="BlockText"/>
      </w:pPr>
      <w:r>
        <w:rPr>
          <w:b/>
          <w:bCs/>
        </w:rPr>
        <w:t xml:space="preserve">Ana Vitória Vanzin Mendes</w:t>
      </w:r>
      <w:r>
        <w:rPr>
          <w:rStyle w:val="FootnoteReference"/>
        </w:rPr>
        <w:footnoteReference w:id="9"/>
      </w:r>
      <w:r>
        <w:t xml:space="preserve"> </w:t>
      </w:r>
      <w:r>
        <w:t xml:space="preserve">e</w:t>
      </w:r>
      <w:r>
        <w:t xml:space="preserve"> </w:t>
      </w:r>
      <w:r>
        <w:rPr>
          <w:b/>
          <w:bCs/>
        </w:rPr>
        <w:t xml:space="preserve">Arno Dal Ri Júnior</w:t>
      </w:r>
    </w:p>
    <w:bookmarkStart w:id="10" w:name="resumo"/>
    <w:p>
      <w:pPr>
        <w:pStyle w:val="Heading2"/>
      </w:pPr>
      <w:r>
        <w:t xml:space="preserve">Resumo</w:t>
      </w:r>
    </w:p>
    <w:p>
      <w:pPr>
        <w:pStyle w:val="FirstParagraph"/>
      </w:pPr>
      <w:r>
        <w:t xml:space="preserve">Examina-se a Primeira República (1889–1922) a partir do triângulo alegórico Maria–Marianne–República. Sustenta-se que a legitimação do novo regime dependeu de uma</w:t>
      </w:r>
      <w:r>
        <w:t xml:space="preserve"> </w:t>
      </w:r>
      <w:r>
        <w:rPr>
          <w:i/>
          <w:iCs/>
        </w:rPr>
        <w:t xml:space="preserve">soberania afetiva</w:t>
      </w:r>
      <w:r>
        <w:t xml:space="preserve"> </w:t>
      </w:r>
      <w:r>
        <w:t xml:space="preserve">— isto é, a disputa pelo monopólio do vínculo emocional coletivo entre imagens e instituições — contestada entre a iconografia mariana (Nossa Senhora Aparecida), a personificação cívico-revolucionária francesa (Marianne) e a República-mulher brasileira, síntese vernacular desses repertórios. Propõe-se que a feminilização alegórica do poder, ao articular teologia civil positivista, transferências franco-clássicas e devoções populares, operou como pedagogia cívico-jurídica e tecnologia de estabilização normativa. O marco inaugural é o Decreto n. 4, de 19 de novembro de 1889, que juridifica um léxico visual — bandeira, armas, selo e sinetes — e instala um regime de visibilidade estatal; o termo</w:t>
      </w:r>
      <w:r>
        <w:t xml:space="preserve"> </w:t>
      </w:r>
      <w:r>
        <w:rPr>
          <w:i/>
          <w:iCs/>
        </w:rPr>
        <w:t xml:space="preserve">ad quem</w:t>
      </w:r>
      <w:r>
        <w:t xml:space="preserve">, 1922, assinala a reprogramação de sensibilidades com o Centenário da Independência e a Semana de Arte Moderna. Metodologicamente, aplica-se o itinerário tripartido de Panofsky (1986) em diálogo com a antropologia das imagens (BELTING, 2011) e com a história iconológica do direito (MARTYN; HUYGEBAERT, 2018). Demonstra-se que a República brasileira resulta de um</w:t>
      </w:r>
      <w:r>
        <w:t xml:space="preserve"> </w:t>
      </w:r>
      <w:r>
        <w:rPr>
          <w:i/>
          <w:iCs/>
        </w:rPr>
        <w:t xml:space="preserve">acoplamento simbólico</w:t>
      </w:r>
      <w:r>
        <w:t xml:space="preserve">: marianiza-se no tom afetivo e maternal, marianne-iza-se nos atributos cívicos e converte-se em rosto do Estado por meio de moedas, selos e arquitetura institucional.</w:t>
      </w:r>
    </w:p>
    <w:p>
      <w:pPr>
        <w:pStyle w:val="BodyText"/>
      </w:pPr>
      <w:r>
        <w:rPr>
          <w:b/>
          <w:bCs/>
        </w:rPr>
        <w:t xml:space="preserve">Palavras-chave:</w:t>
      </w:r>
      <w:r>
        <w:t xml:space="preserve"> </w:t>
      </w:r>
      <w:r>
        <w:t xml:space="preserve">Maria; Marianne; República-mulher; iconografia jurídica; soberania afetiva; numismática; filatelia; cultura visual.</w:t>
      </w:r>
    </w:p>
    <w:bookmarkEnd w:id="10"/>
    <w:bookmarkStart w:id="11" w:name="abstract"/>
    <w:p>
      <w:pPr>
        <w:pStyle w:val="Heading2"/>
      </w:pPr>
      <w:r>
        <w:t xml:space="preserve">Abstract</w:t>
      </w:r>
    </w:p>
    <w:p>
      <w:pPr>
        <w:pStyle w:val="FirstParagraph"/>
      </w:pPr>
      <w:r>
        <w:t xml:space="preserve">This article reads Brazil's First Republic (1889–1922) through the Maria–Marianne–Republic allegorical triangle. It argues that republican legitimation relied on a form of</w:t>
      </w:r>
      <w:r>
        <w:t xml:space="preserve"> </w:t>
      </w:r>
      <w:r>
        <w:rPr>
          <w:i/>
          <w:iCs/>
        </w:rPr>
        <w:t xml:space="preserve">affective sovereignty</w:t>
      </w:r>
      <w:r>
        <w:t xml:space="preserve"> </w:t>
      </w:r>
      <w:r>
        <w:t xml:space="preserve">— here defined as the struggle for the monopoly over collective emotional bonds between images and institutions — contested among Marian iconography (Our Lady of Aparecida), the French civic-revolutionary personification (Marianne), and the Brazilian Republic-as-woman, a vernacular synthesis of both. The feminization of power — articulating positivist civil theology, Franco-classical transfers, and popular devotions — operated as a civic-legal pedagogy and a technology for stabilizing legality. Decree no. 4 (Nov. 19, 1889) juridified a visual lexicon (flag, arms, seals), installing a regime of state visibility; 1922 marks a reprogramming of sensibilities with the Centennial of Independence and the Modern Art Week. The Brazilian Republic emerges as a</w:t>
      </w:r>
      <w:r>
        <w:t xml:space="preserve"> </w:t>
      </w:r>
      <w:r>
        <w:rPr>
          <w:i/>
          <w:iCs/>
        </w:rPr>
        <w:t xml:space="preserve">symbolic coupling</w:t>
      </w:r>
      <w:r>
        <w:t xml:space="preserve">: Marian in affect and maternity, Marianne-like in civic attributes, made the State's face through coins, stamps, and institutional architecture.</w:t>
      </w:r>
    </w:p>
    <w:p>
      <w:pPr>
        <w:pStyle w:val="BodyText"/>
      </w:pPr>
      <w:r>
        <w:rPr>
          <w:b/>
          <w:bCs/>
        </w:rPr>
        <w:t xml:space="preserve">Keywords:</w:t>
      </w:r>
      <w:r>
        <w:t xml:space="preserve"> </w:t>
      </w:r>
      <w:r>
        <w:t xml:space="preserve">Mary; Marianne; female allegories; affective sovereignty; legal iconography; numismatics; philately; visual culture.</w:t>
      </w:r>
    </w:p>
    <w:bookmarkEnd w:id="11"/>
    <w:bookmarkStart w:id="12" w:name="introdução"/>
    <w:p>
      <w:pPr>
        <w:pStyle w:val="Heading2"/>
      </w:pPr>
      <w:r>
        <w:t xml:space="preserve">INTRODUÇÃO</w:t>
      </w:r>
    </w:p>
    <w:p>
      <w:pPr>
        <w:pStyle w:val="FirstParagraph"/>
      </w:pPr>
      <w:r>
        <w:t xml:space="preserve">A Primeira República brasileira (1889–1922) proclamou-se por via militar, sem ampla participação popular. Essa gênese impôs ao novo regime um esforço sistemático de publicização e pedagogia cívico-legal, em que signos e imagens funcionaram como tecnologias de mobilização e instrução. O presente artigo propõe uma leitura dessa gramática visual de Estado, tomando as personificações da República e da Justiça em suportes oficiais e paraoficiais amplamente difundidos no período. A hipótese central sustenta que a feminilização alegórica do poder, combinada a emblemas nacionais e a uma retórica visual de autoridade, operou como pedagogia cívico-jurídica e como tecnologia de legitimação, estabilizando a nova legalidade republicana.</w:t>
      </w:r>
    </w:p>
    <w:p>
      <w:pPr>
        <w:pStyle w:val="BodyText"/>
      </w:pPr>
      <w:r>
        <w:t xml:space="preserve">Para tanto, cunha-se a noção de</w:t>
      </w:r>
      <w:r>
        <w:t xml:space="preserve"> </w:t>
      </w:r>
      <w:r>
        <w:rPr>
          <w:i/>
          <w:iCs/>
        </w:rPr>
        <w:t xml:space="preserve">soberania afetiva</w:t>
      </w:r>
      <w:r>
        <w:t xml:space="preserve"> </w:t>
      </w:r>
      <w:r>
        <w:t xml:space="preserve">como categoria analítica: trata-se da disputa pelo monopólio do vínculo emocional coletivo entre imagens, instituições e comunidades de imaginação. Essa disputa não é apenas simbólica — ela tem efeitos jurídicos e políticos mensuráveis na produção de adesão, na naturalização de hierarquias e na constituição de sujeitos cívicos. O triângulo Maria–Marianne–República estrutura o campo dessa disputa: Nossa Senhora Aparecida, com sua capilaridade devocional de caráter pré-estatal; Marianne, matriz franco-clássica de cidadania republicana; e a República-mulher brasileira, síntese vernacular que articula ambos os repertórios sob condições específicas de produção e circulação.</w:t>
      </w:r>
    </w:p>
    <w:p>
      <w:pPr>
        <w:pStyle w:val="BodyText"/>
      </w:pPr>
      <w:r>
        <w:t xml:space="preserve">O percurso inicia-se com o Decreto n. 4, de 19 de novembro de 1889, que institucionaliza bandeira, armas, selo e sinetes, convertendo um léxico iconográfico em obrigação administrativa e ritual; encerra-se em 1922, quando o Centenário da Independência e a Semana de Arte Moderna deslocam sensibilidades e reprogramam repertórios, preservando motivos alegóricos sob novas condições de recepção.</w:t>
      </w:r>
    </w:p>
    <w:p>
      <w:pPr>
        <w:pStyle w:val="BodyText"/>
      </w:pPr>
      <w:r>
        <w:t xml:space="preserve">Teoricamente, articula-se a noção de Estado imaginário de Pietro Costa (1986; 1994), que compreende o Estado como construção textual e visual continuamente performada por discursos, rituais, símbolos e dispositivos de memória; mobiliza-se a antropologia das imagens (BELTING, 2011), segundo a qual imagem, corpo e meio produzem presença; e dialoga-se com a história iconológica do direito (MARTYN; HUYGEBAERT, 2018), que reconhece nas imagens jurídicas um campo autônomo de normatividade e memória institucional. Metodologicamente, aplica-se o itinerário tripartido de Panofsky (1986): (i) descrição pré-iconográfica de motivos, atributos, gestos e suportes; (ii) análise iconográfica dos temas República, Justiça, Liberdade e Progresso; e (iii) interpretação iconológica das relações entre forma visual, práticas institucionais e arquitetura jurídico-política.</w:t>
      </w:r>
    </w:p>
    <w:bookmarkEnd w:id="12"/>
    <w:bookmarkStart w:id="15" w:name="X4d292ed7a751c886d5c7d30f9e26bd0d070008e"/>
    <w:p>
      <w:pPr>
        <w:pStyle w:val="Heading2"/>
      </w:pPr>
      <w:r>
        <w:t xml:space="preserve">1 TEATRO DAS SUPERFÍCIES: MACHADO DE ASSIS E A PEDAGOGIA DOS SIGNOS</w:t>
      </w:r>
    </w:p>
    <w:bookmarkStart w:id="13" w:name="X768fa8f34a62ee239c785b109b82c15d1850767"/>
    <w:p>
      <w:pPr>
        <w:pStyle w:val="Heading3"/>
      </w:pPr>
      <w:r>
        <w:t xml:space="preserve">1.1 A tabuleta nova e a reescrita do espaço urbano</w:t>
      </w:r>
    </w:p>
    <w:p>
      <w:pPr>
        <w:pStyle w:val="FirstParagraph"/>
      </w:pPr>
      <w:r>
        <w:t xml:space="preserve">A proclamação da República, em 15 de novembro de 1889, resultou de arranjos militares e oligárquicos, carente de ampla participação popular. Em</w:t>
      </w:r>
      <w:r>
        <w:t xml:space="preserve"> </w:t>
      </w:r>
      <w:r>
        <w:rPr>
          <w:i/>
          <w:iCs/>
        </w:rPr>
        <w:t xml:space="preserve">Esaú e Jacó</w:t>
      </w:r>
      <w:r>
        <w:t xml:space="preserve">, Machado de Assis descreve, com precisão material, o que sucede no dia imediato à proclamação: um lojista manda retirar a tabuleta com menção ao Império, raspa a madeira, cobre o brasão antigo e encomenda, ao pintor da esquina, a nova inscrição "da República" (ASSIS, 2012, cap. LXIII). A operação, feita à vista dos transeuntes, envolve escada, pincel e tinta fresca; a rua comenta a pressa entre a prudência e o oportunismo, enquanto o Conselheiro Aires relativiza o acontecimento como simples "mudança de pessoal". Esse micro-ritual de fachada evidencia a reescrita do espaço urbano que se inicia pelas superfícies onde o novo regime se declara por palavras e emblemas antes de se sedimentar em práticas.</w:t>
      </w:r>
    </w:p>
    <w:p>
      <w:pPr>
        <w:pStyle w:val="BodyText"/>
      </w:pPr>
      <w:r>
        <w:t xml:space="preserve">Ao enfatizar o teatro das superfícies, a narrativa machadiana permite discernir continuidades por baixo do ruído das rupturas. Historicamente, a República reinscreveu o espaço urbano e a burocracia com repertórios herdados, deslocando seu valor semântico. A lição vale para brasões, selos, efígies e bandeiras que reordenam nomeações de edifícios e repartições, atualizam timbres e naturalizam a clivagem entre Império e República. A imagem — como ruína e como alegoria — reutiliza materiais e reprograma sentidos, permitindo observar a persistência de formas sob novas legitimidades (FARIAS, 2003).</w:t>
      </w:r>
    </w:p>
    <w:bookmarkEnd w:id="13"/>
    <w:bookmarkStart w:id="14" w:name="Xec3645e61e35a9519ba3762d3ffa7d235bc7e47"/>
    <w:p>
      <w:pPr>
        <w:pStyle w:val="Heading3"/>
      </w:pPr>
      <w:r>
        <w:t xml:space="preserve">1.2 Estado imaginário, textualidades visuais e história do direito</w:t>
      </w:r>
    </w:p>
    <w:p>
      <w:pPr>
        <w:pStyle w:val="FirstParagraph"/>
      </w:pPr>
      <w:r>
        <w:t xml:space="preserve">A reflexão de Pietro Costa acerca do conceito de Estado imaginário oferece o pano de fundo teórico desta investigação. Em</w:t>
      </w:r>
      <w:r>
        <w:t xml:space="preserve"> </w:t>
      </w:r>
      <w:r>
        <w:rPr>
          <w:i/>
          <w:iCs/>
        </w:rPr>
        <w:t xml:space="preserve">Lo Stato immaginario</w:t>
      </w:r>
      <w:r>
        <w:t xml:space="preserve"> </w:t>
      </w:r>
      <w:r>
        <w:t xml:space="preserve">(1986) e</w:t>
      </w:r>
      <w:r>
        <w:t xml:space="preserve"> </w:t>
      </w:r>
      <w:r>
        <w:rPr>
          <w:i/>
          <w:iCs/>
        </w:rPr>
        <w:t xml:space="preserve">Il progetto giuridico</w:t>
      </w:r>
      <w:r>
        <w:t xml:space="preserve"> </w:t>
      </w:r>
      <w:r>
        <w:t xml:space="preserve">(1974), Costa mostra o Estado como construção textual e conceitual, continuamente performada por discursos, rituais, símbolos e dispositivos de memória. O discurso jurídico não descreve apenas a ordem: ele institui a própria ordem que enuncia, mobilizando representações que tornam visível a autoridade e convocam adesão. Nessa chave, as imagens aqui estudadas funcionam como textualidades visuais do poder: instauram padrões de reconhecimento, distribuem papéis cívicos e inscrevem a República em um tempo expandido e em um espaço nacional materializados por uma produção de lugares — monumentos, emblemas, moedas, selos, frontispícios — que fixam memórias e narrativas de continuidade.</w:t>
      </w:r>
    </w:p>
    <w:p>
      <w:pPr>
        <w:pStyle w:val="BodyText"/>
      </w:pPr>
      <w:r>
        <w:t xml:space="preserve">A iconografia da República-mulher condensa, em uma única figura, vetores estruturantes do período: transferências iconográficas franco-clássicas, a teologia civil positivista, a disputa simbólica com o catolicismo mariano e a função jurídico-pedagógica em suportes de Estado. Ela é, ao mesmo tempo, rosto do poder e campo de prova das tensões do período. A sua ativação na imprensa ilustrada antes mesmo de 15 de novembro de 1889 — como demonstram a</w:t>
      </w:r>
      <w:r>
        <w:t xml:space="preserve"> </w:t>
      </w:r>
      <w:r>
        <w:rPr>
          <w:i/>
          <w:iCs/>
        </w:rPr>
        <w:t xml:space="preserve">Revista Illustrada</w:t>
      </w:r>
      <w:r>
        <w:t xml:space="preserve"> </w:t>
      </w:r>
      <w:r>
        <w:t xml:space="preserve">de Angelo Agostini (9 de junho de 1888) e as charges de Pereira Neto (16 de novembro de 1889) — indica que a alegoria não nasce</w:t>
      </w:r>
      <w:r>
        <w:t xml:space="preserve"> </w:t>
      </w:r>
      <w:r>
        <w:rPr>
          <w:i/>
          <w:iCs/>
        </w:rPr>
        <w:t xml:space="preserve">ex nihilo</w:t>
      </w:r>
      <w:r>
        <w:t xml:space="preserve">: ancora-se em repertórios transnacionais, mas é prontamente vernacularizada.</w:t>
      </w:r>
    </w:p>
    <w:bookmarkEnd w:id="14"/>
    <w:bookmarkEnd w:id="15"/>
    <w:bookmarkStart w:id="19" w:name="Xfd0ac8eb87fedee561bc493ff550804f81920db"/>
    <w:p>
      <w:pPr>
        <w:pStyle w:val="Heading2"/>
      </w:pPr>
      <w:r>
        <w:t xml:space="preserve">2 O TRIÂNGULO ALEGÓRICO: MARIA, MARIANNE E REPÚBLICA</w:t>
      </w:r>
    </w:p>
    <w:p>
      <w:pPr>
        <w:pStyle w:val="FirstParagraph"/>
      </w:pPr>
      <w:r>
        <w:t xml:space="preserve">Propõe-se que a Primeira República se construiu visualmente a partir de um triângulo de mediações: (i) Maria (Nossa Senhora Aparecida), portadora de capital devocional capilar e duradouro; (ii) Marianne, matriz cívico-revolucionária que fornece atributos, poses e um repertório clássico; e (iii) a República-mulher brasileira, figura de síntese que vernaculariza ambos os polos e os canaliza para um programa de ordem e progresso. A disputa de jurisdição simbólica entre as três figuras estrutura o argumento central sobre</w:t>
      </w:r>
      <w:r>
        <w:t xml:space="preserve"> </w:t>
      </w:r>
      <w:r>
        <w:rPr>
          <w:i/>
          <w:iCs/>
        </w:rPr>
        <w:t xml:space="preserve">soberania afetiva</w:t>
      </w:r>
      <w:r>
        <w:t xml:space="preserve">.</w:t>
      </w:r>
    </w:p>
    <w:p>
      <w:pPr>
        <w:pStyle w:val="BodyText"/>
      </w:pPr>
      <w:r>
        <w:t xml:space="preserve">Desde o limiar republicano, o Estado apropriou-se de códigos iconográficos sedimentados na tradição revolucionária europeia. A genealogia imediata combina o repertório clássico-republicano francês — barrete frígio, louros, lança, feixe, leme — com apropriações locais e disputas confessionais, numa constelação que José Murilo de Carvalho sintetiza no contraste entre "mariolatria" e "marianolatria" — o culto de Maria versus o culto de Marianne (CARVALHO, 1990, p. 75).</w:t>
      </w:r>
      <w:r>
        <w:rPr>
          <w:vertAlign w:val="superscript"/>
        </w:rPr>
        <w:t xml:space="preserve">1</w:t>
      </w:r>
      <w:r>
        <w:t xml:space="preserve"> </w:t>
      </w:r>
      <w:r>
        <w:t xml:space="preserve">A coroação canônica de Nossa Senhora Aparecida, em 1904, autorizada por Pio X, intensificou essa dinâmica ao consolidar sua centralidade devocional em escala nacional, reforçando a legitimidade eclesiástica e popular (AZZI, 1994, p. 87–114).</w:t>
      </w:r>
      <w:r>
        <w:rPr>
          <w:vertAlign w:val="superscript"/>
        </w:rPr>
        <w:t xml:space="preserve">2</w:t>
      </w:r>
    </w:p>
    <w:bookmarkStart w:id="16" w:name="linhagens-e-atributos-comparados"/>
    <w:p>
      <w:pPr>
        <w:pStyle w:val="Heading3"/>
      </w:pPr>
      <w:r>
        <w:t xml:space="preserve">2.1 Linhagens e atributos comparados</w:t>
      </w:r>
    </w:p>
    <w:p>
      <w:pPr>
        <w:pStyle w:val="FirstParagraph"/>
      </w:pPr>
      <w:r>
        <w:t xml:space="preserve">—————————————————————————————————————————————————————————</w:t>
      </w:r>
      <w:r>
        <w:t xml:space="preserve"> </w:t>
      </w:r>
      <w:r>
        <w:rPr>
          <w:b/>
          <w:bCs/>
        </w:rPr>
        <w:t xml:space="preserve">Eixo</w:t>
      </w:r>
      <w:r>
        <w:t xml:space="preserve"> </w:t>
      </w:r>
      <w:r>
        <w:rPr>
          <w:b/>
          <w:bCs/>
        </w:rPr>
        <w:t xml:space="preserve">Maria (Aparecida)</w:t>
      </w:r>
      <w:r>
        <w:t xml:space="preserve"> </w:t>
      </w:r>
      <w:r>
        <w:rPr>
          <w:b/>
          <w:bCs/>
        </w:rPr>
        <w:t xml:space="preserve">Marianne</w:t>
      </w:r>
      <w:r>
        <w:t xml:space="preserve"> </w:t>
      </w:r>
      <w:r>
        <w:rPr>
          <w:b/>
          <w:bCs/>
        </w:rPr>
        <w:t xml:space="preserve">República-mulher (Brasil)</w:t>
      </w:r>
      <w:r>
        <w:t xml:space="preserve"> </w:t>
      </w:r>
      <w:r>
        <w:t xml:space="preserve">—————————- ————————————— ————————————– —————————————————————</w:t>
      </w:r>
      <w:r>
        <w:t xml:space="preserve"> </w:t>
      </w:r>
      <w:r>
        <w:rPr>
          <w:b/>
          <w:bCs/>
        </w:rPr>
        <w:t xml:space="preserve">Titularidade simbólica</w:t>
      </w:r>
      <w:r>
        <w:t xml:space="preserve"> </w:t>
      </w:r>
      <w:r>
        <w:t xml:space="preserve">Rainha e Mãe espiritual; intercessão Cidadania soberana; corpo político Rosto estatal; decoro institucional</w:t>
      </w:r>
    </w:p>
    <w:p>
      <w:pPr>
        <w:pStyle w:val="BodyText"/>
      </w:pPr>
      <w:r>
        <w:rPr>
          <w:b/>
          <w:bCs/>
        </w:rPr>
        <w:t xml:space="preserve">Atributos visuais</w:t>
      </w:r>
      <w:r>
        <w:t xml:space="preserve"> </w:t>
      </w:r>
      <w:r>
        <w:t xml:space="preserve">manto azul, véu, coroa, lua, estrelas barrete frígio, lança, louros, feixe barrete + estrelas do Cruzeiro, ramos de café, balança/espada</w:t>
      </w:r>
    </w:p>
    <w:p>
      <w:pPr>
        <w:pStyle w:val="BodyText"/>
      </w:pPr>
      <w:r>
        <w:rPr>
          <w:b/>
          <w:bCs/>
        </w:rPr>
        <w:t xml:space="preserve">Regime de afeto</w:t>
      </w:r>
      <w:r>
        <w:t xml:space="preserve"> </w:t>
      </w:r>
      <w:r>
        <w:t xml:space="preserve">devoção, consolo, proteção ardor cívico, virtude republicana serenidade maternal + autoridade jurídica</w:t>
      </w:r>
    </w:p>
    <w:p>
      <w:pPr>
        <w:pStyle w:val="BodyText"/>
      </w:pPr>
      <w:r>
        <w:rPr>
          <w:b/>
          <w:bCs/>
        </w:rPr>
        <w:t xml:space="preserve">Dispositivo ritual</w:t>
      </w:r>
      <w:r>
        <w:t xml:space="preserve"> </w:t>
      </w:r>
      <w:r>
        <w:t xml:space="preserve">coroação canônica, procissões festas cívicas, juramentos cerimônias oficiais, moedas, selos, frontões</w:t>
      </w:r>
    </w:p>
    <w:p>
      <w:pPr>
        <w:pStyle w:val="BodyText"/>
      </w:pPr>
      <w:r>
        <w:rPr>
          <w:b/>
          <w:bCs/>
        </w:rPr>
        <w:t xml:space="preserve">Âmbitos de circulação</w:t>
      </w:r>
      <w:r>
        <w:t xml:space="preserve"> </w:t>
      </w:r>
      <w:r>
        <w:t xml:space="preserve">santuários, lares, festas religiosas praça pública, imprensa política repartições, fóruns, escolas, circulação monetária/postal</w:t>
      </w:r>
    </w:p>
    <w:p>
      <w:pPr>
        <w:pStyle w:val="BodyText"/>
      </w:pPr>
      <w:r>
        <w:rPr>
          <w:b/>
          <w:bCs/>
        </w:rPr>
        <w:t xml:space="preserve">Problema jurídico</w:t>
      </w:r>
      <w:r>
        <w:t xml:space="preserve"> </w:t>
      </w:r>
      <w:r>
        <w:t xml:space="preserve">laicidade e liberdade de culto soberania popular e cidadania exclusão feminina sob alegoria feminina</w:t>
      </w:r>
      <w:r>
        <w:t xml:space="preserve"> </w:t>
      </w:r>
      <w:r>
        <w:t xml:space="preserve">—————————————————————————————————————————————————————————</w:t>
      </w:r>
    </w:p>
    <w:p>
      <w:pPr>
        <w:pStyle w:val="BodyText"/>
      </w:pPr>
      <w:r>
        <w:rPr>
          <w:i/>
          <w:iCs/>
        </w:rPr>
        <w:t xml:space="preserve">Quadro 1 — Comparação entre os três polos do triângulo alegórico</w:t>
      </w:r>
    </w:p>
    <w:bookmarkEnd w:id="16"/>
    <w:bookmarkStart w:id="17" w:name="economias-do-afeto-e-pedagogia-política"/>
    <w:p>
      <w:pPr>
        <w:pStyle w:val="Heading3"/>
      </w:pPr>
      <w:r>
        <w:t xml:space="preserve">2.2 Economias do afeto e pedagogia política</w:t>
      </w:r>
    </w:p>
    <w:p>
      <w:pPr>
        <w:pStyle w:val="FirstParagraph"/>
      </w:pPr>
      <w:r>
        <w:t xml:space="preserve">A eficácia das três figuras depende de economias afetivas distintas: a ternura protetiva (Maria), o ardor cívico (Marianne) e a serenidade normativa (República). Sara Ahmed, em</w:t>
      </w:r>
      <w:r>
        <w:t xml:space="preserve"> </w:t>
      </w:r>
      <w:r>
        <w:rPr>
          <w:i/>
          <w:iCs/>
        </w:rPr>
        <w:t xml:space="preserve">The Cultural Politics of Emotion</w:t>
      </w:r>
      <w:r>
        <w:t xml:space="preserve"> </w:t>
      </w:r>
      <w:r>
        <w:t xml:space="preserve">(2004), demonstrou que as emoções não são estados interiores privados, mas forças que</w:t>
      </w:r>
      <w:r>
        <w:t xml:space="preserve"> </w:t>
      </w:r>
      <w:r>
        <w:rPr>
          <w:i/>
          <w:iCs/>
        </w:rPr>
        <w:t xml:space="preserve">circulam</w:t>
      </w:r>
      <w:r>
        <w:t xml:space="preserve"> </w:t>
      </w:r>
      <w:r>
        <w:t xml:space="preserve">entre corpos, objetos e signos, produzindo superfícies e fronteiras sociais — o que ela chama de</w:t>
      </w:r>
      <w:r>
        <w:t xml:space="preserve"> </w:t>
      </w:r>
      <w:r>
        <w:t xml:space="preserve">“economia afetiva”</w:t>
      </w:r>
      <w:r>
        <w:t xml:space="preserve"> </w:t>
      </w:r>
      <w:r>
        <w:t xml:space="preserve">(Ahmed, 2004, p. 44-49). A categoria é diretamente operável aqui: as três figuras do triângulo são, cada uma,</w:t>
      </w:r>
      <w:r>
        <w:t xml:space="preserve"> </w:t>
      </w:r>
      <w:r>
        <w:rPr>
          <w:i/>
          <w:iCs/>
        </w:rPr>
        <w:t xml:space="preserve">nós</w:t>
      </w:r>
      <w:r>
        <w:t xml:space="preserve"> </w:t>
      </w:r>
      <w:r>
        <w:t xml:space="preserve">de circulação afetiva que produzem adesão, repulsa ou indiferença conforme o regime de contato (devocional, cívico, administrativo) e o suporte material (estampa, moeda, selo). O Brasil republicano combinou esses registros para produzir adesão sem ruptura devocional, transferindo para o Estado uma gramática maternal de amparo e ordem.</w:t>
      </w:r>
    </w:p>
    <w:p>
      <w:pPr>
        <w:pStyle w:val="BodyText"/>
      </w:pPr>
      <w:r>
        <w:t xml:space="preserve">A noção de</w:t>
      </w:r>
      <w:r>
        <w:t xml:space="preserve"> </w:t>
      </w:r>
      <w:r>
        <w:rPr>
          <w:i/>
          <w:iCs/>
        </w:rPr>
        <w:t xml:space="preserve">regime emocional</w:t>
      </w:r>
      <w:r>
        <w:t xml:space="preserve"> </w:t>
      </w:r>
      <w:r>
        <w:t xml:space="preserve">proposta por William Reddy permite precisar a dimensão normativa dessa economia afetiva. Em</w:t>
      </w:r>
      <w:r>
        <w:t xml:space="preserve"> </w:t>
      </w:r>
      <w:r>
        <w:rPr>
          <w:i/>
          <w:iCs/>
        </w:rPr>
        <w:t xml:space="preserve">The Navigation of Feeling</w:t>
      </w:r>
      <w:r>
        <w:t xml:space="preserve"> </w:t>
      </w:r>
      <w:r>
        <w:t xml:space="preserve">(2001), Reddy mostra que os Estados modernos não apenas suscitam emoções, mas instituem</w:t>
      </w:r>
      <w:r>
        <w:t xml:space="preserve"> </w:t>
      </w:r>
      <w:r>
        <w:rPr>
          <w:i/>
          <w:iCs/>
        </w:rPr>
        <w:t xml:space="preserve">regimes emocionais</w:t>
      </w:r>
      <w:r>
        <w:t xml:space="preserve"> </w:t>
      </w:r>
      <w:r>
        <w:t xml:space="preserve">— conjuntos normativos que prescrevem como os sujeitos devem sentir, expressar e reconhecer o próprio afeto, penalizando os desvios (REDDY, 2001). A soberania afetiva republicana pode ser lida como a tentativa de instalar um regime emocional de Estado: a República-mulher prescreve um</w:t>
      </w:r>
      <w:r>
        <w:t xml:space="preserve"> </w:t>
      </w:r>
      <w:r>
        <w:rPr>
          <w:i/>
          <w:iCs/>
        </w:rPr>
        <w:t xml:space="preserve">padrão de sentir</w:t>
      </w:r>
      <w:r>
        <w:t xml:space="preserve"> </w:t>
      </w:r>
      <w:r>
        <w:t xml:space="preserve">— devoção maternal secularizada, ardor cívico contido, serenidade normativa — e desloca para a sátira qualquer afeto que escape a esse padrão. O que a pedagogia iconográfica ensina não é apenas</w:t>
      </w:r>
      <w:r>
        <w:t xml:space="preserve"> </w:t>
      </w:r>
      <w:r>
        <w:rPr>
          <w:i/>
          <w:iCs/>
        </w:rPr>
        <w:t xml:space="preserve">o que ver</w:t>
      </w:r>
      <w:r>
        <w:t xml:space="preserve">, mas</w:t>
      </w:r>
      <w:r>
        <w:t xml:space="preserve"> </w:t>
      </w:r>
      <w:r>
        <w:rPr>
          <w:i/>
          <w:iCs/>
        </w:rPr>
        <w:t xml:space="preserve">como sentir</w:t>
      </w:r>
      <w:r>
        <w:t xml:space="preserve"> </w:t>
      </w:r>
      <w:r>
        <w:t xml:space="preserve">diante do Estado.</w:t>
      </w:r>
    </w:p>
    <w:p>
      <w:pPr>
        <w:pStyle w:val="BodyText"/>
      </w:pPr>
      <w:r>
        <w:t xml:space="preserve">Essa operação não é neutra. Ao mobilizar o afeto coletivo em torno de uma figura feminina sem conferir às mulheres reais qualquer espaço na ordem político-jurídica, o regime produziu aquilo que se pode chamar de</w:t>
      </w:r>
      <w:r>
        <w:t xml:space="preserve"> </w:t>
      </w:r>
      <w:r>
        <w:rPr>
          <w:i/>
          <w:iCs/>
        </w:rPr>
        <w:t xml:space="preserve">dissonância performativa</w:t>
      </w:r>
      <w:r>
        <w:t xml:space="preserve"> </w:t>
      </w:r>
      <w:r>
        <w:t xml:space="preserve">— a mulher representa a República nos signos, mas é silenciada na participação (WARNER, 1985, p. 38-67). O conceito de performatividade, tal como desenvolvido por Judith Butler, permite precisar a natureza dessa dissonância: não se trata de uma</w:t>
      </w:r>
      <w:r>
        <w:t xml:space="preserve"> </w:t>
      </w:r>
      <w:r>
        <w:t xml:space="preserve">“representação falsa”</w:t>
      </w:r>
      <w:r>
        <w:t xml:space="preserve"> </w:t>
      </w:r>
      <w:r>
        <w:t xml:space="preserve">(como se a República-mulher mentisse sobre a condição real das mulheres), mas de uma</w:t>
      </w:r>
      <w:r>
        <w:t xml:space="preserve"> </w:t>
      </w:r>
      <w:r>
        <w:rPr>
          <w:i/>
          <w:iCs/>
        </w:rPr>
        <w:t xml:space="preserve">produção performativa</w:t>
      </w:r>
      <w:r>
        <w:t xml:space="preserve"> </w:t>
      </w:r>
      <w:r>
        <w:t xml:space="preserve">de gênero — a repetição ritualizada da alegoria feminina nos suportes estatais</w:t>
      </w:r>
      <w:r>
        <w:t xml:space="preserve"> </w:t>
      </w:r>
      <w:r>
        <w:rPr>
          <w:i/>
          <w:iCs/>
        </w:rPr>
        <w:t xml:space="preserve">constitui</w:t>
      </w:r>
      <w:r>
        <w:t xml:space="preserve"> </w:t>
      </w:r>
      <w:r>
        <w:t xml:space="preserve">uma feminilidade de Estado que funciona precisamente porque não tem referente real (BUTLER, 1990). A República-mulher não representa as mulheres brasileiras; ela</w:t>
      </w:r>
      <w:r>
        <w:t xml:space="preserve"> </w:t>
      </w:r>
      <w:r>
        <w:rPr>
          <w:i/>
          <w:iCs/>
        </w:rPr>
        <w:t xml:space="preserve">performa</w:t>
      </w:r>
      <w:r>
        <w:t xml:space="preserve"> </w:t>
      </w:r>
      <w:r>
        <w:t xml:space="preserve">uma feminilidade institucional que só é eficaz enquanto as mulheres concretas permanecerem fora do campo político. Quando Joan Scott propõe que o gênero é</w:t>
      </w:r>
      <w:r>
        <w:t xml:space="preserve"> </w:t>
      </w:r>
      <w:r>
        <w:t xml:space="preserve">“uma forma primária de significar relações de poder”</w:t>
      </w:r>
      <w:r>
        <w:t xml:space="preserve"> </w:t>
      </w:r>
      <w:r>
        <w:t xml:space="preserve">(Scott, 1986, p. 1067), ela antecipa exatamente essa dinâmica: a feminização da alegoria não é acidental — é um modo de organizar a hierarquia entre quem governa (masculino, invisível) e quem simboliza (feminino, visível mas sem agência).</w:t>
      </w:r>
    </w:p>
    <w:bookmarkEnd w:id="17"/>
    <w:bookmarkStart w:id="18" w:name="juridificação-dos-ícones"/>
    <w:p>
      <w:pPr>
        <w:pStyle w:val="Heading3"/>
      </w:pPr>
      <w:r>
        <w:t xml:space="preserve">2.3 Juridificação dos ícones</w:t>
      </w:r>
    </w:p>
    <w:p>
      <w:pPr>
        <w:pStyle w:val="FirstParagraph"/>
      </w:pPr>
      <w:r>
        <w:t xml:space="preserve">Do lado cívico-estatal, o Decreto n. 4, de 19 de novembro de 1889, juridifica emblemas e instala um regime de visibilidade oficial, tornando a imagem não apenas ornamentação, mas obrigação de Estado: bandeira, armas, selos e sinetes passam a integrar os atos de chancela, os papéis timbrados, as fachadas e os rituais solenes, conferindo previsibilidade visual e disciplinando o olhar cívico. Do lado católico, a coroação de Aparecida (1904) consolida uma soberania mariana com capilaridade social que o Estado laico não logrou reproduzir artificialmente. A República-mulher nasce, assim, como figura de ponte: marianiza o tom afetivo e marianne-iza os atributos cívicos, tornando-se legível tanto no santuário doméstico quanto na fachada do fórum.</w:t>
      </w:r>
    </w:p>
    <w:bookmarkEnd w:id="18"/>
    <w:bookmarkEnd w:id="19"/>
    <w:bookmarkStart w:id="24" w:name="X4767fcd9d99f47691bbe802076c135ad338ae2d"/>
    <w:p>
      <w:pPr>
        <w:pStyle w:val="Heading2"/>
      </w:pPr>
      <w:r>
        <w:t xml:space="preserve">3 LÉXICO MARIANO E A INVENÇÃO CÍVICA DO FEMININO</w:t>
      </w:r>
    </w:p>
    <w:bookmarkStart w:id="20" w:name="arquétipos-marianos"/>
    <w:p>
      <w:pPr>
        <w:pStyle w:val="Heading3"/>
      </w:pPr>
      <w:r>
        <w:t xml:space="preserve">3.1 Arquétipos marianos</w:t>
      </w:r>
    </w:p>
    <w:p>
      <w:pPr>
        <w:pStyle w:val="FirstParagraph"/>
      </w:pPr>
      <w:r>
        <w:t xml:space="preserve">A devoção mariana constitui eixo da religiosidade popular brasileira. Invocações como Nossa Senhora da Conceição e, sobretudo, Nossa Senhora Aparecida estruturam um léxico visual em que véu, manto azul, túnica branca, lua crescente, serpente esmagada e coroa de doze estrelas constroem uma soberania maternal. A iconografia da Assunção projeta uma apoteose feminina, enquanto a Imaculada concentra sinais de pureza e realeza celeste — posição frontal, raios de luz, querubins, fundo glorioso. Esse repertório, consolidado desde o Barroco luso-brasileiro, já estava socialmente estabilizado quando a República o tomou como adversário simbólico.</w:t>
      </w:r>
    </w:p>
    <w:bookmarkEnd w:id="20"/>
    <w:bookmarkStart w:id="21" w:name="Xa3c34e76fe0c7b6ee41df2a9ad4d5249f53ae2d"/>
    <w:p>
      <w:pPr>
        <w:pStyle w:val="Heading3"/>
      </w:pPr>
      <w:r>
        <w:t xml:space="preserve">3.2 A Redentora secular: Princesa Isabel e o léxico do amparo</w:t>
      </w:r>
    </w:p>
    <w:p>
      <w:pPr>
        <w:pStyle w:val="FirstParagraph"/>
      </w:pPr>
      <w:r>
        <w:t xml:space="preserve">A imagem pública da Princesa Isabel, após a sanção da Lei Áurea (1888), operou uma secularização do arquétipo mariano. A alcunha "Redentora" a revestiu de virtudes emprestadas da hagiografia de Maria e a colocou como ponte simbólica entre a Rainha dos Céus e a Mãe Pátria cívica que a República passaria a demandar. As cerimônias e doações em honra a Aparecida, realizadas pela Coroa imperial em derradeira instância, adensaram essa associação entre mediação espiritual e poder temporal (AZZI, 1994).</w:t>
      </w:r>
    </w:p>
    <w:bookmarkEnd w:id="21"/>
    <w:bookmarkStart w:id="22" w:name="X41c5b2782addfe977da0ba9845f27cc0109182d"/>
    <w:p>
      <w:pPr>
        <w:pStyle w:val="Heading3"/>
      </w:pPr>
      <w:r>
        <w:t xml:space="preserve">3.3 Tensão e sincretismo: a "República marianizada"</w:t>
      </w:r>
    </w:p>
    <w:p>
      <w:pPr>
        <w:pStyle w:val="FirstParagraph"/>
      </w:pPr>
      <w:r>
        <w:t xml:space="preserve">No início republicano, o repertório mariano já gozava de capilaridade social inatingível para um Estado com pouco mais de uma década de existência. Ao tentar suplantá-lo, o novo regime promoveu uma substituição funcional que produziu também uma síntese: a "República marianizada". Em telas, monumentos e rituais, serenidade maternal e glória cívica conviveram sob uma estética que pretendia ordem e progresso sem apagar o lastro devocional que informava a recepção pública.</w:t>
      </w:r>
    </w:p>
    <w:p>
      <w:pPr>
        <w:pStyle w:val="BodyText"/>
      </w:pPr>
      <w:r>
        <w:t xml:space="preserve">Do lado oficial-cívico, o positivismo pesou decisivamente: a teologia civil comtiana inspirou Décio Villares e Eduardo de Sá a projetarem uma iconografia maternal (Humanidade/Virgem-Mãe), visível em estandartes, medalhões e monumentos dedicados a Benjamin Constant e Floriano Peixoto. A variante belicosa — a Atena armada — também circulou, sobretudo na imprensa e em alegorias de ocasião, articulando</w:t>
      </w:r>
      <w:r>
        <w:t xml:space="preserve"> </w:t>
      </w:r>
      <w:r>
        <w:rPr>
          <w:i/>
          <w:iCs/>
        </w:rPr>
        <w:t xml:space="preserve">virtus</w:t>
      </w:r>
      <w:r>
        <w:t xml:space="preserve"> </w:t>
      </w:r>
      <w:r>
        <w:t xml:space="preserve">e ordem (CARVALHO, 1990, p. 65-78). Dada a vedação da participação política feminina, faltou à República-mulher uma comunidade de imaginação capaz de sustentar o símbolo; daí o deslizamento frequente do ideal cívico para a sátira — "mulher pública", ama-de-leite da máquina política — na passagem de 1900 a 1910.</w:t>
      </w:r>
    </w:p>
    <w:bookmarkEnd w:id="22"/>
    <w:bookmarkStart w:id="23" w:name="X42595390eacf9938861cc8d8e4e76b4ade66ecf"/>
    <w:p>
      <w:pPr>
        <w:pStyle w:val="Heading3"/>
      </w:pPr>
      <w:r>
        <w:t xml:space="preserve">3.4 A cor da República: racialização e apagamento</w:t>
      </w:r>
    </w:p>
    <w:p>
      <w:pPr>
        <w:pStyle w:val="FirstParagraph"/>
      </w:pPr>
      <w:r>
        <w:t xml:space="preserve">O triângulo alegórico não pode ser adequadamente compreendido sem atenção à dimensão racial que o atravessa — dimensão que permaneceu impensada tanto pela historiografia positivista quanto pela análise iconográfica convencional. O paradoxo é estrutural: no vértice mariano, Nossa Senhora Aparecida é uma imagem</w:t>
      </w:r>
      <w:r>
        <w:t xml:space="preserve"> </w:t>
      </w:r>
      <w:r>
        <w:rPr>
          <w:i/>
          <w:iCs/>
        </w:rPr>
        <w:t xml:space="preserve">negra</w:t>
      </w:r>
      <w:r>
        <w:t xml:space="preserve"> </w:t>
      </w:r>
      <w:r>
        <w:t xml:space="preserve">— a pequena escultura de terracota escurecida pelas águas do rio Paraíba, encontrada por pescadores em 1717, cuja negritude é constitutiva da devoção popular e da identificação afetiva de milhões de brasileiros. No vértice republicano, porém, a República-mulher é invariavelmente</w:t>
      </w:r>
      <w:r>
        <w:t xml:space="preserve"> </w:t>
      </w:r>
      <w:r>
        <w:rPr>
          <w:i/>
          <w:iCs/>
        </w:rPr>
        <w:t xml:space="preserve">branca</w:t>
      </w:r>
      <w:r>
        <w:t xml:space="preserve">: perfil neoclássico europeu, pele clara, traços idealizados à maneira de Marianne. A passagem de Maria a República opera, assim, não apenas uma secularização, mas um</w:t>
      </w:r>
      <w:r>
        <w:t xml:space="preserve"> </w:t>
      </w:r>
      <w:r>
        <w:rPr>
          <w:i/>
          <w:iCs/>
        </w:rPr>
        <w:t xml:space="preserve">embranquecimento</w:t>
      </w:r>
      <w:r>
        <w:t xml:space="preserve">: a soberania afetiva mariana, ancorada em um corpo negro, é traduzida em soberania cívica por um corpo branco.</w:t>
      </w:r>
    </w:p>
    <w:p>
      <w:pPr>
        <w:pStyle w:val="BodyText"/>
      </w:pPr>
      <w:r>
        <w:t xml:space="preserve">Essa operação não é acidental. Ela ocorre no exato momento em que o Brasil pós-abolição (1888) busca construir uma identidade nacional</w:t>
      </w:r>
      <w:r>
        <w:t xml:space="preserve"> </w:t>
      </w:r>
      <w:r>
        <w:t xml:space="preserve">“moderna”</w:t>
      </w:r>
      <w:r>
        <w:t xml:space="preserve"> </w:t>
      </w:r>
      <w:r>
        <w:t xml:space="preserve">— e</w:t>
      </w:r>
      <w:r>
        <w:t xml:space="preserve"> </w:t>
      </w:r>
      <w:r>
        <w:t xml:space="preserve">“moderna”</w:t>
      </w:r>
      <w:r>
        <w:t xml:space="preserve">, no léxico das elites republicanas, significava europeia e branca. As políticas de imigração massiva, o projeto de</w:t>
      </w:r>
      <w:r>
        <w:t xml:space="preserve"> </w:t>
      </w:r>
      <w:r>
        <w:t xml:space="preserve">“branqueamento”</w:t>
      </w:r>
      <w:r>
        <w:t xml:space="preserve"> </w:t>
      </w:r>
      <w:r>
        <w:t xml:space="preserve">demográfico e o silenciamento da contribuição negra à construção nacional encontram na iconografia republicana sua tradução visual: a República-mulher não poderia ser negra porque a nação que ela representava se queria branca. Como observou Lélia Gonzalez, o</w:t>
      </w:r>
      <w:r>
        <w:t xml:space="preserve"> </w:t>
      </w:r>
      <w:r>
        <w:t xml:space="preserve">“racismo por denegação”</w:t>
      </w:r>
      <w:r>
        <w:t xml:space="preserve"> </w:t>
      </w:r>
      <w:r>
        <w:t xml:space="preserve">brasileiro opera precisamente por essa substituição: o corpo negro é celebrado na devoção privada (Aparecida no lar, no santuário, na carteira), mas é apagado na representação pública do Estado (GONZALEZ, 1984). A soberania afetiva mariana, capaz de atravessar raça e classe pela devoção, é capturada pela República e despojada de sua negritude ao ser traduzida em moeda, selo e fachada institucional.</w:t>
      </w:r>
    </w:p>
    <w:p>
      <w:pPr>
        <w:pStyle w:val="BodyText"/>
      </w:pPr>
      <w:r>
        <w:t xml:space="preserve">Essa fricção racial ilumina de modo novo a</w:t>
      </w:r>
      <w:r>
        <w:t xml:space="preserve"> </w:t>
      </w:r>
      <w:r>
        <w:t xml:space="preserve">“dissonância performativa”</w:t>
      </w:r>
      <w:r>
        <w:t xml:space="preserve"> </w:t>
      </w:r>
      <w:r>
        <w:t xml:space="preserve">identificada por Warner: não se trata apenas de a mulher representar a República enquanto é excluída da política — trata-se de uma mulher</w:t>
      </w:r>
      <w:r>
        <w:t xml:space="preserve"> </w:t>
      </w:r>
      <w:r>
        <w:rPr>
          <w:i/>
          <w:iCs/>
        </w:rPr>
        <w:t xml:space="preserve">branca</w:t>
      </w:r>
      <w:r>
        <w:t xml:space="preserve"> </w:t>
      </w:r>
      <w:r>
        <w:t xml:space="preserve">representar uma nação majoritariamente</w:t>
      </w:r>
      <w:r>
        <w:t xml:space="preserve"> </w:t>
      </w:r>
      <w:r>
        <w:rPr>
          <w:i/>
          <w:iCs/>
        </w:rPr>
        <w:t xml:space="preserve">negra e mestiça</w:t>
      </w:r>
      <w:r>
        <w:t xml:space="preserve">, num regime que simultaneamente apaga a contribuição negra à sua própria legitimidade simbólica. O triângulo Maria–Marianne–República é, portanto, também um triângulo racial: negro (Aparecida) — branco (Marianne) — branco (República), cuja operação de embranquecimento constitui uma camada adicional do contrato visual que sustenta a soberania afetiva republicana.</w:t>
      </w:r>
    </w:p>
    <w:p>
      <w:pPr>
        <w:pStyle w:val="BodyText"/>
      </w:pPr>
      <w:r>
        <w:t xml:space="preserve">O mecanismo que sustenta essa dupla operação — celebração privada e apagamento público do corpo negro — pode ser nomeado com precisão a partir da filosofia política de Charles Mills. Em</w:t>
      </w:r>
      <w:r>
        <w:t xml:space="preserve"> </w:t>
      </w:r>
      <w:r>
        <w:rPr>
          <w:i/>
          <w:iCs/>
        </w:rPr>
        <w:t xml:space="preserve">The Racial Contract</w:t>
      </w:r>
      <w:r>
        <w:t xml:space="preserve"> </w:t>
      </w:r>
      <w:r>
        <w:t xml:space="preserve">(1997), Mills sustenta que a modernidade política ocidental se constituiu por um</w:t>
      </w:r>
      <w:r>
        <w:t xml:space="preserve"> </w:t>
      </w:r>
      <w:r>
        <w:rPr>
          <w:i/>
          <w:iCs/>
        </w:rPr>
        <w:t xml:space="preserve">contrato racial</w:t>
      </w:r>
      <w:r>
        <w:t xml:space="preserve">: um acordo implícito, anterior e coextensivo ao contrato social, pelo qual os brancos se instituem como a comunidade política plena e os não-brancos como subpessoas — aptas a simbolizar, mas não a deliberar (MILLS, 1997). A República-mulher brasileira é a materialização visual desse contrato: ela performa, em moeda, selo e fachada, um</w:t>
      </w:r>
      <w:r>
        <w:t xml:space="preserve"> </w:t>
      </w:r>
      <w:r>
        <w:rPr>
          <w:i/>
          <w:iCs/>
        </w:rPr>
        <w:t xml:space="preserve">contrato racial visual</w:t>
      </w:r>
      <w:r>
        <w:t xml:space="preserve"> </w:t>
      </w:r>
      <w:r>
        <w:t xml:space="preserve">— o corpo que representa a nação só é legível como soberano se for branco. A negritude de Aparecida, confinada à devoção privada, e a branquitude da República, universalizada no espaço público, não são polos acidentais do triângulo alegórico: são as duas faces da mesma operação contratual que Mills descreve, na qual a exclusão racial não é um defeito do pacto, mas a sua condição de possibilidade.</w:t>
      </w:r>
    </w:p>
    <w:bookmarkEnd w:id="23"/>
    <w:bookmarkEnd w:id="24"/>
    <w:bookmarkStart w:id="25" w:name="Xc6777637621bf072ab8e934b55334d555c8d7c5"/>
    <w:p>
      <w:pPr>
        <w:pStyle w:val="Heading2"/>
      </w:pPr>
      <w:r>
        <w:t xml:space="preserve">4 MARIANNE E AS TRANSFERÊNCIAS FRANCO-CLÁSSICAS</w:t>
      </w:r>
    </w:p>
    <w:p>
      <w:pPr>
        <w:pStyle w:val="FirstParagraph"/>
      </w:pPr>
      <w:r>
        <w:t xml:space="preserve">A versão brasileira da alegoria republicana deslocou a veemência insurrecional da linhagem francesa e privilegiou uma majestade clássica, harmônica com o projeto de ordem. A produção acadêmica e oficial sedimentou atributos recorrentes: barrete frígio (liberdade), espada (força), balança (justiça), louros (glória), céu estrelado (cosmografia da bandeira). Pinturas como a</w:t>
      </w:r>
      <w:r>
        <w:t xml:space="preserve"> </w:t>
      </w:r>
      <w:r>
        <w:rPr>
          <w:i/>
          <w:iCs/>
        </w:rPr>
        <w:t xml:space="preserve">Alegoria da República</w:t>
      </w:r>
      <w:r>
        <w:t xml:space="preserve"> </w:t>
      </w:r>
      <w:r>
        <w:t xml:space="preserve">de Manoel Lopes Rodrigues (1896), composições de Décio Villares no círculo positivista e obras comemorativas do centenário (1922) exemplificam um repertório que hibridiza trono e barrete, manto e estrela, pedagogia e pompa.</w:t>
      </w:r>
    </w:p>
    <w:p>
      <w:pPr>
        <w:pStyle w:val="BodyText"/>
      </w:pPr>
      <w:r>
        <w:t xml:space="preserve">Essa gramática estabilizou um decoro específico: a República é uma mulher altiva, vestida à maneira clássica, com gestual de serenidade e comando. A tropicalização de motivos — ramos de café, céu do Cruzeiro do Sul, cromias nacionais — assinalou um processo de apropriação que integrou economia, astronomia cívica e erudição acadêmica em uma mesma superfície de autoridade. A comparação com o modelo delacroixiano é instrutiva: em</w:t>
      </w:r>
      <w:r>
        <w:t xml:space="preserve"> </w:t>
      </w:r>
      <w:r>
        <w:rPr>
          <w:i/>
          <w:iCs/>
        </w:rPr>
        <w:t xml:space="preserve">A Liberdade guiando o povo</w:t>
      </w:r>
      <w:r>
        <w:t xml:space="preserve"> </w:t>
      </w:r>
      <w:r>
        <w:t xml:space="preserve">(1830), Marianne avança entre a fumaça da batalha, com o torso desnudo e o fuzil empunhado — imagem de insurgência que o Brasil republicano sistematicamente recalibrou em direção ao decoro institucional (LIMA JÚNIOR, 2020, p. 45-62).</w:t>
      </w:r>
    </w:p>
    <w:bookmarkEnd w:id="25"/>
    <w:bookmarkStart w:id="26" w:name="método-e-corpus"/>
    <w:p>
      <w:pPr>
        <w:pStyle w:val="Heading2"/>
      </w:pPr>
      <w:r>
        <w:t xml:space="preserve">5 MÉTODO E CORPUS</w:t>
      </w:r>
    </w:p>
    <w:p>
      <w:pPr>
        <w:pStyle w:val="FirstParagraph"/>
      </w:pPr>
      <w:r>
        <w:t xml:space="preserve">Adota-se um percurso em três níveis, conforme o itinerário panofskiano (PANOFSKY, 1986): (i) descrição pré-iconográfica dos motivos, atributos, gestos e suportes; (ii) análise iconográfica dos temas (República, Justiça, Liberdade, Progresso) e de seus repertórios clássicos; e (iii) interpretação iconológica das relações entre forma visual, práticas institucionais e estrutura jurídico-política. Dialoga-se com a antropologia das imagens (BELTING, 2011), entendendo imagem, corpo e meio como tríade de produção de presença, e com a história iconológica do direito (MARTYN; HUYGEBAERT, 2018), que reconhece nas imagens jurídicas um campo autônomo de produção de normatividade e memória institucional.</w:t>
      </w:r>
    </w:p>
    <w:p>
      <w:pPr>
        <w:pStyle w:val="BodyText"/>
      </w:pPr>
      <w:r>
        <w:t xml:space="preserve">O corpus contempla: (a) atos normativos e regulamentos iconográficos — em especial o Decreto n. 4/1889; (b) numismática e filatelia republicanas (1889–1922); (c) peças editoriais do direito — capas, ex-libris, frontispícios, vinhetas forenses; (d) periódicos ilustrados e sátiras políticas; e (e) monumentos e estandartes cívicos. Os critérios de seleção privilegiaram: difusão social, estabilidade de motivos (recorrência de atributos), vinculação institucional, variedade de suportes e traços de circulação capazes de produzir hábitos perceptivos.</w:t>
      </w:r>
    </w:p>
    <w:p>
      <w:pPr>
        <w:pStyle w:val="BodyText"/>
      </w:pPr>
      <w:r>
        <w:t xml:space="preserve">Para cada peça, registram-se suporte, material e técnica; descrevem-se atributos (barrete frígio, louros, balança, espada, estrela, constelação), inscrições (legendas, lemas), composição e posicionamento espacial. Compara-se o exemplar a repertórios europeus e latino-americanos, cotejando migrações de modelos e adaptações locais. No plano iconológico, articulam-se usos cerimoniais e rotinas administrativas (timbres, sinetes, papel oficial) à eficácia normativa das imagens. A concentração em centros urbanos e acervos documentados — Rio de Janeiro e São Paulo — é reconhecida como limitação metodológica, apontando agenda futura para justiças estaduais e capitais regionais.</w:t>
      </w:r>
    </w:p>
    <w:bookmarkEnd w:id="26"/>
    <w:bookmarkStart w:id="31" w:name="estudos-de-caso-18891922"/>
    <w:p>
      <w:pPr>
        <w:pStyle w:val="Heading2"/>
      </w:pPr>
      <w:r>
        <w:t xml:space="preserve">6 ESTUDOS DE CASO (1889–1922)</w:t>
      </w:r>
    </w:p>
    <w:bookmarkStart w:id="27" w:name="Xc5d6d8cb14d44d6a09866257c2c67caeea61350"/>
    <w:p>
      <w:pPr>
        <w:pStyle w:val="Heading3"/>
      </w:pPr>
      <w:r>
        <w:t xml:space="preserve">6.1 Três imagens em paralelo: moeda, selo e estampa</w:t>
      </w:r>
    </w:p>
    <w:p>
      <w:pPr>
        <w:pStyle w:val="FirstParagraph"/>
      </w:pPr>
      <w:r>
        <w:t xml:space="preserve">Para consolidar o triângulo Maria–Marianne–República, apresentam-se três leituras segundo o itinerário de Panofsky, de modo a evidenciar atributos, economias afetivas e efeitos jurídico-pedagógicos.</w:t>
      </w:r>
    </w:p>
    <w:p>
      <w:pPr>
        <w:pStyle w:val="BodyText"/>
      </w:pPr>
      <w:r>
        <w:t xml:space="preserve">6.1.1 Moeda republicana de 500 réis (1889) — anverso com busto e iniciais F.C.</w:t>
      </w:r>
    </w:p>
    <w:p>
      <w:pPr>
        <w:pStyle w:val="BodyText"/>
      </w:pPr>
      <w:r>
        <w:t xml:space="preserve">Descrição pré-iconográfica: moeda de prata (500 réis). Anverso: busto feminino da República voltado à esquerda, cabelos presos, barrete frígio; no corte do pescoço, as iniciais F.C. (Francisco José Pinto Carneiro, gravador da Casa da Moeda do Brasil); dístico circular</w:t>
      </w:r>
      <w:r>
        <w:t xml:space="preserve"> </w:t>
      </w:r>
      <w:r>
        <w:rPr>
          <w:i/>
          <w:iCs/>
        </w:rPr>
        <w:t xml:space="preserve">REPUBLICA DOS ESTADOS UNIDOS DO BRAZIL</w:t>
      </w:r>
      <w:r>
        <w:t xml:space="preserve"> </w:t>
      </w:r>
      <w:r>
        <w:t xml:space="preserve">e data 1889. Reverso: constelação do Cruzeiro do Sul cercada por círculo de estrelas; legenda ORDEM E PROGRESSO; bordo serrilhado. Análise iconográfica: a moeda fixa um perfil clássico de cidadania (Marianne) e o acopla a signos nacionais — Cruzeiro do Sul, lema positivista. A síntese é econômica: cabeça + barrete + estrelas bastam para tornar a República reconhecível. Interpretação iconológica: como meio de circulação massiva e tátil, a moeda transforma a efígie em pedagogia diária do regime. A presença das iniciais F.C. ancora a imagem na engenharia estatal (Casa da Moeda), deslocando o retrato imperial por um rosto feminino normativo. O acoplamento simbólico condensa-se: a tipologia cívica francesa vernaculariza-se com o céu do Cruzeiro e o lema positivista e, no plano afetivo, estabiliza uma serenidade maternal distante do ímpeto insurrecional, mas eficaz para legitimar a nova legalidade.</w:t>
      </w:r>
    </w:p>
    <w:p>
      <w:pPr>
        <w:pStyle w:val="BodyText"/>
      </w:pPr>
      <w:r>
        <w:t xml:space="preserve">6.1.2 Selo postal ordinário com efígie da República (c. 1900)</w:t>
      </w:r>
    </w:p>
    <w:p>
      <w:pPr>
        <w:pStyle w:val="BodyText"/>
      </w:pPr>
      <w:r>
        <w:t xml:space="preserve">Descrição pré-iconográfica: vinheta retangular com efígie feminina ao centro, em perfil clássico com barrete, enquadrada por moldura de arabescos fitomórficos; legenda superior Brasil e inferior Correio; valor facial nos cantos; impressão em tipografia monocromática. Análise iconográfica: a filatelia retoma a personificação cívica e elimina narrativas complexas — a cabeça-símbolo basta. O barrete frígio, os louros discretos e a moldura ornamentada inscrevem a efígie num cânone clássico-administrativo, apto à reprodução massiva. Interpretação iconológica: cada correspondência torna-se micro-ritual de Estado — autentica relações privadas com a marca pública da República. A série postal escolariza o olhar, inscreve ordem e progresso no cotidiano e converte a soberania afetiva em rotina tátil (papel, goma, carimbo). Marianne fornece a gramática mínima da cidadania; a cultura material do correio transforma essa gramática em pedagogia seriada da legalidade.</w:t>
      </w:r>
    </w:p>
    <w:p>
      <w:pPr>
        <w:pStyle w:val="BodyText"/>
      </w:pPr>
      <w:r>
        <w:t xml:space="preserve">6.1.3 Estampa de Nossa Senhora Aparecida pós-coroação (após 1904)</w:t>
      </w:r>
    </w:p>
    <w:p>
      <w:pPr>
        <w:pStyle w:val="BodyText"/>
      </w:pPr>
      <w:r>
        <w:t xml:space="preserve">Descrição pré-iconográfica: imagem devocional impressa, formato pequeno, com Nossa Senhora Aparecida em posição frontal, mãos postas, manto azul estrelado em forma triangular, coroa canônica, lua crescente aos pés, raios de luz ao fundo; moldura ornamental; legenda Nossa Senhora Aparecida. Análise iconográfica: a estampa acumula sinais de realeza espiritual e pureza, com ecos da Imaculada (lua, estrelas). A coroação de 1904 atualiza o repertório, reforçando a titularidade de Mãe e Rainha. Interpretação iconológica: a circulação por lares, carteiras, altares domésticos e procissões confere à imagem capilaridade afetiva superior à dos emblemas cívicos. O objeto educa a percepção pelo contato devocional (toque, beijo, promessa), constituindo uma comunidade sensível em torno da mediação materna. A estampa sustenta um poder de intercessão cuja semântica maternal infiltra a recepção da República-mulher: a soberania cívica marianiza-se no tom e na promessa de amparo.</w:t>
      </w:r>
    </w:p>
    <w:p>
      <w:pPr>
        <w:pStyle w:val="BodyText"/>
      </w:pPr>
      <w:r>
        <w:t xml:space="preserve">Tomadas em paralelo, a moeda (rito cívico), o selo (rotina administrativa) e a estampa (devoção popular) configuram três canais de soberania afetiva. O Brasil republicano vernaculariza Marianne pela via do decoro clássico e amarra a adesão popular por uma tonalidade mariana de proteção. O triângulo Maria–Marianne–República opera, assim, como mecanismo de legitimação que alia presença material, economia do afeto e normatividade visual.</w:t>
      </w:r>
    </w:p>
    <w:bookmarkEnd w:id="27"/>
    <w:bookmarkStart w:id="28" w:name="leituras-pictóricas-comparadas"/>
    <w:p>
      <w:pPr>
        <w:pStyle w:val="Heading3"/>
      </w:pPr>
      <w:r>
        <w:t xml:space="preserve">6.2 Leituras pictóricas comparadas</w:t>
      </w:r>
    </w:p>
    <w:p>
      <w:pPr>
        <w:pStyle w:val="FirstParagraph"/>
      </w:pPr>
      <w:r>
        <w:t xml:space="preserve">6.2.1 Virgem Maria, Bartolomé E. Murillo,</w:t>
      </w:r>
      <w:r>
        <w:t xml:space="preserve"> </w:t>
      </w:r>
      <w:r>
        <w:rPr>
          <w:i/>
          <w:iCs/>
        </w:rPr>
        <w:t xml:space="preserve">Imaculada Conceição dos Veneráveis</w:t>
      </w:r>
      <w:r>
        <w:t xml:space="preserve"> </w:t>
      </w:r>
      <w:r>
        <w:t xml:space="preserve">(c. 1678)</w:t>
      </w:r>
      <w:r>
        <w:rPr>
          <w:vertAlign w:val="superscript"/>
        </w:rPr>
        <w:t xml:space="preserve">3</w:t>
      </w:r>
    </w:p>
    <w:p>
      <w:pPr>
        <w:pStyle w:val="BodyText"/>
      </w:pPr>
      <w:r>
        <w:t xml:space="preserve">Descrição pré-iconográfica: figura feminina juvenil, de pé, flutuante, túnica branca e manto azul, mãos postas; lua crescente aos pés; querubins sustentam a nuvem; auréola difusa com estrelas; fundo vaporoso dourado-azulado. Análise iconográfica: a iconografia da Imaculada Conceição consolida-se aqui em fórmula canônica — Maria como Mulher do Apocalipse (Ap 12,1), com a lua sob os pés e coroa estelar, depurada pelo decoro barroco espanhol. Interpretação iconológica: a pintura oferece o modelo matricial de soberania maternal — um corpo feminino elevado, mediador entre céu e terra, dotado de capacidade de intercessão. Na recepção luso-brasileira, esse arquétipo sedimenta a gramática afetiva que, na Primeira República, se transfere parcialmente à República-mulher, ainda que sob regime laico de visibilidade. A economia do amparo — pureza, proteção, promessa — torna-se referência tácita para a autoridade cívica.</w:t>
      </w:r>
    </w:p>
    <w:p>
      <w:pPr>
        <w:pStyle w:val="BodyText"/>
      </w:pPr>
      <w:r>
        <w:t xml:space="preserve">6.2.2 Marianne, Eugène Delacroix,</w:t>
      </w:r>
      <w:r>
        <w:t xml:space="preserve"> </w:t>
      </w:r>
      <w:r>
        <w:rPr>
          <w:i/>
          <w:iCs/>
        </w:rPr>
        <w:t xml:space="preserve">A Liberdade guiando o povo</w:t>
      </w:r>
      <w:r>
        <w:t xml:space="preserve"> </w:t>
      </w:r>
      <w:r>
        <w:t xml:space="preserve">(1830)</w:t>
      </w:r>
      <w:r>
        <w:rPr>
          <w:vertAlign w:val="superscript"/>
        </w:rPr>
        <w:t xml:space="preserve">4</w:t>
      </w:r>
    </w:p>
    <w:p>
      <w:pPr>
        <w:pStyle w:val="BodyText"/>
      </w:pPr>
      <w:r>
        <w:t xml:space="preserve">Descrição pré-iconográfica: mulher semi-altiva em passo avançado, torso levemente desnudo, barrete frígio, tricolor erguida na mão direita, fuzil na esquerda; multidão insurgente; fumaça de batalha; Paris ao fundo. Análise iconográfica: a figura condensa a Liberdade/Marianne em registro heróico —</w:t>
      </w:r>
      <w:r>
        <w:t xml:space="preserve"> </w:t>
      </w:r>
      <w:r>
        <w:rPr>
          <w:i/>
          <w:iCs/>
        </w:rPr>
        <w:t xml:space="preserve">pathosformel</w:t>
      </w:r>
      <w:r>
        <w:t xml:space="preserve"> </w:t>
      </w:r>
      <w:r>
        <w:t xml:space="preserve">de avanço, olhar oblíquo, atributos cívicos (barrete, bandeira, armas). O barrete frígio torna-se signo mínimo da cidadania republicana. Interpretação iconológica: a tela cristaliza um ethos insurrecional que, no Brasil, cede lugar a um decoro mais estável. A transferência francesa fornece a gramática de atributos; a vernacularização brasileira, ao longo de 1889–1922, atenua o ímpeto revolucionário, preferindo uma majestade clássica apta à pedagogia estatal e ao convívio com repertórios marianos.</w:t>
      </w:r>
    </w:p>
    <w:p>
      <w:pPr>
        <w:pStyle w:val="BodyText"/>
      </w:pPr>
      <w:r>
        <w:rPr>
          <w:b/>
          <w:bCs/>
        </w:rPr>
        <w:t xml:space="preserve">República brasileira — três variações pictóricas</w:t>
      </w:r>
    </w:p>
    <w:p>
      <w:pPr>
        <w:pStyle w:val="BodyText"/>
      </w:pPr>
      <w:r>
        <w:t xml:space="preserve">Manoel Lopes Rodrigues,</w:t>
      </w:r>
      <w:r>
        <w:t xml:space="preserve"> </w:t>
      </w:r>
      <w:r>
        <w:rPr>
          <w:i/>
          <w:iCs/>
        </w:rPr>
        <w:t xml:space="preserve">Alegoria da República</w:t>
      </w:r>
      <w:r>
        <w:t xml:space="preserve"> </w:t>
      </w:r>
      <w:r>
        <w:t xml:space="preserve">(1896): figura feminina sentada em trono, barrete frígio, coroa de louros e ramos de café, espada apoiada, disposição axial, fundo arquitetônico. O trono — atributo régio — é apropriado pela República, que o ressemantiza por meio do barrete (liberdade) e dos louros (glória). O café introduz riqueza nacional e âncora econômica. A tela encena a ocupação do lugar imperial por um rosto feminino de Estado, conservando o aparato de prestígio monárquico e convertendo-o em pedagogia republicana.</w:t>
      </w:r>
    </w:p>
    <w:p>
      <w:pPr>
        <w:pStyle w:val="BodyText"/>
      </w:pPr>
      <w:r>
        <w:t xml:space="preserve">Décio Villares,</w:t>
      </w:r>
      <w:r>
        <w:t xml:space="preserve"> </w:t>
      </w:r>
      <w:r>
        <w:rPr>
          <w:i/>
          <w:iCs/>
        </w:rPr>
        <w:t xml:space="preserve">A República</w:t>
      </w:r>
      <w:r>
        <w:t xml:space="preserve"> </w:t>
      </w:r>
      <w:r>
        <w:t xml:space="preserve">(c. 1919): figura feminina austera, de pé, drapeada à maneira clássica, com barrete discreto, composição sóbria, horizonte astral aludindo ao céu estrelado da bandeira. Villares — ligado ao positivismo comtiano — depura a figura, reduzindo a emotividade e enfatizando racionalidade e ordem. O resultado é uma República didática, serena e normativa: um manual visual da legalidade que desloca a devoção para uma teologia civil da Humanidade.</w:t>
      </w:r>
    </w:p>
    <w:p>
      <w:pPr>
        <w:pStyle w:val="BodyText"/>
      </w:pPr>
      <w:r>
        <w:t xml:space="preserve">Carlos Chambelland,</w:t>
      </w:r>
      <w:r>
        <w:t xml:space="preserve"> </w:t>
      </w:r>
      <w:r>
        <w:rPr>
          <w:i/>
          <w:iCs/>
        </w:rPr>
        <w:t xml:space="preserve">Alegoria da República</w:t>
      </w:r>
      <w:r>
        <w:t xml:space="preserve"> </w:t>
      </w:r>
      <w:r>
        <w:t xml:space="preserve">(1922): figura feminina em ascensão, vestes esvoaçantes, anjos e figura alada, gesto de aspiração, luz ascendente. No centenário da Independência, a alegoria ganha tom apoteótico — menos trono, mais impulso. Em chave cívica, retoma recursos da apoteose mariana (elevação, coro de anjos), revelando como a gramática do sagrado persiste sob tradução laica.</w:t>
      </w:r>
    </w:p>
    <w:p>
      <w:pPr>
        <w:pStyle w:val="BodyText"/>
      </w:pPr>
      <w:r>
        <w:t xml:space="preserve">Entre 1896 e 1922, a República pictórica oscilou da substituição solene (trono e espada) pela didática racional positivista e culminou na apoteose progressiva do centenário. Em todas as variações, o barrete permaneceu signo minimalista da cidadania, enquanto elementos marianos — elevação, serenidade maternal, coro angélico — informaram a recepção afetiva.</w:t>
      </w:r>
    </w:p>
    <w:p>
      <w:pPr>
        <w:pStyle w:val="BodyText"/>
      </w:pPr>
      <w:r>
        <w:t xml:space="preserve">A análise comparada dessas cinco imagens permite isolar três</w:t>
      </w:r>
      <w:r>
        <w:t xml:space="preserve"> </w:t>
      </w:r>
      <w:r>
        <w:rPr>
          <w:i/>
          <w:iCs/>
        </w:rPr>
        <w:t xml:space="preserve">Pathosformeln</w:t>
      </w:r>
      <w:r>
        <w:t xml:space="preserve"> </w:t>
      </w:r>
      <w:r>
        <w:t xml:space="preserve">— fórmulas de</w:t>
      </w:r>
      <w:r>
        <w:t xml:space="preserve"> </w:t>
      </w:r>
      <w:r>
        <w:rPr>
          <w:i/>
          <w:iCs/>
        </w:rPr>
        <w:t xml:space="preserve">pathos</w:t>
      </w:r>
      <w:r>
        <w:t xml:space="preserve"> </w:t>
      </w:r>
      <w:r>
        <w:t xml:space="preserve">no sentido warburguiano, gestos carregados de energia afetiva que migram entre contextos — cuja sobrevivência (</w:t>
      </w:r>
      <w:r>
        <w:rPr>
          <w:i/>
          <w:iCs/>
        </w:rPr>
        <w:t xml:space="preserve">Nachleben</w:t>
      </w:r>
      <w:r>
        <w:t xml:space="preserve">) estrutura a transferência entre o repertório mariano e o republicano:</w:t>
      </w:r>
    </w:p>
    <w:p>
      <w:pPr>
        <w:numPr>
          <w:ilvl w:val="0"/>
          <w:numId w:val="1001"/>
        </w:numPr>
      </w:pPr>
      <w:r>
        <w:rPr>
          <w:b/>
          <w:bCs/>
        </w:rPr>
        <w:t xml:space="preserve">O manto protetor</w:t>
      </w:r>
      <w:r>
        <w:t xml:space="preserve"> </w:t>
      </w:r>
      <w:r>
        <w:t xml:space="preserve">(</w:t>
      </w:r>
      <w:r>
        <w:rPr>
          <w:i/>
          <w:iCs/>
        </w:rPr>
        <w:t xml:space="preserve">Pathosformel</w:t>
      </w:r>
      <w:r>
        <w:t xml:space="preserve"> </w:t>
      </w:r>
      <w:r>
        <w:t xml:space="preserve">do amparo). Na</w:t>
      </w:r>
      <w:r>
        <w:t xml:space="preserve"> </w:t>
      </w:r>
      <w:r>
        <w:rPr>
          <w:i/>
          <w:iCs/>
        </w:rPr>
        <w:t xml:space="preserve">Imaculada</w:t>
      </w:r>
      <w:r>
        <w:t xml:space="preserve"> </w:t>
      </w:r>
      <w:r>
        <w:t xml:space="preserve">de Murillo, o manto azul envolve o corpo de Maria como signo de proteção celeste. Na República de Lopes Rodrigues (1896), o manto reaparece como drapeado de toga — secularizado, mas preservando a função de envolvimento e amparo. Na</w:t>
      </w:r>
      <w:r>
        <w:t xml:space="preserve"> </w:t>
      </w:r>
      <w:r>
        <w:rPr>
          <w:i/>
          <w:iCs/>
        </w:rPr>
        <w:t xml:space="preserve">Pátria</w:t>
      </w:r>
      <w:r>
        <w:t xml:space="preserve"> </w:t>
      </w:r>
      <w:r>
        <w:t xml:space="preserve">de Pedro Bruno (1919), o manto é a própria bandeira, costurada por mãos femininas: o gesto protetor migra da intercessão celestial para a produção doméstica do símbolo nacional. Em todos os casos, o manto marca a mulher como corpo-que-abriga, e não como corpo-que-age.</w:t>
      </w:r>
    </w:p>
    <w:p>
      <w:pPr>
        <w:numPr>
          <w:ilvl w:val="0"/>
          <w:numId w:val="1001"/>
        </w:numPr>
      </w:pPr>
      <w:r>
        <w:rPr>
          <w:b/>
          <w:bCs/>
        </w:rPr>
        <w:t xml:space="preserve">A frontalidade hierática</w:t>
      </w:r>
      <w:r>
        <w:t xml:space="preserve"> </w:t>
      </w:r>
      <w:r>
        <w:t xml:space="preserve">(</w:t>
      </w:r>
      <w:r>
        <w:rPr>
          <w:i/>
          <w:iCs/>
        </w:rPr>
        <w:t xml:space="preserve">Pathosformel</w:t>
      </w:r>
      <w:r>
        <w:t xml:space="preserve"> </w:t>
      </w:r>
      <w:r>
        <w:t xml:space="preserve">da autoridade). A posição frontal, fixa, com olhar dirigido ao espectador, aparece na Imaculada (mãos postas, corpo vertical), na República de Villares (1919, pé, composição axial) e nas efígies numismáticas (perfil clássico, rigidez formal). Essa</w:t>
      </w:r>
      <w:r>
        <w:t xml:space="preserve"> </w:t>
      </w:r>
      <w:r>
        <w:rPr>
          <w:i/>
          <w:iCs/>
        </w:rPr>
        <w:t xml:space="preserve">Pathosformel</w:t>
      </w:r>
      <w:r>
        <w:t xml:space="preserve"> </w:t>
      </w:r>
      <w:r>
        <w:t xml:space="preserve">deriva da tradição bizantina do ícone — o rosto que olha sem ser interpelado — e sua sobrevivência nas moedas e selos republicanos transforma a pedagogia devocional em pedagogia cívica: o rosto da República, como o rosto de Maria, não dialoga — emana autoridade.</w:t>
      </w:r>
    </w:p>
    <w:p>
      <w:pPr>
        <w:numPr>
          <w:ilvl w:val="0"/>
          <w:numId w:val="1001"/>
        </w:numPr>
      </w:pPr>
      <w:r>
        <w:rPr>
          <w:b/>
          <w:bCs/>
        </w:rPr>
        <w:t xml:space="preserve">A ascensão/elevação</w:t>
      </w:r>
      <w:r>
        <w:t xml:space="preserve"> </w:t>
      </w:r>
      <w:r>
        <w:t xml:space="preserve">(</w:t>
      </w:r>
      <w:r>
        <w:rPr>
          <w:i/>
          <w:iCs/>
        </w:rPr>
        <w:t xml:space="preserve">Pathosformel</w:t>
      </w:r>
      <w:r>
        <w:t xml:space="preserve"> </w:t>
      </w:r>
      <w:r>
        <w:t xml:space="preserve">da apoteose). Em Murillo, a Virgem flutua sobre querubins. Em Chambelland (1922), a República ascende entre anjos e luz. A</w:t>
      </w:r>
      <w:r>
        <w:t xml:space="preserve"> </w:t>
      </w:r>
      <w:r>
        <w:rPr>
          <w:i/>
          <w:iCs/>
        </w:rPr>
        <w:t xml:space="preserve">Pathosformel</w:t>
      </w:r>
      <w:r>
        <w:t xml:space="preserve"> </w:t>
      </w:r>
      <w:r>
        <w:t xml:space="preserve">apoteótica é a mais explicitamente religiosa das três e sua presença no centenário republicano confirma a tese do acoplamento simbólico: mesmo sob regime laico, a gramática visual do sagrado persiste como estrutura de legitimação afetiva. O corpo feminino é elevado acima do plano terrestre — e, nesse gesto, despojado de historicidade, materialidade e agência.</w:t>
      </w:r>
    </w:p>
    <w:bookmarkEnd w:id="28"/>
    <w:bookmarkStart w:id="29" w:name="Xc4d68dd65e416114a7e2870008433f349f2b95e"/>
    <w:p>
      <w:pPr>
        <w:pStyle w:val="Heading3"/>
      </w:pPr>
      <w:r>
        <w:t xml:space="preserve">6.3 Numismática e filatelia: cronologia alegórica (1889–1922)</w:t>
      </w:r>
    </w:p>
    <w:p>
      <w:pPr>
        <w:pStyle w:val="FirstParagraph"/>
      </w:pPr>
      <w:r>
        <w:t xml:space="preserve">A queda da monarquia abriu a fase de engenharia simbólica intensiva. A efígie da República substituiu o retrato imperial nas moedas, convertendo transações ordinárias em catecismo visual do regime; a filatelia acompanhou o movimento com séries regulares e comemorativas que alternaram a personificação feminina e emblemas nacionais. Em ambos os casos, a reprodução massiva de signos de soberania generalizou um vocabulário imagético acessível e reiterativo.</w:t>
      </w:r>
    </w:p>
    <w:p>
      <w:pPr>
        <w:pStyle w:val="BodyText"/>
      </w:pPr>
      <w:r>
        <w:t xml:space="preserve">Em 1889, a moeda de 500 réis inaugurou o regime alegórico. Em 1894–1897, a série "Cabeça da Liberdade" (selos) difundiu o perfil feminino com barrete frígio em diferentes cores e perfurações, tornando a República reconhecível como rosto e atributo — não como figura de soberano. A moeda de 200 réis de 1901 ("Liberdade") simplificou industrialmente a alegoria em suporte resistente e popular. A série comemorativa do IV Centenário do Descobrimento (1900) reescreveu a origem colonial sob semântica republicana, articulando fundação (1500) e refundação (1889) em uma mesma superfície postal. A moeda de 500 réis de 1913 incorporou coroa de vinte e uma estrelas na orla, visualizando a engenharia constitucional federativa. O ciclo encerrou-se em 1922, com moedas e selos do Centenário da Independência que conciliaram simbolicamente os dois regimes, produzindo um pacto visual de continuidade estatal.</w:t>
      </w:r>
    </w:p>
    <w:bookmarkEnd w:id="29"/>
    <w:bookmarkStart w:id="30" w:name="X7657f739b90541f0570554d06e35b59a936cf44"/>
    <w:p>
      <w:pPr>
        <w:pStyle w:val="Heading3"/>
      </w:pPr>
      <w:r>
        <w:t xml:space="preserve">6.4 A Pátria (Pedro Bruno, 1919): o feminino costurando a nação</w:t>
      </w:r>
    </w:p>
    <w:p>
      <w:pPr>
        <w:pStyle w:val="FirstParagraph"/>
      </w:pPr>
      <w:r>
        <w:rPr>
          <w:i/>
          <w:iCs/>
        </w:rPr>
        <w:t xml:space="preserve">A Pátria</w:t>
      </w:r>
      <w:r>
        <w:t xml:space="preserve"> </w:t>
      </w:r>
      <w:r>
        <w:t xml:space="preserve">encena a confecção da bandeira em ambiente doméstico, ocupado por mulheres e crianças. O nascimento do símbolo máximo da República dá-se no lar, sob o olhar de uma imagem mariana discretamente posicionada ao fundo. O quadro performa uma conciliação: a Pátria secular coexiste com a devoção tradicional; a República surge como obra de mãos femininas, mas circunscritas ao espaço privado. A cena projeta um ideal racializado de nação e materializa com precisão a dissonância performativa que atravessa todo o período: a mulher representa a República nos signos, mas é silenciada na participação.</w:t>
      </w:r>
    </w:p>
    <w:p>
      <w:pPr>
        <w:pStyle w:val="BodyText"/>
      </w:pPr>
      <w:r>
        <w:t xml:space="preserve">A leitura iconológica evidencia a pedagogia do decoro: o feminino costura a bandeira, a religião provê a moldura moral, a República inaugura seu emblema sem convocar conflito. Em termos jurídicos, a imagem naturaliza uma cidadania diferenciada, em que a presença feminina se limita à produção simbólica e à domesticidade. Moedas, selos e frontispícios ampliam essa pedagogia no espaço urbano e institucional, escolarizando o olhar para uma ordem em que a soberania afetiva repousa sobre a obliteração das mulheres reais (WARNER, 1985, p. 38-67).</w:t>
      </w:r>
    </w:p>
    <w:bookmarkEnd w:id="30"/>
    <w:bookmarkEnd w:id="31"/>
    <w:bookmarkStart w:id="32" w:name="X3846d5a4efe41cd5b72c24bd3bac653d1f1ce9f"/>
    <w:p>
      <w:pPr>
        <w:pStyle w:val="Heading2"/>
      </w:pPr>
      <w:r>
        <w:t xml:space="preserve">7 CONTRAPEDAGOGIA SATÍRICA E LIMITES DA ADESÃO</w:t>
      </w:r>
    </w:p>
    <w:p>
      <w:pPr>
        <w:pStyle w:val="FirstParagraph"/>
      </w:pPr>
      <w:r>
        <w:t xml:space="preserve">A mesma figura que legitimava a ordem converteu-se em alvo de sátira. Na</w:t>
      </w:r>
      <w:r>
        <w:t xml:space="preserve"> </w:t>
      </w:r>
      <w:r>
        <w:rPr>
          <w:i/>
          <w:iCs/>
        </w:rPr>
        <w:t xml:space="preserve">Revista Illustrada</w:t>
      </w:r>
      <w:r>
        <w:t xml:space="preserve"> </w:t>
      </w:r>
      <w:r>
        <w:t xml:space="preserve">(Angelo Agostini, 1888-1889) e em</w:t>
      </w:r>
      <w:r>
        <w:t xml:space="preserve"> </w:t>
      </w:r>
      <w:r>
        <w:rPr>
          <w:i/>
          <w:iCs/>
        </w:rPr>
        <w:t xml:space="preserve">O Mequetrefe</w:t>
      </w:r>
      <w:r>
        <w:t xml:space="preserve"> </w:t>
      </w:r>
      <w:r>
        <w:t xml:space="preserve">(17/11/1889), a República emergiu ora com ecos do heroísmo revolucionário francês, ora com contornos de ímpeto insurrecional. Já em</w:t>
      </w:r>
      <w:r>
        <w:t xml:space="preserve"> </w:t>
      </w:r>
      <w:r>
        <w:rPr>
          <w:i/>
          <w:iCs/>
        </w:rPr>
        <w:t xml:space="preserve">O Malho</w:t>
      </w:r>
      <w:r>
        <w:t xml:space="preserve"> </w:t>
      </w:r>
      <w:r>
        <w:t xml:space="preserve">(15/11/1902; 14/11/1903) e em</w:t>
      </w:r>
      <w:r>
        <w:t xml:space="preserve"> </w:t>
      </w:r>
      <w:r>
        <w:rPr>
          <w:i/>
          <w:iCs/>
        </w:rPr>
        <w:t xml:space="preserve">O Gato</w:t>
      </w:r>
      <w:r>
        <w:t xml:space="preserve"> </w:t>
      </w:r>
      <w:r>
        <w:t xml:space="preserve">(22/3/1913), a alegoria degenera: da jovem ideal à mulher madura e debochada; da mãe nutriz à "vaca leiteira" do Estado. Charges e caricaturas exploraram tropos como a "mulher pública" e a ama de leite da máquina política, expondo vícios oligárquicos e promessas não cumpridas.</w:t>
      </w:r>
    </w:p>
    <w:p>
      <w:pPr>
        <w:pStyle w:val="BodyText"/>
      </w:pPr>
      <w:r>
        <w:t xml:space="preserve">A ausência de uma comunidade feminina de imaginação política — dada a exclusão formal das mulheres do sufrágio e dos cargos públicos — fragilizou a aderência afetiva da alegoria cívica e facilitou seu deslizamento ao registro corrosivo. A imagem oficial e sua paródia compuseram um díptico que revelou o jogo de espelhos entre pedagogia de Estado e crítica social: quanto mais a República-mulher foi mobilizada para legitimar um regime excludente, tanto mais a sátira pôde subverter o símbolo, devolvendo-lhe o vazio político que o alimentava.</w:t>
      </w:r>
    </w:p>
    <w:p>
      <w:pPr>
        <w:pStyle w:val="BodyText"/>
      </w:pPr>
      <w:r>
        <w:t xml:space="preserve">A ironia machadiana sobre a tabuleta nova antecipa com precisão esse mecanismo: a substituição de signos não garante adesão — ela apenas abre uma disputa sobre quem controla o sentido. A contrapedagogia satírica é, nesse sentido, o avesso necessário da pedagogia de Estado; e ambas integram o mesmo campo de soberania afetiva, definindo seus limites e suas fraturas.</w:t>
      </w:r>
    </w:p>
    <w:bookmarkEnd w:id="32"/>
    <w:bookmarkStart w:id="33" w:name="considerações-finais"/>
    <w:p>
      <w:pPr>
        <w:pStyle w:val="Heading2"/>
      </w:pPr>
      <w:r>
        <w:t xml:space="preserve">8 CONSIDERAÇÕES FINAIS</w:t>
      </w:r>
    </w:p>
    <w:p>
      <w:pPr>
        <w:pStyle w:val="FirstParagraph"/>
      </w:pPr>
      <w:r>
        <w:t xml:space="preserve">A análise demonstra que a iconografia republicana brasileira emergiu de uma operação de substituição simbólica que procurou deslocar o Imperador e competir com a centralidade mariana. O resultado foi um imaginário híbrido, de forte vocação conciliadora, em que a República assumiu traços de serenidade maternal e decoro clássico, projetando progresso sem romper o vínculo emocional com a devoção. O triângulo Maria–Marianne–República não foi uma solução estável: foi um campo de tensão permanente, cujas fraturas se revelaram na sátira política, nas disputas confessionais e, acima de tudo, na dissonância entre a monumentalização alegórica do feminino e a exclusão concreta das mulheres do campo político e jurídico.</w:t>
      </w:r>
    </w:p>
    <w:p>
      <w:pPr>
        <w:pStyle w:val="BodyText"/>
      </w:pPr>
      <w:r>
        <w:t xml:space="preserve">Do ponto de vista da soberania afetiva, o regime republicano não venceu a disputa com o catolicismo mariano; operou, antes, uma síntese tensa, absorvendo fragmentos do léxico mariano e reinscrevendo-os em formato laico. Essa síntese explica tanto a durabilidade da República-mulher como suporte normativo quanto sua vulnerabilidade à subversão satírica: uma figura que precisava de devoção mas não podia admiti-la explicitamente estava estruturalmente exposta ao ridículo.</w:t>
      </w:r>
    </w:p>
    <w:p>
      <w:pPr>
        <w:pStyle w:val="BodyText"/>
      </w:pPr>
      <w:r>
        <w:t xml:space="preserve">Do ponto de vista jurídico e político, a feminilização alegórica funcionou como tecnologia de legitimação de uma cidadania excludente. O corpo feminino apareceu monumentalizado como pátria, justiça ou liberdade, enquanto as mulheres reais permaneceram afastadas da esfera decisória. Integrada à materialidade de moedas, selos e arquitetura cívica, a imagem adquiriu eficácia normativa, produzindo presença e performando autoridade. O poder simbólico converteu hierarquias em evidências culturais e consolidou um habitus que naturalizou a desigualdade (WARNER, 1985).</w:t>
      </w:r>
    </w:p>
    <w:p>
      <w:pPr>
        <w:pStyle w:val="BodyText"/>
      </w:pPr>
      <w:r>
        <w:t xml:space="preserve">A Primeira República legou, assim, um repertório iconográfico que permanece operante. Sob novas formas, a disputa entre devoção e civilidade, maternidade e soberania, permanece ativa na cultura visual e no vocabulário político do Brasil. A República-mulher, como rosto do poder, segue apta a revelar o que esse poder deseja mostrar — e o que prefere silenciar.</w:t>
      </w:r>
    </w:p>
    <w:bookmarkEnd w:id="33"/>
    <w:bookmarkStart w:id="34" w:name="referências"/>
    <w:p>
      <w:pPr>
        <w:pStyle w:val="Heading2"/>
      </w:pPr>
      <w:r>
        <w:t xml:space="preserve">Referências</w:t>
      </w:r>
    </w:p>
    <w:p>
      <w:pPr>
        <w:pStyle w:val="FirstParagraph"/>
      </w:pPr>
      <w:r>
        <w:t xml:space="preserve">AHMED, Sara.</w:t>
      </w:r>
      <w:r>
        <w:t xml:space="preserve"> </w:t>
      </w:r>
      <w:r>
        <w:rPr>
          <w:i/>
          <w:iCs/>
        </w:rPr>
        <w:t xml:space="preserve">The Cultural Politics of Emotion</w:t>
      </w:r>
      <w:r>
        <w:t xml:space="preserve">. Edinburgh: Edinburgh University Press, 2004.</w:t>
      </w:r>
    </w:p>
    <w:p>
      <w:pPr>
        <w:pStyle w:val="BodyText"/>
      </w:pPr>
      <w:r>
        <w:t xml:space="preserve">ASSIS, Machado de.</w:t>
      </w:r>
      <w:r>
        <w:t xml:space="preserve"> </w:t>
      </w:r>
      <w:r>
        <w:rPr>
          <w:i/>
          <w:iCs/>
        </w:rPr>
        <w:t xml:space="preserve">Esaú e Jacó</w:t>
      </w:r>
      <w:r>
        <w:t xml:space="preserve">. São Paulo: Martin Claret, 2012.</w:t>
      </w:r>
    </w:p>
    <w:p>
      <w:pPr>
        <w:pStyle w:val="BodyText"/>
      </w:pPr>
      <w:r>
        <w:t xml:space="preserve">AZZI, Riolando.</w:t>
      </w:r>
      <w:r>
        <w:t xml:space="preserve"> </w:t>
      </w:r>
      <w:r>
        <w:rPr>
          <w:i/>
          <w:iCs/>
        </w:rPr>
        <w:t xml:space="preserve">Aparecida: história da devoção</w:t>
      </w:r>
      <w:r>
        <w:t xml:space="preserve">. Aparecida: Santuário, 1994.</w:t>
      </w:r>
    </w:p>
    <w:p>
      <w:pPr>
        <w:pStyle w:val="BodyText"/>
      </w:pPr>
      <w:r>
        <w:t xml:space="preserve">BUTLER, Judith.</w:t>
      </w:r>
      <w:r>
        <w:t xml:space="preserve"> </w:t>
      </w:r>
      <w:r>
        <w:rPr>
          <w:i/>
          <w:iCs/>
        </w:rPr>
        <w:t xml:space="preserve">Gender Trouble: Feminism and the Subversion of Identity</w:t>
      </w:r>
      <w:r>
        <w:t xml:space="preserve">. New York: Routledge, 1990.</w:t>
      </w:r>
    </w:p>
    <w:p>
      <w:pPr>
        <w:pStyle w:val="BodyText"/>
      </w:pPr>
      <w:r>
        <w:t xml:space="preserve">BANCO CENTRAL DO BRASIL.</w:t>
      </w:r>
      <w:r>
        <w:t xml:space="preserve"> </w:t>
      </w:r>
      <w:r>
        <w:rPr>
          <w:i/>
          <w:iCs/>
        </w:rPr>
        <w:t xml:space="preserve">Dinheiro no Brasil</w:t>
      </w:r>
      <w:r>
        <w:t xml:space="preserve">. Brasília: BCB, [s.d.]. Disponível em: https://www.bcb.gov.br. Acesso em: 10 mar. 2026.</w:t>
      </w:r>
    </w:p>
    <w:p>
      <w:pPr>
        <w:pStyle w:val="BodyText"/>
      </w:pPr>
      <w:r>
        <w:t xml:space="preserve">BELTING, Hans.</w:t>
      </w:r>
      <w:r>
        <w:t xml:space="preserve"> </w:t>
      </w:r>
      <w:r>
        <w:rPr>
          <w:i/>
          <w:iCs/>
        </w:rPr>
        <w:t xml:space="preserve">An Anthropology of Images: Picture, Medium, Body</w:t>
      </w:r>
      <w:r>
        <w:t xml:space="preserve">. Translated by Thomas Dunlap. Princeton: Princeton University Press, 2011.</w:t>
      </w:r>
    </w:p>
    <w:p>
      <w:pPr>
        <w:pStyle w:val="BodyText"/>
      </w:pPr>
      <w:r>
        <w:t xml:space="preserve">BRASIL. Decreto n. 4, de 19 de novembro de 1889. Estabelece os distintivos da bandeira e das armas nacionais, e dos selos e sinetes da República.</w:t>
      </w:r>
      <w:r>
        <w:t xml:space="preserve"> </w:t>
      </w:r>
      <w:r>
        <w:rPr>
          <w:i/>
          <w:iCs/>
        </w:rPr>
        <w:t xml:space="preserve">Coleção das Leis do Brasil</w:t>
      </w:r>
      <w:r>
        <w:t xml:space="preserve">, Rio de Janeiro, 1889.</w:t>
      </w:r>
    </w:p>
    <w:p>
      <w:pPr>
        <w:pStyle w:val="BodyText"/>
      </w:pPr>
      <w:r>
        <w:t xml:space="preserve">CARVALHO, José Murilo de.</w:t>
      </w:r>
      <w:r>
        <w:t xml:space="preserve"> </w:t>
      </w:r>
      <w:r>
        <w:rPr>
          <w:i/>
          <w:iCs/>
        </w:rPr>
        <w:t xml:space="preserve">A formação das almas: o imaginário da República no Brasil</w:t>
      </w:r>
      <w:r>
        <w:t xml:space="preserve">. São Paulo: Companhia das Letras, 1990.</w:t>
      </w:r>
    </w:p>
    <w:p>
      <w:pPr>
        <w:pStyle w:val="BodyText"/>
      </w:pPr>
      <w:r>
        <w:t xml:space="preserve">COSTA, Pietro.</w:t>
      </w:r>
      <w:r>
        <w:t xml:space="preserve"> </w:t>
      </w:r>
      <w:r>
        <w:rPr>
          <w:i/>
          <w:iCs/>
        </w:rPr>
        <w:t xml:space="preserve">Lo Stato immaginario: metafore e paradigmi nella cultura giuridica italiana fra Ottocento e Novecento</w:t>
      </w:r>
      <w:r>
        <w:t xml:space="preserve">. Milano: Giuffrè, 1986.</w:t>
      </w:r>
    </w:p>
    <w:p>
      <w:pPr>
        <w:pStyle w:val="BodyText"/>
      </w:pPr>
      <w:r>
        <w:t xml:space="preserve">COSTA, Pietro.</w:t>
      </w:r>
      <w:r>
        <w:t xml:space="preserve"> </w:t>
      </w:r>
      <w:r>
        <w:rPr>
          <w:i/>
          <w:iCs/>
        </w:rPr>
        <w:t xml:space="preserve">Il progetto giuridico: ricerche sulla giurisprudenza del liberalismo classico</w:t>
      </w:r>
      <w:r>
        <w:t xml:space="preserve">. Milano: Giuffrè, 1974.</w:t>
      </w:r>
    </w:p>
    <w:p>
      <w:pPr>
        <w:pStyle w:val="BodyText"/>
      </w:pPr>
      <w:r>
        <w:t xml:space="preserve">FARIAS, William Gaia. História e literatura: reflexões sobre a República em</w:t>
      </w:r>
      <w:r>
        <w:t xml:space="preserve"> </w:t>
      </w:r>
      <w:r>
        <w:rPr>
          <w:i/>
          <w:iCs/>
        </w:rPr>
        <w:t xml:space="preserve">Esaú e Jacó</w:t>
      </w:r>
      <w:r>
        <w:t xml:space="preserve">.</w:t>
      </w:r>
      <w:r>
        <w:t xml:space="preserve"> </w:t>
      </w:r>
      <w:r>
        <w:rPr>
          <w:i/>
          <w:iCs/>
        </w:rPr>
        <w:t xml:space="preserve">Cantareira</w:t>
      </w:r>
      <w:r>
        <w:t xml:space="preserve">, [s.l.], n. III, v. I, ago. 2003.</w:t>
      </w:r>
    </w:p>
    <w:p>
      <w:pPr>
        <w:pStyle w:val="BodyText"/>
      </w:pPr>
      <w:r>
        <w:t xml:space="preserve">HUYGEBAERT, Stefan; MARTYN, Georges; PAUMEN, Vanessa; ROUSSEAUX, Xavier (org.).</w:t>
      </w:r>
      <w:r>
        <w:t xml:space="preserve"> </w:t>
      </w:r>
      <w:r>
        <w:rPr>
          <w:i/>
          <w:iCs/>
        </w:rPr>
        <w:t xml:space="preserve">The Art of Law: Artistic Representations and Iconography of Law and Justice in Context, from the Middle Ages to the First World War</w:t>
      </w:r>
      <w:r>
        <w:t xml:space="preserve">. Cham: Springer, 2018.</w:t>
      </w:r>
    </w:p>
    <w:p>
      <w:pPr>
        <w:pStyle w:val="BodyText"/>
      </w:pPr>
      <w:r>
        <w:t xml:space="preserve">LIMA JÚNIOR, Carlos Rogério.</w:t>
      </w:r>
      <w:r>
        <w:t xml:space="preserve"> </w:t>
      </w:r>
      <w:r>
        <w:rPr>
          <w:i/>
          <w:iCs/>
        </w:rPr>
        <w:t xml:space="preserve">Marianne à brasileira: imagens republicanas e os dilemas do passado imperial</w:t>
      </w:r>
      <w:r>
        <w:t xml:space="preserve">. Tese (Doutorado em História) — Faculdade de Filosofia, Letras e Ciências Humanas, Universidade de São Paulo, São Paulo, 2020.</w:t>
      </w:r>
    </w:p>
    <w:p>
      <w:pPr>
        <w:pStyle w:val="BodyText"/>
      </w:pPr>
      <w:r>
        <w:t xml:space="preserve">MACHADO, Maria Helena Pereira Toledo. As religiões e a República: o caso do positivismo. In: FERREIRA, Jorge; DELGADO, Lucilia de Almeida Neves (org.).</w:t>
      </w:r>
      <w:r>
        <w:t xml:space="preserve"> </w:t>
      </w:r>
      <w:r>
        <w:rPr>
          <w:i/>
          <w:iCs/>
        </w:rPr>
        <w:t xml:space="preserve">O Brasil Republicano: o tempo do liberalismo excludente</w:t>
      </w:r>
      <w:r>
        <w:t xml:space="preserve">. Rio de Janeiro: Civilização Brasileira, 2012. p. 365–398.</w:t>
      </w:r>
    </w:p>
    <w:p>
      <w:pPr>
        <w:pStyle w:val="BodyText"/>
      </w:pPr>
      <w:r>
        <w:t xml:space="preserve">MILLS, Charles W.</w:t>
      </w:r>
      <w:r>
        <w:t xml:space="preserve"> </w:t>
      </w:r>
      <w:r>
        <w:rPr>
          <w:i/>
          <w:iCs/>
        </w:rPr>
        <w:t xml:space="preserve">The Racial Contract</w:t>
      </w:r>
      <w:r>
        <w:t xml:space="preserve">. Ithaca: Cornell University Press, 1997.</w:t>
      </w:r>
    </w:p>
    <w:p>
      <w:pPr>
        <w:pStyle w:val="BodyText"/>
      </w:pPr>
      <w:r>
        <w:t xml:space="preserve">MARTYN, Georges; HUYGEBAERT, Stefan. Twenty New Contributions to the Upcoming Research Field of Historical Legal Iconology. In: HUYGEBAERT, Stefan; MARTYN, Georges; PAUMEN, Vanessa; ROUSSEAUX, Xavier (org.).</w:t>
      </w:r>
      <w:r>
        <w:t xml:space="preserve"> </w:t>
      </w:r>
      <w:r>
        <w:rPr>
          <w:i/>
          <w:iCs/>
        </w:rPr>
        <w:t xml:space="preserve">The Art of Law: Artistic Representations and Iconography of Law and Justice in Context, from the Middle Ages to the First World War</w:t>
      </w:r>
      <w:r>
        <w:t xml:space="preserve">. Cham: Springer, 2018. p. 3–24.</w:t>
      </w:r>
    </w:p>
    <w:p>
      <w:pPr>
        <w:pStyle w:val="BodyText"/>
      </w:pPr>
      <w:r>
        <w:t xml:space="preserve">GONZALEZ, Lélia. Racismo e sexismo na cultura brasileira.</w:t>
      </w:r>
      <w:r>
        <w:t xml:space="preserve"> </w:t>
      </w:r>
      <w:r>
        <w:rPr>
          <w:i/>
          <w:iCs/>
        </w:rPr>
        <w:t xml:space="preserve">Revista Ciências Sociais Hoje</w:t>
      </w:r>
      <w:r>
        <w:t xml:space="preserve">, São Paulo, ANPOCS, p. 223–244, 1984.</w:t>
      </w:r>
    </w:p>
    <w:p>
      <w:pPr>
        <w:pStyle w:val="BodyText"/>
      </w:pPr>
      <w:r>
        <w:t xml:space="preserve">NORA, Pierre. Entre mémoire et histoire. In: NORA, Pierre (org.).</w:t>
      </w:r>
      <w:r>
        <w:t xml:space="preserve"> </w:t>
      </w:r>
      <w:r>
        <w:rPr>
          <w:i/>
          <w:iCs/>
        </w:rPr>
        <w:t xml:space="preserve">Les Lieux de mémoire</w:t>
      </w:r>
      <w:r>
        <w:t xml:space="preserve">. Paris: Gallimard, 1984. v. 1: La République. p. XVII-XLII.</w:t>
      </w:r>
    </w:p>
    <w:p>
      <w:pPr>
        <w:pStyle w:val="BodyText"/>
      </w:pPr>
      <w:r>
        <w:t xml:space="preserve">PANOFSKY, Erwin.</w:t>
      </w:r>
      <w:r>
        <w:t xml:space="preserve"> </w:t>
      </w:r>
      <w:r>
        <w:rPr>
          <w:i/>
          <w:iCs/>
        </w:rPr>
        <w:t xml:space="preserve">Significado nas artes visuais</w:t>
      </w:r>
      <w:r>
        <w:t xml:space="preserve">. Tradução de Juan C. G. Aranha. São Paulo: Perspectiva, 1986.</w:t>
      </w:r>
    </w:p>
    <w:p>
      <w:pPr>
        <w:pStyle w:val="BodyText"/>
      </w:pPr>
      <w:r>
        <w:t xml:space="preserve">REDDY, William M.</w:t>
      </w:r>
      <w:r>
        <w:t xml:space="preserve"> </w:t>
      </w:r>
      <w:r>
        <w:rPr>
          <w:i/>
          <w:iCs/>
        </w:rPr>
        <w:t xml:space="preserve">The Navigation of Feeling: A Framework for the History of Emotions</w:t>
      </w:r>
      <w:r>
        <w:t xml:space="preserve">. Cambridge: Cambridge University Press, 2001.</w:t>
      </w:r>
    </w:p>
    <w:p>
      <w:pPr>
        <w:pStyle w:val="BodyText"/>
      </w:pPr>
      <w:r>
        <w:t xml:space="preserve">SCOTT, Joan W. Gender: A Useful Category of Historical Analysis.</w:t>
      </w:r>
      <w:r>
        <w:t xml:space="preserve"> </w:t>
      </w:r>
      <w:r>
        <w:rPr>
          <w:i/>
          <w:iCs/>
        </w:rPr>
        <w:t xml:space="preserve">The American Historical Review</w:t>
      </w:r>
      <w:r>
        <w:t xml:space="preserve">, v. 91, n. 5, p. 1053–1075, 1986.</w:t>
      </w:r>
    </w:p>
    <w:p>
      <w:pPr>
        <w:pStyle w:val="BodyText"/>
      </w:pPr>
      <w:r>
        <w:t xml:space="preserve">WARNER, Marina.</w:t>
      </w:r>
      <w:r>
        <w:t xml:space="preserve"> </w:t>
      </w:r>
      <w:r>
        <w:rPr>
          <w:i/>
          <w:iCs/>
        </w:rPr>
        <w:t xml:space="preserve">Monuments and Maidens: The Allegory of the Female Form</w:t>
      </w:r>
      <w:r>
        <w:t xml:space="preserve">. Berkeley: University of California Press, 1985.</w:t>
      </w:r>
    </w:p>
    <w:bookmarkEnd w:id="34"/>
    <w:bookmarkStart w:id="35" w:name="notas"/>
    <w:p>
      <w:pPr>
        <w:pStyle w:val="Heading2"/>
      </w:pPr>
      <w:r>
        <w:t xml:space="preserve">NOTAS</w:t>
      </w:r>
    </w:p>
    <w:p>
      <w:pPr>
        <w:pStyle w:val="FirstParagraph"/>
      </w:pPr>
      <w:r>
        <w:t xml:space="preserve">1 Sobre a genealogia iconográfica de Marianne e suas transferências para o contexto sul-americano, ver LIMA JÚNIOR, Carlos Rogério.</w:t>
      </w:r>
      <w:r>
        <w:t xml:space="preserve"> </w:t>
      </w:r>
      <w:r>
        <w:rPr>
          <w:i/>
          <w:iCs/>
        </w:rPr>
        <w:t xml:space="preserve">Marianne à brasileira: imagens republicanas e os dilemas do passado imperial</w:t>
      </w:r>
      <w:r>
        <w:t xml:space="preserve">. Tese (Doutorado em História) — FFLCH/USP, São Paulo, 2020. p. 23–44.</w:t>
      </w:r>
    </w:p>
    <w:p>
      <w:pPr>
        <w:pStyle w:val="BodyText"/>
      </w:pPr>
      <w:r>
        <w:t xml:space="preserve">2 A coroação foi autorizada pela bula</w:t>
      </w:r>
      <w:r>
        <w:t xml:space="preserve"> </w:t>
      </w:r>
      <w:r>
        <w:rPr>
          <w:i/>
          <w:iCs/>
        </w:rPr>
        <w:t xml:space="preserve">Gloriosae Dominae</w:t>
      </w:r>
      <w:r>
        <w:t xml:space="preserve">, por delegação do Cardeal Arcoverde, em 8 de setembro de 1904. Cf. AZZI, Riolando.</w:t>
      </w:r>
      <w:r>
        <w:t xml:space="preserve"> </w:t>
      </w:r>
      <w:r>
        <w:rPr>
          <w:i/>
          <w:iCs/>
        </w:rPr>
        <w:t xml:space="preserve">Aparecida: história da devoção</w:t>
      </w:r>
      <w:r>
        <w:t xml:space="preserve">. Aparecida: Santuário, 1994. p. 87–114.</w:t>
      </w:r>
    </w:p>
    <w:p>
      <w:pPr>
        <w:pStyle w:val="BodyText"/>
      </w:pPr>
      <w:r>
        <w:t xml:space="preserve">3 A pintura encontra-se no Museo Nacional del Prado, Madrid. Disponível em: https://www.museodelprado.es. Acesso em: 10 mar. 2026.</w:t>
      </w:r>
    </w:p>
    <w:p>
      <w:pPr>
        <w:pStyle w:val="BodyText"/>
      </w:pPr>
      <w:r>
        <w:t xml:space="preserve">4 O original encontra-se no Musée du Louvre, Paris. Disponível em: https://collections.louvre.fr/en/ark:/53355/cl010065872. Acesso em: 10 mar. 2026.</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Ana Vitória Vanzin Mendes é doutoranda em Direito pelo Programa de Pós-Graduação em Direito da Universidade Federal de Santa Catarina (PPGD/UFSC), na linha de pesquisa em Direito dos Grupos Vulneráveis, e mestra em Direito pelo PPGD/UFSC (2024). Advogada (OAB/SC 64.343). Currículo Lattes: http://lattes.cnpq.br/9079096818962275. ORCID: [PREENCHER]. E-mail: ana.vanzin@posgrad.ufsc.br. Arno Dal Ri Júnior é Professor do Programa de Pós-Graduação em Direito da Universidade Federal de Santa Catarina (PPGD/UFSC) e orientador da autora.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Maria, Marianne e a República: Disputa de Soberania Afetiva na Primeira República (1889–1922)</dc:title>
  <dc:creator/>
  <cp:keywords/>
  <dcterms:created xsi:type="dcterms:W3CDTF">2026-08-31T14:04:41Z</dcterms:created>
  <dcterms:modified xsi:type="dcterms:W3CDTF">2026-08-31T14:04:41Z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PPGD/UFSC</vt:lpwstr>
  </property>
  <property fmtid="{D5CDD505-2E9C-101B-9397-08002B2CF9AE}" pid="3" name="authors">
    <vt:lpwstr/>
  </property>
  <property fmtid="{D5CDD505-2E9C-101B-9397-08002B2CF9AE}" pid="4" name="date">
    <vt:lpwstr>2026-03-28</vt:lpwstr>
  </property>
  <property fmtid="{D5CDD505-2E9C-101B-9397-08002B2CF9AE}" pid="5" name="status">
    <vt:lpwstr>v3 — peer review incorporado 2026-04-01</vt:lpwstr>
  </property>
  <property fmtid="{D5CDD505-2E9C-101B-9397-08002B2CF9AE}" pid="6" name="tags">
    <vt:lpwstr/>
  </property>
</Properties>
</file>