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pt-BR"/>
        </w:rPr>
        <w:t xml:space="preserve">Iconocracia: Alegoria Feminina na História da Cultura Jurídica (Séculos XIX–XX)</w:t>
      </w:r>
    </w:p>
    <w:sdt>
      <w:sdtPr>
        <w:docPartObj>
          <w:docPartGallery w:val="Table of Contents"/>
          <w:docPartUnique/>
        </w:docPartObj>
      </w:sdtPr>
      <w:sdtContent>
        <w:p>
          <w:pPr>
            <w:pStyle w:val="TOCHeading"/>
          </w:pPr>
          <w:r>
            <w:rPr>
              <w:lang w:val="pt-BR"/>
            </w:rPr>
            <w:t xml:space="preserve">Table of Contents</w:t>
          </w:r>
        </w:p>
        <w:p>
          <w:r>
            <w:fldChar w:fldCharType="begin" w:dirty="true"/>
            <w:instrText xml:space="preserve">TOC \o "1-3" \h \z \u</w:instrText>
            <w:fldChar w:fldCharType="separate"/>
            <w:fldChar w:fldCharType="end"/>
          </w:r>
        </w:p>
      </w:sdtContent>
    </w:sdt>
    <w:bookmarkStart w:id="34" w:name="introdução"/>
    <w:p>
      <w:pPr>
        <w:pStyle w:val="Heading1"/>
      </w:pPr>
      <w:r>
        <w:rPr>
          <w:rStyle w:val="SectionNumber"/>
          <w:lang w:val="pt-BR"/>
        </w:rPr>
        <w:t xml:space="preserve">1</w:t>
      </w:r>
      <w:r>
        <w:tab/>
      </w:r>
      <w:r>
        <w:rPr>
          <w:lang w:val="pt-BR"/>
        </w:rPr>
        <w:t xml:space="preserve">INTRODUÇÃO</w:t>
      </w:r>
    </w:p>
    <w:bookmarkStart w:id="33" w:name="Xfc51a1cdf403b5ca539035f677c4367fd1b92b9"/>
    <w:p>
      <w:pPr>
        <w:pStyle w:val="Heading2"/>
      </w:pPr>
      <w:r>
        <w:rPr>
          <w:rStyle w:val="SectionNumber"/>
          <w:lang w:val="pt-BR"/>
        </w:rPr>
        <w:t xml:space="preserve">1.1</w:t>
      </w:r>
      <w:r>
        <w:tab/>
      </w:r>
      <w:r>
        <w:rPr>
          <w:lang w:val="pt-BR"/>
        </w:rPr>
        <w:t xml:space="preserve">FEMINILIDADE DE ESTADO E A CONSTITUIÇÃO ESTÉTICA DA AUTORIDADE</w:t>
      </w:r>
    </w:p>
    <w:p>
      <w:r>
        <w:pict>
          <v:rect style="width:0;height:1.5pt" o:hralign="center" o:hrstd="t" o:hr="t"/>
        </w:pict>
      </w:r>
    </w:p>
    <w:bookmarkStart w:id="12" w:name="Xfd7d3518801cc67549abe211907e96aa8e96c7d"/>
    <w:p>
      <w:pPr>
        <w:pStyle w:val="Heading3"/>
      </w:pPr>
      <w:r>
        <w:rPr>
          <w:rStyle w:val="SectionNumber"/>
          <w:lang w:val="pt-BR"/>
        </w:rPr>
        <w:t xml:space="preserve">1.1.1</w:t>
      </w:r>
      <w:r>
        <w:tab/>
      </w:r>
      <w:r>
        <w:rPr>
          <w:lang w:val="pt-BR"/>
        </w:rPr>
        <w:t xml:space="preserve">I.1 Contexto e território: o Direito como cultura visual e a centralidade da imagem na ordem jurídico-estatal moderna</w:t>
      </w:r>
    </w:p>
    <w:bookmarkStart w:id="9" w:name="Xc7f288483a103a5be2f129b65a69642b5893e9b"/>
    <w:p>
      <w:pPr>
        <w:pStyle w:val="Heading4"/>
      </w:pPr>
      <w:r>
        <w:rPr>
          <w:rStyle w:val="SectionNumber"/>
          <w:lang w:val="pt-BR"/>
        </w:rPr>
        <w:t xml:space="preserve">1.1.1.1</w:t>
      </w:r>
      <w:r>
        <w:tab/>
      </w:r>
      <w:r>
        <w:rPr>
          <w:i/>
          <w:iCs/>
          <w:lang w:val="pt-BR"/>
        </w:rPr>
        <w:t xml:space="preserve">O Direito como cultura: normas, rituais e imagens</w:t>
      </w:r>
    </w:p>
    <w:p>
      <w:pPr>
        <w:pStyle w:val="FirstParagraph"/>
      </w:pPr>
      <w:r>
        <w:rPr>
          <w:lang w:val="pt-BR"/>
        </w:rPr>
        <w:t xml:space="preserve">A história do Direito foi tradicionalmente concebida como a história dos textos normativos, das doutrinas e das instituições formais. Essa abordagem textualista, embora indispensável, obscurece uma dimensão constitutiva da legalidade moderna: a produção sensível da autoridade por meios visuais. O Direito manifesta-se como uma cultura complexa que articula três dimensões inseparáveis: norma (texto jurídico, códigos, constituições), ritual (cerimônias judiciais, inaugurações, liturgias cívicas) e imagem (iconografia oficial, arquitetura forense, dispositivos visuais de autenticação). Reduzir sua história à primeira dimensão é perder o que sustenta as outras duas.</w:t>
      </w:r>
    </w:p>
    <w:p>
      <w:pPr>
        <w:pStyle w:val="BodyText"/>
      </w:pPr>
      <w:r>
        <w:rPr>
          <w:lang w:val="pt-BR"/>
        </w:rPr>
        <w:t xml:space="preserve">Paolo Grossi demonstrou que o Direito moderno constitui uma mitologia secularizada, um sistema de crença que se apresenta como ordem racional, mas opera por mecanismos de fé coletiva (GROSSI, 2007). A eficácia do Direito não deriva apenas de sua coerência lógica ou de sua força coercitiva; ela assenta-se na adesão sensível produzida por tecnologias de legitimação que transcendem o texto escrito. Entre essas tecnologias, a visualidade ocupa posição estratégica. Os tribunais não são apenas espaços em que normas são aplicadas; são teatros em que a autoridade é encenada visualmente. Os códigos legais não circulam como meros repositórios de regras; carregam iconografias que os sacralizam. As moedas e os selos não apenas facilitam transações e comunicações; performam a soberania por meio de imagens oficiais.</w:t>
      </w:r>
    </w:p>
    <w:p>
      <w:pPr>
        <w:pStyle w:val="BodyText"/>
      </w:pPr>
      <w:r>
        <w:rPr>
          <w:lang w:val="pt-BR"/>
        </w:rPr>
        <w:t xml:space="preserve">A visualidade importa na esfera jurídico-estatal porque a legitimidade moderna opera em dois planos simultâneos: o racional-legal, fundado no raciocínio discursivo e na argumentação jurídica, e o sensório-afetivo, fundado na experiência visual e na encenação ritualística. Max Weber identificou a dominação legal-racional como o tipo ideal da modernidade política; a sua tipologia, porém, não incorporou a persistência dos mecanismos carismáticos e tradicionais mediados pela linguagem visual (WEBER, 1922). O Estado moderno não apenas burocratiza: também estetiza. O Direito moderno não apenas racionaliza: também ritualiza visualmente. Essa dupla exigência é o que Marie-José Mondzain denominou</w:t>
      </w:r>
      <w:r>
        <w:rPr>
          <w:lang w:val="pt-BR"/>
        </w:rPr>
        <w:t xml:space="preserve"> </w:t>
      </w:r>
      <w:r>
        <w:rPr>
          <w:i/>
          <w:iCs/>
          <w:lang w:val="pt-BR"/>
        </w:rPr>
        <w:t xml:space="preserve">oikonomia</w:t>
      </w:r>
      <w:r>
        <w:rPr>
          <w:lang w:val="pt-BR"/>
        </w:rPr>
        <w:t xml:space="preserve">: a gestão estratégica do visível e do invisível como tecnologia de governo (MONDZAIN, 2002).</w:t>
      </w:r>
    </w:p>
    <w:p>
      <w:pPr>
        <w:pStyle w:val="BodyText"/>
      </w:pPr>
      <w:r>
        <w:rPr>
          <w:lang w:val="pt-BR"/>
        </w:rPr>
        <w:t xml:space="preserve">A arquitetura forense exemplifica a articulação entre norma e imagem. Os tribunais edificados entre os séculos XIX e XX seguem um programa iconográfico específico: fachadas monumentais comunicam a permanência da lei; pórticos elevados compelem o olhar para cima, fabricando reverência; as salas de audiência dispõem bancos e tribunas segundo uma hierarquia espacializada (GOODRICH, 2013b). Alegorias permeiam esses espaços: a Justiça com balança e espada domina os frontispícios; relevos narram cenas de julgamento; afrescos representam virtudes cívicas (DOUZINAS; NEAD, 1999). A distribuição espacial das imagens não é ornamental; constitui uma pedagogia visual que ensina os cidadãos a reconhecer a autoridade, a interiorizar a hierarquia e a aceitar a subordinação (GOODRICH, 2013b; MANDERSON, 2018).</w:t>
      </w:r>
    </w:p>
    <w:p>
      <w:pPr>
        <w:pStyle w:val="BodyText"/>
      </w:pPr>
      <w:r>
        <w:rPr>
          <w:lang w:val="pt-BR"/>
        </w:rPr>
        <w:t xml:space="preserve">A documentação oficial materializa o acoplamento entre texto e imagem. As sentenças judiciais não circulam como textos neutros; trazem carimbos alegóricos que autenticam, selos que certificam, marcas visuais que conferem validade. Os códigos legais são editados com frontispícios elaborados: a Justiça entronizada se rodeia de alegorias das virtudes; cenas mitológicas legitimam a nova legislação; a heráldica estatal marca a propriedade soberana sobre o texto normativo (HUYGEBAERT, 2015; GOODRICH, 2013b). Essa iconicidade do Direito não é um suplemento; é uma condição de efetividade (LEGENDRE, 1994). Uma norma sem imagem permanece abstrata; acoplada a um dispositivo visual, ela adquire uma materialidade tangível que permite a circulação, o reconhecimento e a interiorização.</w:t>
      </w:r>
    </w:p>
    <w:bookmarkEnd w:id="9"/>
    <w:bookmarkStart w:id="10" w:name="X118f8b22e822197a1d77f03ae67876c0a000a09"/>
    <w:p>
      <w:pPr>
        <w:pStyle w:val="Heading4"/>
      </w:pPr>
      <w:r>
        <w:rPr>
          <w:rStyle w:val="SectionNumber"/>
          <w:lang w:val="pt-BR"/>
        </w:rPr>
        <w:t xml:space="preserve">1.1.1.2</w:t>
      </w:r>
      <w:r>
        <w:tab/>
      </w:r>
      <w:r>
        <w:rPr>
          <w:i/>
          <w:iCs/>
          <w:lang w:val="pt-BR"/>
        </w:rPr>
        <w:t xml:space="preserve">Por que os séculos XIX e XX: a modernidade político-legal e a revolução tecnológica da imagem</w:t>
      </w:r>
    </w:p>
    <w:p>
      <w:pPr>
        <w:pStyle w:val="FirstParagraph"/>
      </w:pPr>
      <w:r>
        <w:rPr>
          <w:lang w:val="pt-BR"/>
        </w:rPr>
        <w:t xml:space="preserve">O recorte cronológico desta pesquisa (1800–2000, com ênfase no período 1880–1920) coincide com uma época de transformações estruturais na organização do poder político-jurídico ocidental e nas tecnologias de produção e circulação de imagens. Quatro processos históricos convergentes justificam essa delimitação temporal.</w:t>
      </w:r>
    </w:p>
    <w:p>
      <w:pPr>
        <w:pStyle w:val="BodyText"/>
      </w:pPr>
      <w:r>
        <w:rPr>
          <w:lang w:val="pt-BR"/>
        </w:rPr>
        <w:t xml:space="preserve">O primeiro é a consolidação do Estado-nação como forma política hegemônica. A Revolução Francesa (1789) inaugurou um ciclo de transformações que substituiu a legitimidade dinástica pela legitimidade popular e a soberania monárquica pela soberania nacional. Essa mudança exigiu novos mecanismos de representação: a nação não possuía um corpo natural como o monarca; ela precisava ser fabricada sensivelmente. As alegorias emergiram como solução. Um corpo feminino purificado personificava uma entidade abstrata, tornando-a visível, reconhecível e investida de afetos. O século XIX assistiu à multiplicação dos Estados-nações, nas unificações italiana e alemã, nas independências latino-americanas e na consolidação das monarquias constitucionais, cada qual exigindo sua própria iconografia. A Marianne francesa, a Germania alemã, a Britannia britânica, a Helvetia suíça e a República brasileira constituem respostas nacionais a um problema comum: como conferir presença visual a uma entidade política abstrata.</w:t>
      </w:r>
    </w:p>
    <w:p>
      <w:pPr>
        <w:pStyle w:val="BodyText"/>
      </w:pPr>
      <w:r>
        <w:rPr>
          <w:lang w:val="pt-BR"/>
        </w:rPr>
        <w:t xml:space="preserve">O segundo processo é a codificação jurídica e a racionalização do Direito. O Código Napoleônico (1804) inaugurou uma era das grandes codificações que buscaram sistematizar o Direito em corpos legislativos coerentes. O Código Civil alemão (BGB, 1900), os códigos latino-americanos e as reformas processuais transformaram a paisagem jurídica ocidental. Paradoxalmente, a racionalização textual intensifica a necessidade de legitimação visual. Os códigos não são apenas compilados; são sacralizados pela iconografia. As edições oficiais incluem frontispícios elaborados, capas de couro com brasões dourados e ilustrações alegóricas. A modernização jurídica acompanha-se de estetização: o Direito moderno se apresenta simultaneamente como ordem racional e como objeto digno de reverência.</w:t>
      </w:r>
    </w:p>
    <w:p>
      <w:pPr>
        <w:pStyle w:val="BodyText"/>
      </w:pPr>
      <w:r>
        <w:rPr>
          <w:lang w:val="pt-BR"/>
        </w:rPr>
        <w:t xml:space="preserve">O terceiro processo é a revolução tecnológica na produção de imagens. O século XIX assistiu a uma modernização sem precedentes nas tecnologias de reprodução visual. A litografia (anos 1790) permitiu a impressão em massa de gravuras. A fotografia (anos 1830) democratizou o registro visual. As prensas mecânicas a vapor (anos 1810) multiplicaram a produção gráfica. A fundição industrial de bronze e ferro possibilitou a produção serial de esculturas. A cromolitografia (anos 1830) introduziu a cor na impressão de massa. Essas inovações alteraram as ordens de grandeza: tiragens de milhares tornaram-se tiragens de milhões. A saturação quantitativa transformou a qualidade da experiência visual; os cidadãos do século XX vivem imersos em um ambiente de imagens sem precedente histórico.</w:t>
      </w:r>
    </w:p>
    <w:p>
      <w:pPr>
        <w:pStyle w:val="BodyText"/>
      </w:pPr>
      <w:r>
        <w:rPr>
          <w:lang w:val="pt-BR"/>
        </w:rPr>
        <w:t xml:space="preserve">O quarto processo é a expansão dos sistemas monetário e postal como infraestruturas de circulação de imagens. A padronização monetária nacional, com o abandono das moedas regionais ou senhoriais, universaliza as imagens nas moedas. A introdução do selo postal adesivo, na Grã-Bretanha em 1840, cria um novo meio de massa para a iconografia oficial. A União Postal Universal (1874) internacionalizou a circulação de selos, transformando-os em embaixadores visuais da soberania nacional. Moedas e selos operam com ubiquidade íntima: penetram o espaço privado, acompanham os cidadãos em sua mobilidade cotidiana e mediam interações econômicas e comunicativas. As alegorias nesses suportes fabricam a presença permanente do Estado na consciência corporal dos cidadãos.</w:t>
      </w:r>
    </w:p>
    <w:p>
      <w:pPr>
        <w:pStyle w:val="BodyText"/>
      </w:pPr>
      <w:r>
        <w:rPr>
          <w:lang w:val="pt-BR"/>
        </w:rPr>
        <w:t xml:space="preserve">A convergência desses quatro processos, a consolidação do Estado-nação, a codificação jurídica, a revolução tecnológica da imagem e a expansão das infraestruturas de circulação, cria as condições históricas para a emergência de um regime iconocrático em escala sem precedentes. A modernidade político-jurídica não é apenas textual; é visual-performativa. Compreender os séculos XIX e XX requer interrogar não apenas o que foi codificado nas leis, mas o que foi sensivelmente fabricado pelas imagens.</w:t>
      </w:r>
    </w:p>
    <w:bookmarkEnd w:id="10"/>
    <w:bookmarkStart w:id="11" w:name="X76adc5d3b4a11d89c91242c02da926ae3ca1e24"/>
    <w:p>
      <w:pPr>
        <w:pStyle w:val="Heading4"/>
      </w:pPr>
      <w:r>
        <w:rPr>
          <w:rStyle w:val="SectionNumber"/>
          <w:lang w:val="pt-BR"/>
        </w:rPr>
        <w:t xml:space="preserve">1.1.1.3</w:t>
      </w:r>
      <w:r>
        <w:tab/>
      </w:r>
      <w:r>
        <w:rPr>
          <w:i/>
          <w:iCs/>
          <w:lang w:val="pt-BR"/>
        </w:rPr>
        <w:t xml:space="preserve">Por que alegorias femininas: corpo, gênero e representação do abstrato</w:t>
      </w:r>
    </w:p>
    <w:p>
      <w:pPr>
        <w:pStyle w:val="FirstParagraph"/>
      </w:pPr>
      <w:r>
        <w:rPr>
          <w:lang w:val="pt-BR"/>
        </w:rPr>
        <w:t xml:space="preserve">Entre infinitas possibilidades iconográficas, os Estados modernos privilegiam sistematicamente o corpo feminino como veículo de representação alegórica. Esse padrão transcronológico e transnacional demanda explicação. Por que nações, repúblicas e conceitos jurídicos, Justiça, Liberdade, Igualdade, são personificados como mulheres? Por que não figuras masculinas, criaturas mitológicas, símbolos abstratos ou emblemas heráldicos?</w:t>
      </w:r>
    </w:p>
    <w:p>
      <w:pPr>
        <w:pStyle w:val="BodyText"/>
      </w:pPr>
      <w:r>
        <w:rPr>
          <w:lang w:val="pt-BR"/>
        </w:rPr>
        <w:t xml:space="preserve">As explicações convencionais apelam à continuidade com a tradição greco-romana ou ao gênero gramatical dos substantivos abstratos no latim e nas línguas germânicas. Essas justificativas, embora parcialmente válidas, são insuficientes. A continuidade não explica a intensificação: a modernidade radicaliza o uso das alegorias femininas, massificando-as em escala sem precedente. A gramática não determina a iconografia: línguas com sistemas de gênero diferentes produzem alegorias femininas convergentes.</w:t>
      </w:r>
    </w:p>
    <w:p>
      <w:pPr>
        <w:pStyle w:val="BodyText"/>
      </w:pPr>
      <w:r>
        <w:rPr>
          <w:lang w:val="pt-BR"/>
        </w:rPr>
        <w:t xml:space="preserve">Propõe-se aqui que o corpo feminino é escolhido precisamente porque pode ser esvaziado de subjetividade e transformado em um invólucro purificado para as abstrações políticas. A alegoria opera numa zona fronteiriça entre o retrato e o emblema: usa a forma humana — que, na tradição iconográfica ocidental, foi privilegiada para a representação da interioridade singular — mas esvazia-a de sua função primária (WARNER, 1985). O corpo feminino alegórico situa-se, assim, numa zona constitutivamente ambivalente: tem aparência humana, mas carece de personalidade; apresenta-se como pessoa, mas opera como coisa (DOUZINAS; NEAD, 1999, p. 37–42).</w:t>
      </w:r>
    </w:p>
    <w:p>
      <w:pPr>
        <w:pStyle w:val="BodyText"/>
      </w:pPr>
      <w:r>
        <w:rPr>
          <w:lang w:val="pt-BR"/>
        </w:rPr>
        <w:t xml:space="preserve">Essa ambivalência é funcional. Os conceitos abstratos, Nação, República, Justiça, não podem ser representados literalmente; exigem personificação. Mas uma personificação excessivamente concreta, o retrato de um indivíduo específico, comprometeria a universalidade. A alegoria resolve esse dilema: oferece um corpo humano reconhecível, que permite identificação, empatia e investimento emocional, purificado de particularidade, sem traços individuais, biografia ou contingência. O corpo feminino presta-se a essa operação porque, na economia visual do gênero na modernidade ocidental, o feminino já é codificado como passivo, receptivo e desprovido de agência autônoma. A alegoria radicaliza essa codificação: produz uma feminilidade de Estado que é pura presença sem agência.</w:t>
      </w:r>
    </w:p>
    <w:p>
      <w:pPr>
        <w:pStyle w:val="BodyText"/>
      </w:pPr>
      <w:r>
        <w:rPr>
          <w:lang w:val="pt-BR"/>
        </w:rPr>
        <w:t xml:space="preserve">Marina Warner demonstrou que as alegorias femininas operam uma gramática visual em que o corpo feminino significa virtudes e conceitos abstratos, enquanto o corpo masculino significa indivíduos concretos e ações históricas (WARNER, 1985). Essa assimetria não é natural; é produzida e reproduzida por convenções iconográficas estabelecidas. O regime iconocrático moderno intensifica e institucionaliza essa assimetria: os retratos de monarcas, presidentes e legisladores identificam sujeitos políticos masculinos com biografias; as alegorias de nações, repúblicas e princípios jurídicos despersonalizam o feminino, transformando-o em vetor de abstração.</w:t>
      </w:r>
    </w:p>
    <w:p>
      <w:pPr>
        <w:pStyle w:val="BodyText"/>
      </w:pPr>
      <w:r>
        <w:rPr>
          <w:lang w:val="pt-BR"/>
        </w:rPr>
        <w:t xml:space="preserve">Essa escolha iconográfica é politicamente carregada. O período estudado coincide precisamente com a exclusão sistemática das mulheres dos direitos civis e políticos. A</w:t>
      </w:r>
      <w:r>
        <w:rPr>
          <w:lang w:val="pt-BR"/>
        </w:rPr>
        <w:t xml:space="preserve"> </w:t>
      </w:r>
      <w:r>
        <w:rPr>
          <w:i/>
          <w:iCs/>
          <w:lang w:val="pt-BR"/>
        </w:rPr>
        <w:t xml:space="preserve">coverture</w:t>
      </w:r>
      <w:r>
        <w:rPr>
          <w:lang w:val="pt-BR"/>
        </w:rPr>
        <w:t xml:space="preserve"> </w:t>
      </w:r>
      <w:r>
        <w:rPr>
          <w:lang w:val="pt-BR"/>
        </w:rPr>
        <w:t xml:space="preserve">no</w:t>
      </w:r>
      <w:r>
        <w:rPr>
          <w:lang w:val="pt-BR"/>
        </w:rPr>
        <w:t xml:space="preserve"> </w:t>
      </w:r>
      <w:r>
        <w:rPr>
          <w:i/>
          <w:iCs/>
          <w:lang w:val="pt-BR"/>
        </w:rPr>
        <w:t xml:space="preserve">common law</w:t>
      </w:r>
      <w:r>
        <w:rPr>
          <w:lang w:val="pt-BR"/>
        </w:rPr>
        <w:t xml:space="preserve"> </w:t>
      </w:r>
      <w:r>
        <w:rPr>
          <w:lang w:val="pt-BR"/>
        </w:rPr>
        <w:t xml:space="preserve">nega às mulheres casadas personalidade jurídica plena; os códigos civis euro-continentais institucionalizam a subordinação das esposas aos maridos; o sufrágio é negado, nas democracias ocidentais aqui estudadas, até o início do século XX (exceções fora do recorte: Wyoming 1869, Nova Zelândia 1893); o acesso às profissões e ao ensino superior permanece restrito. Quanto mais as mulheres são excluídas como sujeitos políticos, mais o corpo feminino prolifera como linguagem oficial do poder. Essa contradição estrutural constitui o problema central desta pesquisa.</w:t>
      </w:r>
    </w:p>
    <w:p>
      <w:r>
        <w:pict>
          <v:rect style="width:0;height:1.5pt" o:hralign="center" o:hrstd="t" o:hr="t"/>
        </w:pict>
      </w:r>
    </w:p>
    <w:bookmarkEnd w:id="11"/>
    <w:bookmarkEnd w:id="12"/>
    <w:bookmarkStart w:id="16" w:name="X97d4c10a87c45c40f392d402f6b8d872264c58c"/>
    <w:p>
      <w:pPr>
        <w:pStyle w:val="Heading3"/>
      </w:pPr>
      <w:r>
        <w:rPr>
          <w:rStyle w:val="SectionNumber"/>
          <w:lang w:val="pt-BR"/>
        </w:rPr>
        <w:t xml:space="preserve">1.1.2</w:t>
      </w:r>
      <w:r>
        <w:tab/>
      </w:r>
      <w:r>
        <w:rPr>
          <w:lang w:val="pt-BR"/>
        </w:rPr>
        <w:t xml:space="preserve">I.2 Problema de pesquisa: o paradoxo da hipervisibilidade alegórica e da exclusão cívica</w:t>
      </w:r>
    </w:p>
    <w:bookmarkStart w:id="13" w:name="formulação-do-paradoxo"/>
    <w:p>
      <w:pPr>
        <w:pStyle w:val="Heading4"/>
      </w:pPr>
      <w:r>
        <w:rPr>
          <w:rStyle w:val="SectionNumber"/>
          <w:lang w:val="pt-BR"/>
        </w:rPr>
        <w:t xml:space="preserve">1.1.2.1</w:t>
      </w:r>
      <w:r>
        <w:tab/>
      </w:r>
      <w:r>
        <w:rPr>
          <w:i/>
          <w:iCs/>
          <w:lang w:val="pt-BR"/>
        </w:rPr>
        <w:t xml:space="preserve">Formulação do paradoxo</w:t>
      </w:r>
    </w:p>
    <w:p>
      <w:pPr>
        <w:pStyle w:val="FirstParagraph"/>
      </w:pPr>
      <w:r>
        <w:rPr>
          <w:lang w:val="pt-BR"/>
        </w:rPr>
        <w:t xml:space="preserve">A cultura jurídica ocidental moderna fundamenta a sua legitimidade num paradoxo estrutural: a hipervisibilidade do corpo feminino idealizado no espaço público oficial coexiste historicamente com a exclusão cívica e material das mulheres reais. Entre 1800 e 2000, os Estados ocidentais produziram e circularam massivamente alegorias femininas nos dispositivos oficiais: moedas cunhadas aos milhões, selos emitidos sistematicamente, monumentos erguidos nas praças centrais, frontispícios de códigos jurídicos, relevos em tribunais, estandartes em cerimônias cívicas. O corpo feminino tornou-se o rosto visual da Nação, da República, da Justiça, da Liberdade e da Razão. A hipervisibilidade alegórica do feminino atingiu níveis sem precedente: nenhum cidadão podia escapar dos encontros diários com essas imagens.</w:t>
      </w:r>
    </w:p>
    <w:p>
      <w:pPr>
        <w:pStyle w:val="BodyText"/>
      </w:pPr>
      <w:r>
        <w:rPr>
          <w:lang w:val="pt-BR"/>
        </w:rPr>
        <w:t xml:space="preserve">Ao mesmo tempo, as mulheres reais permaneceram sistematicamente excluídas da esfera cívica e política. A França revolucionária, que adotou Marianne como símbolo republicano em 1792, negou às mulheres o sufrágio até 1944. A Alemanha imperial, que multiplicou as representações de Germania, manteve as mulheres sob a tutela legal de seus maridos pelo BGB de 1900. A Grã-Bretanha vitoriana, que exportou Britannia por todo o império, privou as mulheres de personalidade jurídica plena pela doutrina da</w:t>
      </w:r>
      <w:r>
        <w:rPr>
          <w:lang w:val="pt-BR"/>
        </w:rPr>
        <w:t xml:space="preserve"> </w:t>
      </w:r>
      <w:r>
        <w:rPr>
          <w:i/>
          <w:iCs/>
          <w:lang w:val="pt-BR"/>
        </w:rPr>
        <w:t xml:space="preserve">coverture</w:t>
      </w:r>
      <w:r>
        <w:rPr>
          <w:lang w:val="pt-BR"/>
        </w:rPr>
        <w:t xml:space="preserve">. Os Estados Unidos, que erigiram a Estátua da Liberdade (1886), negaram às mulheres o voto federal até 1920. A República brasileira, que viu a figura feminina da República tornar-se o símbolo visual do novo regime a partir de 1889 [VERIFICAR: o Decreto n. 4/1889 estabelece bandeira, armas e selos-sinetes; a oficialização da figura é difusa e institucional, não atribuível ao decreto], excluiu as mulheres do sufrágio até 1932 (parcialmente) e 1946 (plenamente).</w:t>
      </w:r>
    </w:p>
    <w:p>
      <w:pPr>
        <w:pStyle w:val="BodyText"/>
      </w:pPr>
      <w:r>
        <w:rPr>
          <w:lang w:val="pt-BR"/>
        </w:rPr>
        <w:t xml:space="preserve">O paradoxo está precisamente formulado: quanto maior a presença simbólica das mulheres na iconografia oficial, mais radical a exclusão cívica das mulheres reais. Essa correlação não é uma coincidência; é estrutural. Os movimentos sufragistas do final do século XIX e início do século XX foram confrontados precisamente com esse paradoxo: como reivindicar presença política quando as mulheres já são onipresentes alegoricamente? Como argumentar a exclusão quando o corpo feminino governa visualmente? O simulacro alegórico operava um curto-circuito: ocupava preventivamente um lugar simbólico, neutralizando a demanda por inclusão real. Falta à literatura, contudo, um modelo metodológico que conecte a crítica teórica do contrato social à análise sistemática e quantitativa da iconografia estatal, permitindo mensurar como essa estética universalista mascarou exclusões de gênero e raça.</w:t>
      </w:r>
    </w:p>
    <w:bookmarkEnd w:id="13"/>
    <w:bookmarkStart w:id="14" w:name="insuficiência-das-explicações-existentes"/>
    <w:p>
      <w:pPr>
        <w:pStyle w:val="Heading4"/>
      </w:pPr>
      <w:r>
        <w:rPr>
          <w:rStyle w:val="SectionNumber"/>
          <w:lang w:val="pt-BR"/>
        </w:rPr>
        <w:t xml:space="preserve">1.1.2.2</w:t>
      </w:r>
      <w:r>
        <w:tab/>
      </w:r>
      <w:r>
        <w:rPr>
          <w:i/>
          <w:iCs/>
          <w:lang w:val="pt-BR"/>
        </w:rPr>
        <w:t xml:space="preserve">Insuficiência das explicações existentes</w:t>
      </w:r>
    </w:p>
    <w:p>
      <w:pPr>
        <w:pStyle w:val="FirstParagraph"/>
      </w:pPr>
      <w:r>
        <w:rPr>
          <w:lang w:val="pt-BR"/>
        </w:rPr>
        <w:t xml:space="preserve">A literatura sobre alegorias femininas oferece interpretações diversas, nenhuma delas plenamente satisfatória. Marina Warner, em</w:t>
      </w:r>
      <w:r>
        <w:rPr>
          <w:lang w:val="pt-BR"/>
        </w:rPr>
        <w:t xml:space="preserve"> </w:t>
      </w:r>
      <w:r>
        <w:rPr>
          <w:i/>
          <w:iCs/>
          <w:lang w:val="pt-BR"/>
        </w:rPr>
        <w:t xml:space="preserve">Monuments and Maidens</w:t>
      </w:r>
      <w:r>
        <w:rPr>
          <w:lang w:val="pt-BR"/>
        </w:rPr>
        <w:t xml:space="preserve"> </w:t>
      </w:r>
      <w:r>
        <w:rPr>
          <w:lang w:val="pt-BR"/>
        </w:rPr>
        <w:t xml:space="preserve">(WARNER, 1985), identifica um padrão, mas não teoriza um mecanismo: reconhece que as alegorias proliferam precisamente quando as mulheres são excluídas, mas não explica por que essa correlação opera sistematicamente. Joan Landes, em</w:t>
      </w:r>
      <w:r>
        <w:rPr>
          <w:lang w:val="pt-BR"/>
        </w:rPr>
        <w:t xml:space="preserve"> </w:t>
      </w:r>
      <w:r>
        <w:rPr>
          <w:i/>
          <w:iCs/>
          <w:lang w:val="pt-BR"/>
        </w:rPr>
        <w:t xml:space="preserve">Visualizing the Nation</w:t>
      </w:r>
      <w:r>
        <w:rPr>
          <w:lang w:val="pt-BR"/>
        </w:rPr>
        <w:t xml:space="preserve"> </w:t>
      </w:r>
      <w:r>
        <w:rPr>
          <w:lang w:val="pt-BR"/>
        </w:rPr>
        <w:t xml:space="preserve">(LANDES, 2001), analisa a iconografia republicana francesa, mas limita-se a um contexto nacional específico, sem comparabilidade transnacional. Lynn Hunt, em</w:t>
      </w:r>
      <w:r>
        <w:rPr>
          <w:lang w:val="pt-BR"/>
        </w:rPr>
        <w:t xml:space="preserve"> </w:t>
      </w:r>
      <w:r>
        <w:rPr>
          <w:i/>
          <w:iCs/>
          <w:lang w:val="pt-BR"/>
        </w:rPr>
        <w:t xml:space="preserve">Politics, Culture, and Class</w:t>
      </w:r>
      <w:r>
        <w:rPr>
          <w:lang w:val="pt-BR"/>
        </w:rPr>
        <w:t xml:space="preserve"> </w:t>
      </w:r>
      <w:r>
        <w:rPr>
          <w:lang w:val="pt-BR"/>
        </w:rPr>
        <w:t xml:space="preserve">(HUNT, 1984), examina Marianne como símbolo revolucionário, mas subestima a continuidade e a intensificação no século XIX. Maurice Agulhon, em</w:t>
      </w:r>
      <w:r>
        <w:rPr>
          <w:lang w:val="pt-BR"/>
        </w:rPr>
        <w:t xml:space="preserve"> </w:t>
      </w:r>
      <w:r>
        <w:rPr>
          <w:i/>
          <w:iCs/>
          <w:lang w:val="pt-BR"/>
        </w:rPr>
        <w:t xml:space="preserve">Marianne au combat</w:t>
      </w:r>
      <w:r>
        <w:rPr>
          <w:lang w:val="pt-BR"/>
        </w:rPr>
        <w:t xml:space="preserve"> </w:t>
      </w:r>
      <w:r>
        <w:rPr>
          <w:lang w:val="pt-BR"/>
        </w:rPr>
        <w:t xml:space="preserve">(1979) e</w:t>
      </w:r>
      <w:r>
        <w:rPr>
          <w:lang w:val="pt-BR"/>
        </w:rPr>
        <w:t xml:space="preserve"> </w:t>
      </w:r>
      <w:r>
        <w:rPr>
          <w:i/>
          <w:iCs/>
          <w:lang w:val="pt-BR"/>
        </w:rPr>
        <w:t xml:space="preserve">Marianne au pouvoir</w:t>
      </w:r>
      <w:r>
        <w:rPr>
          <w:lang w:val="pt-BR"/>
        </w:rPr>
        <w:t xml:space="preserve"> </w:t>
      </w:r>
      <w:r>
        <w:rPr>
          <w:lang w:val="pt-BR"/>
        </w:rPr>
        <w:t xml:space="preserve">(1989) (AGULHON, 1979; 1989), oferece uma história cultural detalhada, mas carece de um quadro teórico que articule imagem e poder.</w:t>
      </w:r>
    </w:p>
    <w:p>
      <w:pPr>
        <w:pStyle w:val="BodyText"/>
      </w:pPr>
      <w:r>
        <w:rPr>
          <w:lang w:val="pt-BR"/>
        </w:rPr>
        <w:t xml:space="preserve">Os estudos jurídico-feministas documentam a exclusão, de Carole Pateman sobre o contrato sexual (PATEMAN, 1993) a Joan Scott sobre os paradoxos da igualdade (SCOTT, 1996) e Martha Nussbaum sobre a objetificação (NUSSBAUM, 1995), mas não conectam sistematicamente a exclusão legal à hipervisibilidade alegórica. Os estudos de cultura visual, com Mitchell (MITCHELL, 1994) e Mirzoeff (MIRZOEFF, 1999), teorizam regimes escópicos, mas não examinam especificamente a articulação entre visualidade e a ordem jurídico-estatal. A história da arte política, com Peter Burke e Francis Haskell, cataloga iconografias sem interrogar as operações de gênero.</w:t>
      </w:r>
    </w:p>
    <w:p>
      <w:pPr>
        <w:pStyle w:val="BodyText"/>
      </w:pPr>
      <w:r>
        <w:rPr>
          <w:lang w:val="pt-BR"/>
        </w:rPr>
        <w:t xml:space="preserve">Uma lacuna emerge: nenhuma pesquisa articula sistematicamente três dimensões: o regime iconocrático (imagens que fabricam poder), o gênero (o corpo feminino como tecnologia de governo) e o Direito (o acoplamento de visualidade e normatividade). Esta tese posiciona-se precisamente nessa interseção teórica negligenciada.</w:t>
      </w:r>
    </w:p>
    <w:bookmarkEnd w:id="14"/>
    <w:bookmarkStart w:id="15" w:name="a-iconocracia-como-chave-do-problema"/>
    <w:p>
      <w:pPr>
        <w:pStyle w:val="Heading4"/>
      </w:pPr>
      <w:r>
        <w:rPr>
          <w:rStyle w:val="SectionNumber"/>
          <w:lang w:val="pt-BR"/>
        </w:rPr>
        <w:t xml:space="preserve">1.1.2.3</w:t>
      </w:r>
      <w:r>
        <w:tab/>
      </w:r>
      <w:r>
        <w:rPr>
          <w:i/>
          <w:iCs/>
          <w:lang w:val="pt-BR"/>
        </w:rPr>
        <w:t xml:space="preserve">A iconocracia como chave do problema</w:t>
      </w:r>
    </w:p>
    <w:p>
      <w:pPr>
        <w:pStyle w:val="FirstParagraph"/>
      </w:pPr>
      <w:r>
        <w:rPr>
          <w:lang w:val="pt-BR"/>
        </w:rPr>
        <w:t xml:space="preserve">O conceito de iconocracia, inspirado em Marie-José Mondzain (2002), mas expandido para além do contexto bizantino, oferece uma chave analítica. Iconocracia designa um regime em que as imagens não apenas acompanham o poder; elas o fabricam ativamente. Não se trata de propaganda, que pressupõe um poder preexistente em busca de apoio, nem de ideologia, que pressupõe uma falsa consciência que encobre a realidade. A iconocracia opera por</w:t>
      </w:r>
      <w:r>
        <w:rPr>
          <w:lang w:val="pt-BR"/>
        </w:rPr>
        <w:t xml:space="preserve"> </w:t>
      </w:r>
      <w:r>
        <w:rPr>
          <w:i/>
          <w:iCs/>
          <w:lang w:val="pt-BR"/>
        </w:rPr>
        <w:t xml:space="preserve">precedência</w:t>
      </w:r>
      <w:r>
        <w:rPr>
          <w:lang w:val="pt-BR"/>
        </w:rPr>
        <w:t xml:space="preserve">: a imagem precede e engendra a realidade política que pretende representar.</w:t>
      </w:r>
    </w:p>
    <w:p>
      <w:pPr>
        <w:pStyle w:val="BodyText"/>
      </w:pPr>
      <w:r>
        <w:rPr>
          <w:lang w:val="pt-BR"/>
        </w:rPr>
        <w:t xml:space="preserve">Três características definem o regime iconocrático moderno. A primeira é a produção de simulacros: imagens sem referentes que circulam autonomamente, fabricando efeitos de realidade. A feminilidade de Estado não representa mulheres concretas; constitui um simulacro puro que substitui a possibilidade de presença real. A segunda é a institucionalização de regimes escópicos, a organização dos modos de visualização por meio de suportes e espaços. O Estado gerencia ativamente onde, como e quando os cidadãos encontram alegorias: ubiquidade íntima (moedas, selos), verticalidade monumental (estátuas, tribunais) e teatralidade ritualística (cerimônias). A terceira é a distribuição de reconhecimento simbólico não recíproco: a alegoria oferece às mulheres o máximo de reconhecimento visual sem subjetivação política, operando uma dialética pervertida do reconhecimento.</w:t>
      </w:r>
    </w:p>
    <w:p>
      <w:pPr>
        <w:pStyle w:val="BodyText"/>
      </w:pPr>
      <w:r>
        <w:rPr>
          <w:lang w:val="pt-BR"/>
        </w:rPr>
        <w:t xml:space="preserve">A iconocracia resolve o paradoxo: a hipervisibilidade alegórica não contradiz a exclusão cívica; ela a sustenta, a mascara e a naturaliza. A presença simbólica intensificada opera um assassinato simbólico: cada iteração alegórica performa ritualisticamente a impossibilidade das mulheres reais como sujeitos políticos. O regime iconocrático necessita de um corpo feminino purificado precisamente porque pode esvaziá-lo de agência, transformando-o em um invólucro universal para conceitos político-jurídicos.</w:t>
      </w:r>
    </w:p>
    <w:p>
      <w:r>
        <w:pict>
          <v:rect style="width:0;height:1.5pt" o:hralign="center" o:hrstd="t" o:hr="t"/>
        </w:pict>
      </w:r>
    </w:p>
    <w:bookmarkEnd w:id="15"/>
    <w:bookmarkEnd w:id="16"/>
    <w:bookmarkStart w:id="20" w:name="X102147192d1ffa61791cff41017581fbec4a291"/>
    <w:p>
      <w:pPr>
        <w:pStyle w:val="Heading3"/>
      </w:pPr>
      <w:r>
        <w:rPr>
          <w:rStyle w:val="SectionNumber"/>
          <w:lang w:val="pt-BR"/>
        </w:rPr>
        <w:t xml:space="preserve">1.1.3</w:t>
      </w:r>
      <w:r>
        <w:tab/>
      </w:r>
      <w:r>
        <w:rPr>
          <w:lang w:val="pt-BR"/>
        </w:rPr>
        <w:t xml:space="preserve">I.3 Hipótese e tese central: a iconocracia como produção de legitimidade sensível</w:t>
      </w:r>
    </w:p>
    <w:bookmarkStart w:id="17" w:name="hipótese-geral"/>
    <w:p>
      <w:pPr>
        <w:pStyle w:val="Heading4"/>
      </w:pPr>
      <w:r>
        <w:rPr>
          <w:rStyle w:val="SectionNumber"/>
          <w:lang w:val="pt-BR"/>
        </w:rPr>
        <w:t xml:space="preserve">1.1.3.1</w:t>
      </w:r>
      <w:r>
        <w:tab/>
      </w:r>
      <w:r>
        <w:rPr>
          <w:i/>
          <w:iCs/>
          <w:lang w:val="pt-BR"/>
        </w:rPr>
        <w:t xml:space="preserve">Hipótese geral</w:t>
      </w:r>
    </w:p>
    <w:p>
      <w:pPr>
        <w:pStyle w:val="FirstParagraph"/>
      </w:pPr>
      <w:r>
        <w:rPr>
          <w:lang w:val="pt-BR"/>
        </w:rPr>
        <w:t xml:space="preserve">A hipótese que guia esta pesquisa sustenta que as alegorias femininas oficiais e reiteradas entre os séculos XIX e XX nos dispositivos estatais e jurídicos, moedas, selos, brasões, monumentos, arquitetura forense e paratextos normativos, constituem um</w:t>
      </w:r>
      <w:r>
        <w:rPr>
          <w:lang w:val="pt-BR"/>
        </w:rPr>
        <w:t xml:space="preserve"> </w:t>
      </w:r>
      <w:r>
        <w:rPr>
          <w:b/>
          <w:bCs/>
          <w:lang w:val="pt-BR"/>
        </w:rPr>
        <w:t xml:space="preserve">regime iconocrático</w:t>
      </w:r>
      <w:r>
        <w:rPr>
          <w:lang w:val="pt-BR"/>
        </w:rPr>
        <w:t xml:space="preserve"> </w:t>
      </w:r>
      <w:r>
        <w:rPr>
          <w:lang w:val="pt-BR"/>
        </w:rPr>
        <w:t xml:space="preserve">em que a imagem não apenas acompanha o poder, mas o fabrica sensivelmente. Essa fabricação opera pela produção da feminilidade de Estado como simulacro circulante; pela organização de regimes escópicos específicos por suporte e espaço; pela distribuição de reconhecimento simbólico sem reciprocidade política; e pela reativação intensa em contextos de crise. O mecanismo central é a</w:t>
      </w:r>
      <w:r>
        <w:rPr>
          <w:lang w:val="pt-BR"/>
        </w:rPr>
        <w:t xml:space="preserve"> </w:t>
      </w:r>
      <w:r>
        <w:rPr>
          <w:b/>
          <w:bCs/>
          <w:lang w:val="pt-BR"/>
        </w:rPr>
        <w:t xml:space="preserve">purificação do corpo alegórico</w:t>
      </w:r>
      <w:r>
        <w:rPr>
          <w:lang w:val="pt-BR"/>
        </w:rPr>
        <w:t xml:space="preserve">, esvaziamento de subjetividade, e a</w:t>
      </w:r>
      <w:r>
        <w:rPr>
          <w:lang w:val="pt-BR"/>
        </w:rPr>
        <w:t xml:space="preserve"> </w:t>
      </w:r>
      <w:r>
        <w:rPr>
          <w:b/>
          <w:bCs/>
          <w:lang w:val="pt-BR"/>
        </w:rPr>
        <w:t xml:space="preserve">repetição performativa</w:t>
      </w:r>
      <w:r>
        <w:rPr>
          <w:lang w:val="pt-BR"/>
        </w:rPr>
        <w:t xml:space="preserve">, iteração ritualística em múltiplas escalas, sustentando, naturalizando e mascarando a contradição estrutural entre a hiperpresença do feminino nas imagens e a exclusão cívica das mulheres.</w:t>
      </w:r>
    </w:p>
    <w:p>
      <w:pPr>
        <w:pStyle w:val="BodyText"/>
      </w:pPr>
      <w:r>
        <w:rPr>
          <w:lang w:val="pt-BR"/>
        </w:rPr>
        <w:t xml:space="preserve">Postula-se, ademais, que esse mecanismo se intensifica em momentos de crise mediante o</w:t>
      </w:r>
      <w:r>
        <w:rPr>
          <w:lang w:val="pt-BR"/>
        </w:rPr>
        <w:t xml:space="preserve"> </w:t>
      </w:r>
      <w:r>
        <w:rPr>
          <w:b/>
          <w:bCs/>
          <w:lang w:val="pt-BR"/>
        </w:rPr>
        <w:t xml:space="preserve">endurecimento</w:t>
      </w:r>
      <w:r>
        <w:rPr>
          <w:lang w:val="pt-BR"/>
        </w:rPr>
        <w:t xml:space="preserve"> </w:t>
      </w:r>
      <w:r>
        <w:rPr>
          <w:lang w:val="pt-BR"/>
        </w:rPr>
        <w:t xml:space="preserve">militar e a purificação clássica do corpo, mantendo intacta a fraternidade masculina do Estado-nação sob um</w:t>
      </w:r>
      <w:r>
        <w:rPr>
          <w:lang w:val="pt-BR"/>
        </w:rPr>
        <w:t xml:space="preserve"> </w:t>
      </w:r>
      <w:r>
        <w:rPr>
          <w:lang w:val="pt-BR"/>
        </w:rPr>
        <w:t xml:space="preserve">“rosto de mulher”</w:t>
      </w:r>
      <w:r>
        <w:rPr>
          <w:lang w:val="pt-BR"/>
        </w:rPr>
        <w:t xml:space="preserve">. As variações morfológicas das alegorias, exposição da carne, militarização, classicização, não são arbitrárias; respondem de modo sistemático às crises de soberania e às mudanças de regime político.</w:t>
      </w:r>
    </w:p>
    <w:bookmarkEnd w:id="17"/>
    <w:bookmarkStart w:id="18" w:name="tese-central-o-contrato-sexual-visual"/>
    <w:p>
      <w:pPr>
        <w:pStyle w:val="Heading4"/>
      </w:pPr>
      <w:r>
        <w:rPr>
          <w:rStyle w:val="SectionNumber"/>
          <w:lang w:val="pt-BR"/>
        </w:rPr>
        <w:t xml:space="preserve">1.1.3.2</w:t>
      </w:r>
      <w:r>
        <w:tab/>
      </w:r>
      <w:r>
        <w:rPr>
          <w:i/>
          <w:iCs/>
          <w:lang w:val="pt-BR"/>
        </w:rPr>
        <w:t xml:space="preserve">Tese central: o Contrato Sexual Visual</w:t>
      </w:r>
    </w:p>
    <w:p>
      <w:pPr>
        <w:pStyle w:val="FirstParagraph"/>
      </w:pPr>
      <w:r>
        <w:rPr>
          <w:lang w:val="pt-BR"/>
        </w:rPr>
        <w:t xml:space="preserve">A tese central é formulada como</w:t>
      </w:r>
      <w:r>
        <w:rPr>
          <w:lang w:val="pt-BR"/>
        </w:rPr>
        <w:t xml:space="preserve"> </w:t>
      </w:r>
      <w:r>
        <w:rPr>
          <w:b/>
          <w:bCs/>
          <w:lang w:val="pt-BR"/>
        </w:rPr>
        <w:t xml:space="preserve">Contrato Sexual Visual</w:t>
      </w:r>
      <w:r>
        <w:rPr>
          <w:lang w:val="pt-BR"/>
        </w:rPr>
        <w:t xml:space="preserve">: uma configuração em que a presença simbólica fabricada opera como justificação para a ausência política concreta. A feminilidade de Estado elevada a guardiã alegórica da ordem justifica, por contraste deliberado, o confinamento das mulheres reais à esfera doméstica ou subordinada. O contrato não é mera contradição ou hipocrisia; é um mecanismo ideológico ativo. O simulacro controlado opera como prova visual de que a ordem política já conta com as mulheres em seu lugar adequado: idealizadas, purificadas, desprovidas de agência perturbadora.</w:t>
      </w:r>
    </w:p>
    <w:p>
      <w:pPr>
        <w:pStyle w:val="BodyText"/>
      </w:pPr>
      <w:r>
        <w:rPr>
          <w:lang w:val="pt-BR"/>
        </w:rPr>
        <w:t xml:space="preserve">Essa formulação dialoga com Carole Pateman (PATEMAN, 1993), que demonstrou que o contrato social moderno pressupõe um contrato sexual anterior: a subordinação das mulheres como condição de possibilidade da fraternidade entre os homens. Esta tese estende o argumento de Pateman ao registro visual: o contrato sexual não opera apenas pela exclusão jurídico-política; é visualmente performado pela inclusão alegórica. A exclusão real é mascarada pela presença simbólica, dificultando a contestação. Como reivindicar que as mulheres estão ausentes quando o corpo feminino governa alegoricamente?</w:t>
      </w:r>
    </w:p>
    <w:p>
      <w:pPr>
        <w:pStyle w:val="BodyText"/>
      </w:pPr>
      <w:r>
        <w:rPr>
          <w:lang w:val="pt-BR"/>
        </w:rPr>
        <w:t xml:space="preserve">O Contrato Sexual Visual opera em quatro modalidades integradas,</w:t>
      </w:r>
      <w:r>
        <w:rPr>
          <w:lang w:val="pt-BR"/>
        </w:rPr>
        <w:t xml:space="preserve"> </w:t>
      </w:r>
      <w:r>
        <w:rPr>
          <w:b/>
          <w:bCs/>
          <w:lang w:val="pt-BR"/>
        </w:rPr>
        <w:t xml:space="preserve">substituição</w:t>
      </w:r>
      <w:r>
        <w:rPr>
          <w:lang w:val="pt-BR"/>
        </w:rPr>
        <w:t xml:space="preserve"> </w:t>
      </w:r>
      <w:r>
        <w:rPr>
          <w:lang w:val="pt-BR"/>
        </w:rPr>
        <w:t xml:space="preserve">da presença real pela simbólica,</w:t>
      </w:r>
      <w:r>
        <w:rPr>
          <w:lang w:val="pt-BR"/>
        </w:rPr>
        <w:t xml:space="preserve"> </w:t>
      </w:r>
      <w:r>
        <w:rPr>
          <w:b/>
          <w:bCs/>
          <w:lang w:val="pt-BR"/>
        </w:rPr>
        <w:t xml:space="preserve">naturalização</w:t>
      </w:r>
      <w:r>
        <w:rPr>
          <w:lang w:val="pt-BR"/>
        </w:rPr>
        <w:t xml:space="preserve"> </w:t>
      </w:r>
      <w:r>
        <w:rPr>
          <w:lang w:val="pt-BR"/>
        </w:rPr>
        <w:t xml:space="preserve">pela repetição massiva em moedas, selos e monumentos,</w:t>
      </w:r>
      <w:r>
        <w:rPr>
          <w:lang w:val="pt-BR"/>
        </w:rPr>
        <w:t xml:space="preserve"> </w:t>
      </w:r>
      <w:r>
        <w:rPr>
          <w:b/>
          <w:bCs/>
          <w:lang w:val="pt-BR"/>
        </w:rPr>
        <w:t xml:space="preserve">sacralização</w:t>
      </w:r>
      <w:r>
        <w:rPr>
          <w:lang w:val="pt-BR"/>
        </w:rPr>
        <w:t xml:space="preserve"> </w:t>
      </w:r>
      <w:r>
        <w:rPr>
          <w:lang w:val="pt-BR"/>
        </w:rPr>
        <w:t xml:space="preserve">da figura feminina num plano ideal apartado da política mundana, e</w:t>
      </w:r>
      <w:r>
        <w:rPr>
          <w:lang w:val="pt-BR"/>
        </w:rPr>
        <w:t xml:space="preserve"> </w:t>
      </w:r>
      <w:r>
        <w:rPr>
          <w:b/>
          <w:bCs/>
          <w:lang w:val="pt-BR"/>
        </w:rPr>
        <w:t xml:space="preserve">pedagogia</w:t>
      </w:r>
      <w:r>
        <w:rPr>
          <w:lang w:val="pt-BR"/>
        </w:rPr>
        <w:t xml:space="preserve"> </w:t>
      </w:r>
      <w:r>
        <w:rPr>
          <w:lang w:val="pt-BR"/>
        </w:rPr>
        <w:t xml:space="preserve">da percepção desde a infância. O Capítulo 1 articula cada uma dessas modalidades em detalhe a partir da síntese de Pateman e Goodrich.</w:t>
      </w:r>
    </w:p>
    <w:bookmarkEnd w:id="18"/>
    <w:bookmarkStart w:id="19" w:name="fundamentos-teóricos"/>
    <w:p>
      <w:pPr>
        <w:pStyle w:val="Heading4"/>
      </w:pPr>
      <w:r>
        <w:rPr>
          <w:rStyle w:val="SectionNumber"/>
          <w:lang w:val="pt-BR"/>
        </w:rPr>
        <w:t xml:space="preserve">1.1.3.3</w:t>
      </w:r>
      <w:r>
        <w:tab/>
      </w:r>
      <w:r>
        <w:rPr>
          <w:i/>
          <w:iCs/>
          <w:lang w:val="pt-BR"/>
        </w:rPr>
        <w:t xml:space="preserve">Fundamentos teóricos</w:t>
      </w:r>
    </w:p>
    <w:p>
      <w:pPr>
        <w:pStyle w:val="FirstParagraph"/>
      </w:pPr>
      <w:r>
        <w:rPr>
          <w:lang w:val="pt-BR"/>
        </w:rPr>
        <w:t xml:space="preserve">A tese assenta-se em três eixos teóricos, desenvolvidos em profundidade na Parte I.</w:t>
      </w:r>
    </w:p>
    <w:p>
      <w:pPr>
        <w:pStyle w:val="BodyText"/>
      </w:pPr>
      <w:r>
        <w:rPr>
          <w:lang w:val="pt-BR"/>
        </w:rPr>
        <w:t xml:space="preserve">O</w:t>
      </w:r>
      <w:r>
        <w:rPr>
          <w:lang w:val="pt-BR"/>
        </w:rPr>
        <w:t xml:space="preserve"> </w:t>
      </w:r>
      <w:r>
        <w:rPr>
          <w:b/>
          <w:bCs/>
          <w:lang w:val="pt-BR"/>
        </w:rPr>
        <w:t xml:space="preserve">primeiro eixo</w:t>
      </w:r>
      <w:r>
        <w:rPr>
          <w:lang w:val="pt-BR"/>
        </w:rPr>
        <w:t xml:space="preserve"> </w:t>
      </w:r>
      <w:r>
        <w:rPr>
          <w:lang w:val="pt-BR"/>
        </w:rPr>
        <w:t xml:space="preserve">é a crítica feminista do contratualismo. Carole Pateman demonstrou que o contrato social clássico (Hobbes, Locke, Rousseau) pressupõe um contrato sexual que subordina as mulheres como condição da fraternidade entre homens. Esta tese estende o argumento de Pateman ao registro visual, propondo que o contrato sexual não opera apenas pela exclusão jurídico-política, mas é visualmente performado pela inclusão alegórica. O Capítulo 1 reconstrói esse argumento e identifica o</w:t>
      </w:r>
      <w:r>
        <w:rPr>
          <w:lang w:val="pt-BR"/>
        </w:rPr>
        <w:t xml:space="preserve"> </w:t>
      </w:r>
      <w:r>
        <w:rPr>
          <w:lang w:val="pt-BR"/>
        </w:rPr>
        <w:t xml:space="preserve">“ponto cego visual”</w:t>
      </w:r>
      <w:r>
        <w:rPr>
          <w:lang w:val="pt-BR"/>
        </w:rPr>
        <w:t xml:space="preserve"> </w:t>
      </w:r>
      <w:r>
        <w:rPr>
          <w:lang w:val="pt-BR"/>
        </w:rPr>
        <w:t xml:space="preserve">de Pateman, a ausência de qualquer análise da dimensão iconográfica na teoria do contrato sexual.</w:t>
      </w:r>
    </w:p>
    <w:p>
      <w:pPr>
        <w:pStyle w:val="BodyText"/>
      </w:pPr>
      <w:r>
        <w:rPr>
          <w:lang w:val="pt-BR"/>
        </w:rPr>
        <w:t xml:space="preserve">O</w:t>
      </w:r>
      <w:r>
        <w:rPr>
          <w:lang w:val="pt-BR"/>
        </w:rPr>
        <w:t xml:space="preserve"> </w:t>
      </w:r>
      <w:r>
        <w:rPr>
          <w:b/>
          <w:bCs/>
          <w:lang w:val="pt-BR"/>
        </w:rPr>
        <w:t xml:space="preserve">segundo eixo</w:t>
      </w:r>
      <w:r>
        <w:rPr>
          <w:lang w:val="pt-BR"/>
        </w:rPr>
        <w:t xml:space="preserve"> </w:t>
      </w:r>
      <w:r>
        <w:rPr>
          <w:lang w:val="pt-BR"/>
        </w:rPr>
        <w:t xml:space="preserve">é a teoria da visiocracia e da iconocracia. Peter Goodrich demonstrou que o Direito opera como sistema de imagens antes de operar como sistema de normas, recuperando a tradição do</w:t>
      </w:r>
      <w:r>
        <w:rPr>
          <w:lang w:val="pt-BR"/>
        </w:rPr>
        <w:t xml:space="preserve"> </w:t>
      </w:r>
      <w:r>
        <w:rPr>
          <w:i/>
          <w:iCs/>
          <w:lang w:val="pt-BR"/>
        </w:rPr>
        <w:t xml:space="preserve">ius imaginum</w:t>
      </w:r>
      <w:r>
        <w:rPr>
          <w:lang w:val="pt-BR"/>
        </w:rPr>
        <w:t xml:space="preserve"> </w:t>
      </w:r>
      <w:r>
        <w:rPr>
          <w:lang w:val="pt-BR"/>
        </w:rPr>
        <w:t xml:space="preserve">romano e a teoria do Terceiro de Pierre Legendre. Marie-José Mondzain demonstrou que a gestão estratégica da imagem constitui uma forma de governo cuja genealogia remonta à querela iconoclasta bizantina. O Capítulo 2 articula essas duas perspectivas e introduz os conceitos operacionais de</w:t>
      </w:r>
      <w:r>
        <w:rPr>
          <w:lang w:val="pt-BR"/>
        </w:rPr>
        <w:t xml:space="preserve"> </w:t>
      </w:r>
      <w:r>
        <w:rPr>
          <w:b/>
          <w:bCs/>
          <w:lang w:val="pt-BR"/>
        </w:rPr>
        <w:t xml:space="preserve">Feminilidade de Estado</w:t>
      </w:r>
      <w:r>
        <w:rPr>
          <w:lang w:val="pt-BR"/>
        </w:rPr>
        <w:t xml:space="preserve"> </w:t>
      </w:r>
      <w:r>
        <w:rPr>
          <w:lang w:val="pt-BR"/>
        </w:rPr>
        <w:t xml:space="preserve">e</w:t>
      </w:r>
      <w:r>
        <w:rPr>
          <w:lang w:val="pt-BR"/>
        </w:rPr>
        <w:t xml:space="preserve"> </w:t>
      </w:r>
      <w:r>
        <w:rPr>
          <w:b/>
          <w:bCs/>
          <w:lang w:val="pt-BR"/>
        </w:rPr>
        <w:t xml:space="preserve">regimes iconocráticos</w:t>
      </w:r>
      <w:r>
        <w:rPr>
          <w:lang w:val="pt-BR"/>
        </w:rPr>
        <w:t xml:space="preserve"> </w:t>
      </w:r>
      <w:r>
        <w:rPr>
          <w:lang w:val="pt-BR"/>
        </w:rPr>
        <w:t xml:space="preserve">(Fundacional, Normativo, Militar).</w:t>
      </w:r>
    </w:p>
    <w:p>
      <w:pPr>
        <w:pStyle w:val="BodyText"/>
      </w:pPr>
      <w:r>
        <w:rPr>
          <w:lang w:val="pt-BR"/>
        </w:rPr>
        <w:t xml:space="preserve">O</w:t>
      </w:r>
      <w:r>
        <w:rPr>
          <w:lang w:val="pt-BR"/>
        </w:rPr>
        <w:t xml:space="preserve"> </w:t>
      </w:r>
      <w:r>
        <w:rPr>
          <w:b/>
          <w:bCs/>
          <w:lang w:val="pt-BR"/>
        </w:rPr>
        <w:t xml:space="preserve">terceiro eixo</w:t>
      </w:r>
      <w:r>
        <w:rPr>
          <w:lang w:val="pt-BR"/>
        </w:rPr>
        <w:t xml:space="preserve"> </w:t>
      </w:r>
      <w:r>
        <w:rPr>
          <w:lang w:val="pt-BR"/>
        </w:rPr>
        <w:t xml:space="preserve">é o método warburguiano de montagem e a teoria da sobrevivência das formas (</w:t>
      </w:r>
      <w:r>
        <w:rPr>
          <w:i/>
          <w:iCs/>
          <w:lang w:val="pt-BR"/>
        </w:rPr>
        <w:t xml:space="preserve">Nachleben</w:t>
      </w:r>
      <w:r>
        <w:rPr>
          <w:lang w:val="pt-BR"/>
        </w:rPr>
        <w:t xml:space="preserve">). Aby Warburg demonstrou que certas fórmulas visuais carregadas de emoção (</w:t>
      </w:r>
      <w:r>
        <w:rPr>
          <w:i/>
          <w:iCs/>
          <w:lang w:val="pt-BR"/>
        </w:rPr>
        <w:t xml:space="preserve">Pathosformeln</w:t>
      </w:r>
      <w:r>
        <w:rPr>
          <w:lang w:val="pt-BR"/>
        </w:rPr>
        <w:t xml:space="preserve">) sobrevivem e se transformam ao longo da história, reaparecendo em contextos radicalmente diferentes (WARBURG, 2000). O Atlas Mnemosyne, seu último e inacabado projeto, propõe a montagem como forma de pensamento que revela relações invisíveis à análise linear. O Capítulo 2 mobiliza esse método, desenvolvido por Agamben no domínio das formas sobreviventes (AGAMBEN, 2007), para explicar a persistência transhistórica das alegorias femininas jurídicas; os Capítulos 8–9 o operacionalizam na construção do Atlas Iconocrático.</w:t>
      </w:r>
    </w:p>
    <w:p>
      <w:r>
        <w:pict>
          <v:rect style="width:0;height:1.5pt" o:hralign="center" o:hrstd="t" o:hr="t"/>
        </w:pict>
      </w:r>
    </w:p>
    <w:bookmarkEnd w:id="19"/>
    <w:bookmarkEnd w:id="20"/>
    <w:bookmarkStart w:id="23" w:name="i.4-perguntas-de-pesquisa-e-objetivos"/>
    <w:p>
      <w:pPr>
        <w:pStyle w:val="Heading3"/>
      </w:pPr>
      <w:r>
        <w:rPr>
          <w:rStyle w:val="SectionNumber"/>
          <w:lang w:val="pt-BR"/>
        </w:rPr>
        <w:t xml:space="preserve">1.1.4</w:t>
      </w:r>
      <w:r>
        <w:tab/>
      </w:r>
      <w:r>
        <w:rPr>
          <w:lang w:val="pt-BR"/>
        </w:rPr>
        <w:t xml:space="preserve">I.4 Perguntas de pesquisa e objetivos</w:t>
      </w:r>
    </w:p>
    <w:bookmarkStart w:id="21" w:name="pergunta-central-e-sub-perguntas"/>
    <w:p>
      <w:pPr>
        <w:pStyle w:val="Heading4"/>
      </w:pPr>
      <w:r>
        <w:rPr>
          <w:rStyle w:val="SectionNumber"/>
          <w:lang w:val="pt-BR"/>
        </w:rPr>
        <w:t xml:space="preserve">1.1.4.1</w:t>
      </w:r>
      <w:r>
        <w:tab/>
      </w:r>
      <w:r>
        <w:rPr>
          <w:i/>
          <w:iCs/>
          <w:lang w:val="pt-BR"/>
        </w:rPr>
        <w:t xml:space="preserve">Pergunta central e sub-perguntas</w:t>
      </w:r>
    </w:p>
    <w:p>
      <w:pPr>
        <w:pStyle w:val="FirstParagraph"/>
      </w:pPr>
      <w:r>
        <w:rPr>
          <w:lang w:val="pt-BR"/>
        </w:rPr>
        <w:t xml:space="preserve">A pergunta central desta pesquisa é: como o regime iconocrático operacionaliza a alegoria feminina como uma extensão do</w:t>
      </w:r>
      <w:r>
        <w:rPr>
          <w:lang w:val="pt-BR"/>
        </w:rPr>
        <w:t xml:space="preserve"> </w:t>
      </w:r>
      <w:r>
        <w:rPr>
          <w:lang w:val="pt-BR"/>
        </w:rPr>
        <w:t xml:space="preserve">“contrato sexual”</w:t>
      </w:r>
      <w:r>
        <w:rPr>
          <w:lang w:val="pt-BR"/>
        </w:rPr>
        <w:t xml:space="preserve">, oferecendo reconhecimento simbólico em substituição à reciprocidade política?</w:t>
      </w:r>
    </w:p>
    <w:p>
      <w:pPr>
        <w:pStyle w:val="BodyText"/>
      </w:pPr>
      <w:r>
        <w:rPr>
          <w:lang w:val="pt-BR"/>
        </w:rPr>
        <w:t xml:space="preserve">A partir dessa pergunta central, duas sub-perguntas estruturam o desenvolvimento empírico da investigação.</w:t>
      </w:r>
    </w:p>
    <w:p>
      <w:pPr>
        <w:pStyle w:val="BodyText"/>
      </w:pPr>
      <w:r>
        <w:rPr>
          <w:lang w:val="pt-BR"/>
        </w:rPr>
        <w:t xml:space="preserve">A</w:t>
      </w:r>
      <w:r>
        <w:rPr>
          <w:lang w:val="pt-BR"/>
        </w:rPr>
        <w:t xml:space="preserve"> </w:t>
      </w:r>
      <w:r>
        <w:rPr>
          <w:b/>
          <w:bCs/>
          <w:lang w:val="pt-BR"/>
        </w:rPr>
        <w:t xml:space="preserve">sub-pergunta 1</w:t>
      </w:r>
      <w:r>
        <w:rPr>
          <w:lang w:val="pt-BR"/>
        </w:rPr>
        <w:t xml:space="preserve"> </w:t>
      </w:r>
      <w:r>
        <w:rPr>
          <w:lang w:val="pt-BR"/>
        </w:rPr>
        <w:t xml:space="preserve">indaga: de que forma as variações morfológicas do corpo alegórico, exposição da carne, militarização, purificação clássica, reagem a crises de soberania e a mudanças de regime político? Essa dimensão investiga a sensibilidade temporal do regime iconocrático, testando a hipótese do</w:t>
      </w:r>
      <w:r>
        <w:rPr>
          <w:lang w:val="pt-BR"/>
        </w:rPr>
        <w:t xml:space="preserve"> </w:t>
      </w:r>
      <w:r>
        <w:rPr>
          <w:b/>
          <w:bCs/>
          <w:lang w:val="pt-BR"/>
        </w:rPr>
        <w:t xml:space="preserve">endurecimento</w:t>
      </w:r>
      <w:r>
        <w:rPr>
          <w:lang w:val="pt-BR"/>
        </w:rPr>
        <w:t xml:space="preserve"> </w:t>
      </w:r>
      <w:r>
        <w:rPr>
          <w:lang w:val="pt-BR"/>
        </w:rPr>
        <w:t xml:space="preserve">em contextos de guerra, revolução e instabilidade constitucional.</w:t>
      </w:r>
    </w:p>
    <w:p>
      <w:pPr>
        <w:pStyle w:val="BodyText"/>
      </w:pPr>
      <w:r>
        <w:rPr>
          <w:lang w:val="pt-BR"/>
        </w:rPr>
        <w:t xml:space="preserve">A</w:t>
      </w:r>
      <w:r>
        <w:rPr>
          <w:lang w:val="pt-BR"/>
        </w:rPr>
        <w:t xml:space="preserve"> </w:t>
      </w:r>
      <w:r>
        <w:rPr>
          <w:b/>
          <w:bCs/>
          <w:lang w:val="pt-BR"/>
        </w:rPr>
        <w:t xml:space="preserve">sub-pergunta 2</w:t>
      </w:r>
      <w:r>
        <w:rPr>
          <w:lang w:val="pt-BR"/>
        </w:rPr>
        <w:t xml:space="preserve"> </w:t>
      </w:r>
      <w:r>
        <w:rPr>
          <w:lang w:val="pt-BR"/>
        </w:rPr>
        <w:t xml:space="preserve">interroga: como a transposição do cânone clássico europeu para o Brasil engendra um</w:t>
      </w:r>
      <w:r>
        <w:rPr>
          <w:lang w:val="pt-BR"/>
        </w:rPr>
        <w:t xml:space="preserve"> </w:t>
      </w:r>
      <w:r>
        <w:rPr>
          <w:lang w:val="pt-BR"/>
        </w:rPr>
        <w:t xml:space="preserve">“contrato racial visual”</w:t>
      </w:r>
      <w:r>
        <w:rPr>
          <w:lang w:val="pt-BR"/>
        </w:rPr>
        <w:t xml:space="preserve"> </w:t>
      </w:r>
      <w:r>
        <w:rPr>
          <w:lang w:val="pt-BR"/>
        </w:rPr>
        <w:t xml:space="preserve">que invisibiliza normatividades não hegemônicas? Essa dimensão desloca o Brasil de mero receptor de modelos europeus para um nó analítico que revela a</w:t>
      </w:r>
      <w:r>
        <w:rPr>
          <w:lang w:val="pt-BR"/>
        </w:rPr>
        <w:t xml:space="preserve"> </w:t>
      </w:r>
      <w:r>
        <w:rPr>
          <w:lang w:val="pt-BR"/>
        </w:rPr>
        <w:t xml:space="preserve">“colonialidade do ver”</w:t>
      </w:r>
      <w:r>
        <w:rPr>
          <w:lang w:val="pt-BR"/>
        </w:rPr>
        <w:t xml:space="preserve"> </w:t>
      </w:r>
      <w:r>
        <w:rPr>
          <w:lang w:val="pt-BR"/>
        </w:rPr>
        <w:t xml:space="preserve">nas instituições jurídicas, examinando como as especificidades da sociedade escravocrata e pós-colonial modulam o regime iconocrático.</w:t>
      </w:r>
    </w:p>
    <w:bookmarkEnd w:id="21"/>
    <w:bookmarkStart w:id="22" w:name="objetivo-geral-e-objetivos-específicos"/>
    <w:p>
      <w:pPr>
        <w:pStyle w:val="Heading4"/>
      </w:pPr>
      <w:r>
        <w:rPr>
          <w:rStyle w:val="SectionNumber"/>
          <w:lang w:val="pt-BR"/>
        </w:rPr>
        <w:t xml:space="preserve">1.1.4.2</w:t>
      </w:r>
      <w:r>
        <w:tab/>
      </w:r>
      <w:r>
        <w:rPr>
          <w:i/>
          <w:iCs/>
          <w:lang w:val="pt-BR"/>
        </w:rPr>
        <w:t xml:space="preserve">Objetivo geral e objetivos específicos</w:t>
      </w:r>
    </w:p>
    <w:p>
      <w:pPr>
        <w:pStyle w:val="FirstParagraph"/>
      </w:pPr>
      <w:r>
        <w:rPr>
          <w:lang w:val="pt-BR"/>
        </w:rPr>
        <w:t xml:space="preserve">O</w:t>
      </w:r>
      <w:r>
        <w:rPr>
          <w:lang w:val="pt-BR"/>
        </w:rPr>
        <w:t xml:space="preserve"> </w:t>
      </w:r>
      <w:r>
        <w:rPr>
          <w:b/>
          <w:bCs/>
          <w:lang w:val="pt-BR"/>
        </w:rPr>
        <w:t xml:space="preserve">objetivo geral</w:t>
      </w:r>
      <w:r>
        <w:rPr>
          <w:lang w:val="pt-BR"/>
        </w:rPr>
        <w:t xml:space="preserve"> </w:t>
      </w:r>
      <w:r>
        <w:rPr>
          <w:lang w:val="pt-BR"/>
        </w:rPr>
        <w:t xml:space="preserve">desta tese é analisar, mensurar e sintetizar comparativamente os mecanismos do regime iconocrático na cultura jurídica ocidental, demonstrando a vigência do contrato sexual e racial visual por meio de métodos mistos.</w:t>
      </w:r>
    </w:p>
    <w:p>
      <w:pPr>
        <w:pStyle w:val="BodyText"/>
      </w:pPr>
      <w:r>
        <w:rPr>
          <w:lang w:val="pt-BR"/>
        </w:rPr>
        <w:t xml:space="preserve">São quatro os</w:t>
      </w:r>
      <w:r>
        <w:rPr>
          <w:lang w:val="pt-BR"/>
        </w:rPr>
        <w:t xml:space="preserve"> </w:t>
      </w:r>
      <w:r>
        <w:rPr>
          <w:b/>
          <w:bCs/>
          <w:lang w:val="pt-BR"/>
        </w:rPr>
        <w:t xml:space="preserve">objetivos específicos</w:t>
      </w:r>
      <w:r>
        <w:rPr>
          <w:lang w:val="pt-BR"/>
        </w:rPr>
        <w:t xml:space="preserve">.</w:t>
      </w:r>
    </w:p>
    <w:p>
      <w:pPr>
        <w:pStyle w:val="BodyText"/>
      </w:pPr>
      <w:r>
        <w:rPr>
          <w:lang w:val="pt-BR"/>
        </w:rPr>
        <w:t xml:space="preserve">O</w:t>
      </w:r>
      <w:r>
        <w:rPr>
          <w:lang w:val="pt-BR"/>
        </w:rPr>
        <w:t xml:space="preserve"> </w:t>
      </w:r>
      <w:r>
        <w:rPr>
          <w:b/>
          <w:bCs/>
          <w:lang w:val="pt-BR"/>
        </w:rPr>
        <w:t xml:space="preserve">primeiro objetivo</w:t>
      </w:r>
      <w:r>
        <w:rPr>
          <w:lang w:val="pt-BR"/>
        </w:rPr>
        <w:t xml:space="preserve"> </w:t>
      </w:r>
      <w:r>
        <w:rPr>
          <w:lang w:val="pt-BR"/>
        </w:rPr>
        <w:t xml:space="preserve">é o mapeamento teórico: articular as teorias do Contrato Sexual (Pateman), da Iconocracia (Mondzain) e da Visiocracia (Goodrich) para fundamentar a crítica da visualidade estatal, introduzindo os conceitos próprios de</w:t>
      </w:r>
      <w:r>
        <w:rPr>
          <w:lang w:val="pt-BR"/>
        </w:rPr>
        <w:t xml:space="preserve"> </w:t>
      </w:r>
      <w:r>
        <w:rPr>
          <w:lang w:val="pt-BR"/>
        </w:rPr>
        <w:t xml:space="preserve">“Contrato Sexual Visual”</w:t>
      </w:r>
      <w:r>
        <w:rPr>
          <w:lang w:val="pt-BR"/>
        </w:rPr>
        <w:t xml:space="preserve"> </w:t>
      </w:r>
      <w:r>
        <w:rPr>
          <w:lang w:val="pt-BR"/>
        </w:rPr>
        <w:t xml:space="preserve">e</w:t>
      </w:r>
      <w:r>
        <w:rPr>
          <w:lang w:val="pt-BR"/>
        </w:rPr>
        <w:t xml:space="preserve"> </w:t>
      </w:r>
      <w:r>
        <w:rPr>
          <w:lang w:val="pt-BR"/>
        </w:rPr>
        <w:t xml:space="preserve">“Feminilidade de Estado”</w:t>
      </w:r>
      <w:r>
        <w:rPr>
          <w:lang w:val="pt-BR"/>
        </w:rPr>
        <w:t xml:space="preserve"> </w:t>
      </w:r>
      <w:r>
        <w:rPr>
          <w:lang w:val="pt-BR"/>
        </w:rPr>
        <w:t xml:space="preserve">[VERIFICAR: o claim de ineditismo, presente na formulação anterior, exige lastro de revisão sistemática antes de ser restaurado].</w:t>
      </w:r>
    </w:p>
    <w:p>
      <w:pPr>
        <w:pStyle w:val="BodyText"/>
      </w:pPr>
      <w:r>
        <w:rPr>
          <w:lang w:val="pt-BR"/>
        </w:rPr>
        <w:t xml:space="preserve">O</w:t>
      </w:r>
      <w:r>
        <w:rPr>
          <w:lang w:val="pt-BR"/>
        </w:rPr>
        <w:t xml:space="preserve"> </w:t>
      </w:r>
      <w:r>
        <w:rPr>
          <w:b/>
          <w:bCs/>
          <w:lang w:val="pt-BR"/>
        </w:rPr>
        <w:t xml:space="preserve">segundo objetivo</w:t>
      </w:r>
      <w:r>
        <w:rPr>
          <w:lang w:val="pt-BR"/>
        </w:rPr>
        <w:t xml:space="preserve"> </w:t>
      </w:r>
      <w:r>
        <w:rPr>
          <w:lang w:val="pt-BR"/>
        </w:rPr>
        <w:t xml:space="preserve">é a constituição do corpus: compilar e codificar um catálogo documentado de imagens oficiais — 336 registros no instantâneo de trabalho de setembro de 2026, dos quais 286 com codificação de purificação, em expansão contínua até a defesa —, utilizando o protocolo de 10 indicadores ordinais de purificação, estabelecendo um banco de dados iconométrico auditável e reprodutível.</w:t>
      </w:r>
    </w:p>
    <w:p>
      <w:pPr>
        <w:pStyle w:val="BodyText"/>
      </w:pPr>
      <w:r>
        <w:rPr>
          <w:lang w:val="pt-BR"/>
        </w:rPr>
        <w:t xml:space="preserve">O</w:t>
      </w:r>
      <w:r>
        <w:rPr>
          <w:lang w:val="pt-BR"/>
        </w:rPr>
        <w:t xml:space="preserve"> </w:t>
      </w:r>
      <w:r>
        <w:rPr>
          <w:b/>
          <w:bCs/>
          <w:lang w:val="pt-BR"/>
        </w:rPr>
        <w:t xml:space="preserve">terceiro objetivo</w:t>
      </w:r>
      <w:r>
        <w:rPr>
          <w:lang w:val="pt-BR"/>
        </w:rPr>
        <w:t xml:space="preserve"> </w:t>
      </w:r>
      <w:r>
        <w:rPr>
          <w:lang w:val="pt-BR"/>
        </w:rPr>
        <w:t xml:space="preserve">é a análise iconométrica descritiva: mapear, sobre o catálogo, as distribuições por país, período, suporte e regime iconocrático, e identificar padrões e anomalias — hipóteses de padrão, não testes de significância — que orientam a leitura qualitativa dos casos paradigmáticos.</w:t>
      </w:r>
    </w:p>
    <w:p>
      <w:pPr>
        <w:pStyle w:val="BodyText"/>
      </w:pPr>
      <w:r>
        <w:rPr>
          <w:lang w:val="pt-BR"/>
        </w:rPr>
        <w:t xml:space="preserve">O</w:t>
      </w:r>
      <w:r>
        <w:rPr>
          <w:lang w:val="pt-BR"/>
        </w:rPr>
        <w:t xml:space="preserve"> </w:t>
      </w:r>
      <w:r>
        <w:rPr>
          <w:b/>
          <w:bCs/>
          <w:lang w:val="pt-BR"/>
        </w:rPr>
        <w:t xml:space="preserve">quarto objetivo</w:t>
      </w:r>
      <w:r>
        <w:rPr>
          <w:lang w:val="pt-BR"/>
        </w:rPr>
        <w:t xml:space="preserve"> </w:t>
      </w:r>
      <w:r>
        <w:rPr>
          <w:lang w:val="pt-BR"/>
        </w:rPr>
        <w:t xml:space="preserve">é a síntese visual: construir um</w:t>
      </w:r>
      <w:r>
        <w:rPr>
          <w:lang w:val="pt-BR"/>
        </w:rPr>
        <w:t xml:space="preserve"> </w:t>
      </w:r>
      <w:r>
        <w:rPr>
          <w:b/>
          <w:bCs/>
          <w:lang w:val="pt-BR"/>
        </w:rPr>
        <w:t xml:space="preserve">Atlas Iconocrático</w:t>
      </w:r>
      <w:r>
        <w:rPr>
          <w:lang w:val="pt-BR"/>
        </w:rPr>
        <w:t xml:space="preserve">, inspirado no método de montagem warburguiano, composto por 8 painéis temáticos que revelem o intervalo (</w:t>
      </w:r>
      <w:r>
        <w:rPr>
          <w:i/>
          <w:iCs/>
          <w:lang w:val="pt-BR"/>
        </w:rPr>
        <w:t xml:space="preserve">Zwischenraum</w:t>
      </w:r>
      <w:r>
        <w:rPr>
          <w:lang w:val="pt-BR"/>
        </w:rPr>
        <w:t xml:space="preserve">) entre a imagem soberana e a exclusão cívica, entregando um produto científico de acesso aberto.</w:t>
      </w:r>
    </w:p>
    <w:p>
      <w:r>
        <w:pict>
          <v:rect style="width:0;height:1.5pt" o:hralign="center" o:hrstd="t" o:hr="t"/>
        </w:pict>
      </w:r>
    </w:p>
    <w:bookmarkEnd w:id="22"/>
    <w:bookmarkEnd w:id="23"/>
    <w:bookmarkStart w:id="27" w:name="Xe2d56338e0e022da2a6b3101765f213062055a7"/>
    <w:p>
      <w:pPr>
        <w:pStyle w:val="Heading3"/>
      </w:pPr>
      <w:r>
        <w:rPr>
          <w:rStyle w:val="SectionNumber"/>
          <w:lang w:val="pt-BR"/>
        </w:rPr>
        <w:t xml:space="preserve">1.1.5</w:t>
      </w:r>
      <w:r>
        <w:tab/>
      </w:r>
      <w:r>
        <w:rPr>
          <w:lang w:val="pt-BR"/>
        </w:rPr>
        <w:t xml:space="preserve">I.5 Justificativa: lacunas teóricas, inovação metodológica e relevância social</w:t>
      </w:r>
    </w:p>
    <w:bookmarkStart w:id="24" w:name="Xa1da110bf7c6419c8cff40b80cc9bf3f4b92979"/>
    <w:p>
      <w:pPr>
        <w:pStyle w:val="Heading4"/>
      </w:pPr>
      <w:r>
        <w:rPr>
          <w:rStyle w:val="SectionNumber"/>
          <w:lang w:val="pt-BR"/>
        </w:rPr>
        <w:t xml:space="preserve">1.1.5.1</w:t>
      </w:r>
      <w:r>
        <w:tab/>
      </w:r>
      <w:r>
        <w:rPr>
          <w:i/>
          <w:iCs/>
          <w:lang w:val="pt-BR"/>
        </w:rPr>
        <w:t xml:space="preserve">Justificativa teórica: preenchendo uma lacuna na interseção</w:t>
      </w:r>
    </w:p>
    <w:p>
      <w:pPr>
        <w:pStyle w:val="FirstParagraph"/>
      </w:pPr>
      <w:r>
        <w:rPr>
          <w:lang w:val="pt-BR"/>
        </w:rPr>
        <w:t xml:space="preserve">A pesquisa justifica-se teoricamente pelo preenchimento de uma lacuna na interseção negligenciada entre três campos: a história do Direito e a cultura jurídica, os estudos de cultura visual e os regimes escópicos, e os estudos de gênero e a teoria feminista.</w:t>
      </w:r>
    </w:p>
    <w:p>
      <w:pPr>
        <w:pStyle w:val="BodyText"/>
      </w:pPr>
      <w:r>
        <w:rPr>
          <w:lang w:val="pt-BR"/>
        </w:rPr>
        <w:t xml:space="preserve">A história do Direito privilegia tradicionalmente a análise de textos normativos, doutrinas e instituições formais. Trabalhos recentes sobre cultura jurídica, com Grossi, Costa e Hespanha, ampliaram o escopo para incluir práticas sociais, mentalidades coletivas e representações simbólicas. A visualidade, contudo, permanece uma dimensão subexplorada. Quando as imagens jurídicas são examinadas, costumam ser tratadas como</w:t>
      </w:r>
      <w:r>
        <w:rPr>
          <w:lang w:val="pt-BR"/>
        </w:rPr>
        <w:t xml:space="preserve"> </w:t>
      </w:r>
      <w:r>
        <w:rPr>
          <w:i/>
          <w:iCs/>
          <w:lang w:val="pt-BR"/>
        </w:rPr>
        <w:t xml:space="preserve">ilustrativas</w:t>
      </w:r>
      <w:r>
        <w:rPr>
          <w:lang w:val="pt-BR"/>
        </w:rPr>
        <w:t xml:space="preserve">, imagens como decoração de argumentos textuais, em vez de</w:t>
      </w:r>
      <w:r>
        <w:rPr>
          <w:lang w:val="pt-BR"/>
        </w:rPr>
        <w:t xml:space="preserve"> </w:t>
      </w:r>
      <w:r>
        <w:rPr>
          <w:i/>
          <w:iCs/>
          <w:lang w:val="pt-BR"/>
        </w:rPr>
        <w:t xml:space="preserve">constitutivas</w:t>
      </w:r>
      <w:r>
        <w:rPr>
          <w:lang w:val="pt-BR"/>
        </w:rPr>
        <w:t xml:space="preserve">, imagens como tecnologia autônoma de produção de poder. Esta tese propõe uma virada visual na história do Direito: compreender a ordem jurídica moderna requer interrogar não apenas o que foi codificado textualmente, mas o que foi sensivelmente fabricado pelos dispositivos visuais.</w:t>
      </w:r>
    </w:p>
    <w:p>
      <w:pPr>
        <w:pStyle w:val="BodyText"/>
      </w:pPr>
      <w:r>
        <w:rPr>
          <w:lang w:val="pt-BR"/>
        </w:rPr>
        <w:t xml:space="preserve">Os estudos de cultura visual desenvolveram um aparato teórico sofisticado para analisar regimes escópicos (MITCHELL, 1994; MIRZOEFF, 1999). A articulação específica entre visualidade e a ordem jurídico-estatal, porém, permanece subteorizada. Esta tese propõe o conceito de iconocracia para designar um regime específico em que as imagens fabricam a legitimidade político-jurídica, operando não apenas como representações, mas como performances constitutivas.</w:t>
      </w:r>
    </w:p>
    <w:p>
      <w:pPr>
        <w:pStyle w:val="BodyText"/>
      </w:pPr>
      <w:r>
        <w:rPr>
          <w:lang w:val="pt-BR"/>
        </w:rPr>
        <w:t xml:space="preserve">Os estudos de gênero e a teoria feminista documentaram extensamente a exclusão cívica e a subordinação jurídica das mulheres. A dimensão visual dessa subordinação, contudo, permanece insuficientemente teorizada. Esta tese propõe o conceito de Contrato Sexual Visual para designar uma configuração em que a hipervisibilidade alegórica não contradiz, mas sustenta a exclusão política, operando um assassinato simbólico que substitui mulheres reais por simulacros operacionais.</w:t>
      </w:r>
    </w:p>
    <w:p>
      <w:pPr>
        <w:pStyle w:val="BodyText"/>
      </w:pPr>
      <w:r>
        <w:rPr>
          <w:lang w:val="pt-BR"/>
        </w:rPr>
        <w:t xml:space="preserve">A inovação teórica desta pesquisa introduz conceitos próprios (Contrato Sexual Visual e Feminilidade de Estado), preenche o ponto cego da teoria política contratualista em relação às imagens, e posiciona o Brasil como nó analítico da colonialidade do ver, não como mero receptor de modelos europeus.</w:t>
      </w:r>
    </w:p>
    <w:bookmarkEnd w:id="24"/>
    <w:bookmarkStart w:id="25" w:name="X5f3e4da6016e05132a90520fb40caa7b1241902"/>
    <w:p>
      <w:pPr>
        <w:pStyle w:val="Heading4"/>
      </w:pPr>
      <w:r>
        <w:rPr>
          <w:rStyle w:val="SectionNumber"/>
          <w:lang w:val="pt-BR"/>
        </w:rPr>
        <w:t xml:space="preserve">1.1.5.2</w:t>
      </w:r>
      <w:r>
        <w:tab/>
      </w:r>
      <w:r>
        <w:rPr>
          <w:i/>
          <w:iCs/>
          <w:lang w:val="pt-BR"/>
        </w:rPr>
        <w:t xml:space="preserve">Justificativa metodológica: inovação na articulação imagem-norma</w:t>
      </w:r>
    </w:p>
    <w:p>
      <w:pPr>
        <w:pStyle w:val="FirstParagraph"/>
      </w:pPr>
      <w:r>
        <w:rPr>
          <w:lang w:val="pt-BR"/>
        </w:rPr>
        <w:t xml:space="preserve">A pesquisa justifica-se metodologicamente pelo desenvolvimento de um procedimento analítico que articula sistematicamente imagem e norma, superando a separação disciplinar convencional entre a história da arte, que examina imagens, e a história do Direito, que examina textos jurídicos.</w:t>
      </w:r>
    </w:p>
    <w:p>
      <w:pPr>
        <w:pStyle w:val="BodyText"/>
      </w:pPr>
      <w:r>
        <w:rPr>
          <w:lang w:val="pt-BR"/>
        </w:rPr>
        <w:t xml:space="preserve">A metodologia proposta opera três inovações principais. A primeira é uma ficha de codificação integrada que documenta simultaneamente características visuais (suporte material, escala, localização, atributos iconográficos, soluções formais) e contexto jurídico-político (legislação vigente sobre os direitos das mulheres, codificações em curso, eventos constitucionais, crises políticas). A articulação sistemática permite verificar correlações entre a intensificação alegórica e a exclusão jurídica.</w:t>
      </w:r>
    </w:p>
    <w:p>
      <w:pPr>
        <w:pStyle w:val="BodyText"/>
      </w:pPr>
      <w:r>
        <w:rPr>
          <w:lang w:val="pt-BR"/>
        </w:rPr>
        <w:t xml:space="preserve">A segunda inovação é a análise de defasagem entre a temporalidade da produção visual e a temporalidade das mudanças normativas. A França adotou Marianne como símbolo oficial em 1792 [VERIFICAR: o caráter</w:t>
      </w:r>
      <w:r>
        <w:rPr>
          <w:lang w:val="pt-BR"/>
        </w:rPr>
        <w:t xml:space="preserve"> </w:t>
      </w:r>
      <w:r>
        <w:rPr>
          <w:lang w:val="pt-BR"/>
        </w:rPr>
        <w:t xml:space="preserve">“oficial”</w:t>
      </w:r>
      <w:r>
        <w:rPr>
          <w:lang w:val="pt-BR"/>
        </w:rPr>
        <w:t xml:space="preserve"> </w:t>
      </w:r>
      <w:r>
        <w:rPr>
          <w:lang w:val="pt-BR"/>
        </w:rPr>
        <w:t xml:space="preserve">data de fins do séc. XIX; a defasagem de 152 anos depende desse marco], mas as mulheres permaneceram excluídas do sufrágio até 1944, uma defasagem de 152 anos. A análise sistemática dessas defasagens nos casos nacionais revela um padrão estrutural: quanto maior a consolidação alegórica, maior a resistência à inclusão política.</w:t>
      </w:r>
    </w:p>
    <w:p>
      <w:pPr>
        <w:pStyle w:val="BodyText"/>
      </w:pPr>
      <w:r>
        <w:rPr>
          <w:lang w:val="pt-BR"/>
        </w:rPr>
        <w:t xml:space="preserve">A terceira inovação é a comparação transnacional controlada. A seleção dos casos nacionais, França, Reino Unido, Alemanha, EUA, Bélgica e Brasil, permite identificar constantes estruturais, padrões recorrentes independentes do contexto nacional, e variações contextuais, especificidades correlacionadas com tradições jurídicas e regimes políticos distintos. A comparabilidade transcende os estudos de caso único, fornecendo base empírica para a generalização teórica sobre os regimes iconocráticos como infraestrutura comum do Estado moderno.</w:t>
      </w:r>
    </w:p>
    <w:bookmarkEnd w:id="25"/>
    <w:bookmarkStart w:id="26" w:name="X5795539f70d339f18324fb5c035d635587d384a"/>
    <w:p>
      <w:pPr>
        <w:pStyle w:val="Heading4"/>
      </w:pPr>
      <w:r>
        <w:rPr>
          <w:rStyle w:val="SectionNumber"/>
          <w:lang w:val="pt-BR"/>
        </w:rPr>
        <w:t xml:space="preserve">1.1.5.3</w:t>
      </w:r>
      <w:r>
        <w:tab/>
      </w:r>
      <w:r>
        <w:rPr>
          <w:i/>
          <w:iCs/>
          <w:lang w:val="pt-BR"/>
        </w:rPr>
        <w:t xml:space="preserve">Justificativa social: repensando a legitimidade institucional</w:t>
      </w:r>
    </w:p>
    <w:p>
      <w:pPr>
        <w:pStyle w:val="FirstParagraph"/>
      </w:pPr>
      <w:r>
        <w:rPr>
          <w:lang w:val="pt-BR"/>
        </w:rPr>
        <w:t xml:space="preserve">A pesquisa justifica-se socialmente porque oferece instrumentos críticos para repensar a legitimidade das instituições político-jurídicas contemporâneas. Embora o foco histórico recaia sobre os séculos XIX–XX, os mecanismos identificados permanecem operacionais. Os tribunais contemporâneos continuam utilizando alegorias femininas: a Justiça com balança povoa os foros recém-construídos, os selos judiciais mantêm a iconografia tradicional, os logotipos de cortes supremas incorporam figuras femininas. O Contrato Sexual Visual não foi dissolvido pela conquista dos direitos formais; foi reconfigurado.</w:t>
      </w:r>
    </w:p>
    <w:p>
      <w:pPr>
        <w:pStyle w:val="BodyText"/>
      </w:pPr>
      <w:r>
        <w:rPr>
          <w:lang w:val="pt-BR"/>
        </w:rPr>
        <w:t xml:space="preserve">Compreender como a iconocracia operou historicamente permite desnaturalizar o presente: reconhecer que a associação entre o corpo feminino e os conceitos político-jurídicos não é inevitável, mas historicamente produzida e politicamente funcional. A crítica da iconocracia contribui para o projeto feminista de democratização radical: questionar não apenas as exclusões formais, já largamente superadas no Ocidente, mas também a persistência de estruturas simbólicas que continuam a codificar o feminino como presença sem agência.</w:t>
      </w:r>
    </w:p>
    <w:p>
      <w:r>
        <w:pict>
          <v:rect style="width:0;height:1.5pt" o:hralign="center" o:hrstd="t" o:hr="t"/>
        </w:pict>
      </w:r>
    </w:p>
    <w:bookmarkEnd w:id="26"/>
    <w:bookmarkEnd w:id="27"/>
    <w:bookmarkStart w:id="31" w:name="X0fceafb425795efdf33f85f6cc693608459fcf9"/>
    <w:p>
      <w:pPr>
        <w:pStyle w:val="Heading3"/>
      </w:pPr>
      <w:r>
        <w:rPr>
          <w:rStyle w:val="SectionNumber"/>
          <w:lang w:val="pt-BR"/>
        </w:rPr>
        <w:t xml:space="preserve">1.1.6</w:t>
      </w:r>
      <w:r>
        <w:tab/>
      </w:r>
      <w:r>
        <w:rPr>
          <w:lang w:val="pt-BR"/>
        </w:rPr>
        <w:t xml:space="preserve">I.6 Delimitações e escolhas: seleções necessárias e justificadas</w:t>
      </w:r>
    </w:p>
    <w:bookmarkStart w:id="28" w:name="X9f7b48b7a1b62d8ad5a61a37ddb827da107baa6"/>
    <w:p>
      <w:pPr>
        <w:pStyle w:val="Heading4"/>
      </w:pPr>
      <w:r>
        <w:rPr>
          <w:rStyle w:val="SectionNumber"/>
          <w:lang w:val="pt-BR"/>
        </w:rPr>
        <w:t xml:space="preserve">1.1.6.1</w:t>
      </w:r>
      <w:r>
        <w:tab/>
      </w:r>
      <w:r>
        <w:rPr>
          <w:i/>
          <w:iCs/>
          <w:lang w:val="pt-BR"/>
        </w:rPr>
        <w:t xml:space="preserve">Delimitação temporal: 1800–2000, com ênfase em 1880–1920</w:t>
      </w:r>
    </w:p>
    <w:p>
      <w:pPr>
        <w:pStyle w:val="FirstParagraph"/>
      </w:pPr>
      <w:r>
        <w:rPr>
          <w:lang w:val="pt-BR"/>
        </w:rPr>
        <w:t xml:space="preserve">O recorte temporal inicia-se em 1800, incorporando os desdobramentos pós-revolucionários da iconografia republicana, e encerra-se em 2000, permitindo o acompanhamento da reconfiguração do regime iconocrático ao longo do século XX. O foco principal incide sobre o período 1880–1920 por três razões convergentes. Primeiro: o auge do regime iconocrático, marcado pela massificação sem precedente das alegorias em virtude das inovações tecnológicas (cromolitografia, fundição industrial) e da padronização dos sistemas monetário e postal. Segundo: a intensificação dos movimentos sufragistas, tornando o paradoxo da hipervisibilidade versus exclusão especialmente agudo. Terceiro: a ocorrência de crises múltiplas, a Primeira Guerra Mundial, revoluções e o colapso de impérios, que desencadearam a mobilização alegórica acelerada, permitindo observar os mecanismos de intensificação.</w:t>
      </w:r>
    </w:p>
    <w:bookmarkEnd w:id="28"/>
    <w:bookmarkStart w:id="29" w:name="X40c2028ac368394a290e17ebe9154ccb816100d"/>
    <w:p>
      <w:pPr>
        <w:pStyle w:val="Heading4"/>
      </w:pPr>
      <w:r>
        <w:rPr>
          <w:rStyle w:val="SectionNumber"/>
          <w:lang w:val="pt-BR"/>
        </w:rPr>
        <w:t xml:space="preserve">1.1.6.2</w:t>
      </w:r>
      <w:r>
        <w:tab/>
      </w:r>
      <w:r>
        <w:rPr>
          <w:i/>
          <w:iCs/>
          <w:lang w:val="pt-BR"/>
        </w:rPr>
        <w:t xml:space="preserve">Delimitação geográfica: seis casos transatlânticos</w:t>
      </w:r>
    </w:p>
    <w:p>
      <w:pPr>
        <w:pStyle w:val="FirstParagraph"/>
      </w:pPr>
      <w:r>
        <w:rPr>
          <w:lang w:val="pt-BR"/>
        </w:rPr>
        <w:t xml:space="preserve">A pesquisa concentra-se em seis casos nacionais: França (</w:t>
      </w:r>
      <w:r>
        <w:rPr>
          <w:i/>
          <w:iCs/>
          <w:lang w:val="pt-BR"/>
        </w:rPr>
        <w:t xml:space="preserve">Marianne</w:t>
      </w:r>
      <w:r>
        <w:rPr>
          <w:lang w:val="pt-BR"/>
        </w:rPr>
        <w:t xml:space="preserve">), Reino Unido (Britannia), Alemanha (Germania), Estados Unidos (Columbia/Justice), Bélgica (alegorias constitucionais e coloniais) e Brasil (República). A seleção justifica-se pela diversidade controlada que oferece. A França representa uma república revolucionária que adota a alegoria como ruptura com a monarquia. O Reino Unido representa uma monarquia constitucional imperial que mantém a alegoria (Britannia) em coexistência com as efígies reais. A Alemanha representa um Estado-nação de construção tardia (unificação em 1871) que mobiliza a alegoria para fabricar identidade nacional. Os Estados Unidos representam uma república federal que produz suas alegorias tanto por via revolucionária (Columbia) quanto por via burocrático-estatal (gravuras do Bureau of Engraving and Printing). A Bélgica representa uma monarquia constitucional jovem cujo</w:t>
      </w:r>
      <w:r>
        <w:rPr>
          <w:lang w:val="pt-BR"/>
        </w:rPr>
        <w:t xml:space="preserve"> </w:t>
      </w:r>
      <w:r>
        <w:rPr>
          <w:lang w:val="pt-BR"/>
        </w:rPr>
        <w:t xml:space="preserve">“culto constitucional”</w:t>
      </w:r>
      <w:r>
        <w:rPr>
          <w:lang w:val="pt-BR"/>
        </w:rPr>
        <w:t xml:space="preserve"> </w:t>
      </w:r>
      <w:r>
        <w:rPr>
          <w:lang w:val="pt-BR"/>
        </w:rPr>
        <w:t xml:space="preserve">pós-1848, estudado por Huygebaert (2015) [VERIFICAR: entrada huygebaert2015 com TODO pendente no references.bib — conferir obra exata antes da entrega], demonstra como o governo liberal de Rogier utilizou ativamente meios visuais para fabricar legitimidade. O Brasil representa uma república pós-colonial que importa o modelo francês, mas o adapta a um contexto periférico e escravocrata.</w:t>
      </w:r>
    </w:p>
    <w:p>
      <w:pPr>
        <w:pStyle w:val="BodyText"/>
      </w:pPr>
      <w:r>
        <w:rPr>
          <w:lang w:val="pt-BR"/>
        </w:rPr>
        <w:t xml:space="preserve">A inclusão do Brasil como nó analítico é central para a contribuição pós-colonial desta pesquisa: o caso brasileiro não é tratado como mera variante periférica, mas como um caso que revela, por translação e distorção, os pressupostos raciais e coloniais que a versão metropolitana do Contrato Sexual Visual tende a silenciar.</w:t>
      </w:r>
    </w:p>
    <w:bookmarkEnd w:id="29"/>
    <w:bookmarkStart w:id="30" w:name="Xdba4b900b4e5e888e47c305635147acc27c91db"/>
    <w:p>
      <w:pPr>
        <w:pStyle w:val="Heading4"/>
      </w:pPr>
      <w:r>
        <w:rPr>
          <w:rStyle w:val="SectionNumber"/>
          <w:lang w:val="pt-BR"/>
        </w:rPr>
        <w:t xml:space="preserve">1.1.6.3</w:t>
      </w:r>
      <w:r>
        <w:tab/>
      </w:r>
      <w:r>
        <w:rPr>
          <w:i/>
          <w:iCs/>
          <w:lang w:val="pt-BR"/>
        </w:rPr>
        <w:t xml:space="preserve">Delimitação dos suportes: moedas, selos, monumentos e paratextos jurídicos</w:t>
      </w:r>
    </w:p>
    <w:p>
      <w:pPr>
        <w:pStyle w:val="FirstParagraph"/>
      </w:pPr>
      <w:r>
        <w:rPr>
          <w:lang w:val="pt-BR"/>
        </w:rPr>
        <w:t xml:space="preserve">A pesquisa concentra-se em quatro suportes principais: moedas, selos postais, monumentos públicos (estátuas, relevos em edifícios governamentais) e paratextos jurídicos (frontispícios de códigos, selos de tribunais, brasões oficiais). A seleção justifica-se porque representa três regimes escópicos distintos. Moedas e selos operam</w:t>
      </w:r>
      <w:r>
        <w:rPr>
          <w:lang w:val="pt-BR"/>
        </w:rPr>
        <w:t xml:space="preserve"> </w:t>
      </w:r>
      <w:r>
        <w:rPr>
          <w:i/>
          <w:iCs/>
          <w:lang w:val="pt-BR"/>
        </w:rPr>
        <w:t xml:space="preserve">ubiquidade íntima</w:t>
      </w:r>
      <w:r>
        <w:rPr>
          <w:lang w:val="pt-BR"/>
        </w:rPr>
        <w:t xml:space="preserve">: circulação massiva, escala miniaturizada, uso cotidiano. Monumentos operam</w:t>
      </w:r>
      <w:r>
        <w:rPr>
          <w:lang w:val="pt-BR"/>
        </w:rPr>
        <w:t xml:space="preserve"> </w:t>
      </w:r>
      <w:r>
        <w:rPr>
          <w:i/>
          <w:iCs/>
          <w:lang w:val="pt-BR"/>
        </w:rPr>
        <w:t xml:space="preserve">verticalidade monumental</w:t>
      </w:r>
      <w:r>
        <w:rPr>
          <w:lang w:val="pt-BR"/>
        </w:rPr>
        <w:t xml:space="preserve">: permanência secular, escala sobre-humana, localização estratégica. Os paratextos jurídicos operam</w:t>
      </w:r>
      <w:r>
        <w:rPr>
          <w:lang w:val="pt-BR"/>
        </w:rPr>
        <w:t xml:space="preserve"> </w:t>
      </w:r>
      <w:r>
        <w:rPr>
          <w:i/>
          <w:iCs/>
          <w:lang w:val="pt-BR"/>
        </w:rPr>
        <w:t xml:space="preserve">acoplamento imagem-norma</w:t>
      </w:r>
      <w:r>
        <w:rPr>
          <w:lang w:val="pt-BR"/>
        </w:rPr>
        <w:t xml:space="preserve">: inscrição em suportes com eficácia jurídica, ritualização das práticas judiciárias, sacralização dos textos legais.</w:t>
      </w:r>
    </w:p>
    <w:p>
      <w:pPr>
        <w:pStyle w:val="BodyText"/>
      </w:pPr>
      <w:r>
        <w:rPr>
          <w:lang w:val="pt-BR"/>
        </w:rPr>
        <w:t xml:space="preserve">O banco de dados iconométrico, construído ao longo da pesquisa, codifica as imagens desses suportes segundo 10 indicadores ordinais de purificação, permitindo o panorama descritivo do corpus e o diagnóstico do instrumento que identificam os padrões aprofundados pela iconologia de casos.</w:t>
      </w:r>
    </w:p>
    <w:p>
      <w:r>
        <w:pict>
          <v:rect style="width:0;height:1.5pt" o:hralign="center" o:hrstd="t" o:hr="t"/>
        </w:pict>
      </w:r>
    </w:p>
    <w:bookmarkEnd w:id="30"/>
    <w:bookmarkEnd w:id="31"/>
    <w:bookmarkStart w:id="32" w:name="i.7-estrutura-da-tese-mapa-de-leitura"/>
    <w:p>
      <w:pPr>
        <w:pStyle w:val="Heading3"/>
      </w:pPr>
      <w:r>
        <w:rPr>
          <w:rStyle w:val="SectionNumber"/>
          <w:lang w:val="pt-BR"/>
        </w:rPr>
        <w:t xml:space="preserve">1.1.7</w:t>
      </w:r>
      <w:r>
        <w:tab/>
      </w:r>
      <w:r>
        <w:rPr>
          <w:lang w:val="pt-BR"/>
        </w:rPr>
        <w:t xml:space="preserve">I.7 Estrutura da tese: mapa de leitura</w:t>
      </w:r>
    </w:p>
    <w:p>
      <w:pPr>
        <w:pStyle w:val="FirstParagraph"/>
      </w:pPr>
      <w:r>
        <w:rPr>
          <w:lang w:val="pt-BR"/>
        </w:rPr>
        <w:t xml:space="preserve">A tese organiza-se em quatro Partes, nove capítulos, além desta Introdução e das Conclusões. A estrutura segue a lógica do desenho de métodos mistos sequencial explanatório (QUAN → QUAL → Síntese): parte da moldura teórica, passa pelo método e corpus, desce aos resultados empíricos, e culmina na síntese visual do Atlas Iconocrático.</w:t>
      </w:r>
    </w:p>
    <w:p>
      <w:pPr>
        <w:pStyle w:val="BodyText"/>
      </w:pPr>
      <w:r>
        <w:rPr>
          <w:lang w:val="pt-BR"/>
        </w:rPr>
        <w:t xml:space="preserve">A</w:t>
      </w:r>
      <w:r>
        <w:rPr>
          <w:lang w:val="pt-BR"/>
        </w:rPr>
        <w:t xml:space="preserve"> </w:t>
      </w:r>
      <w:r>
        <w:rPr>
          <w:b/>
          <w:bCs/>
          <w:lang w:val="pt-BR"/>
        </w:rPr>
        <w:t xml:space="preserve">Parte I — Moldura Teórica</w:t>
      </w:r>
      <w:r>
        <w:rPr>
          <w:lang w:val="pt-BR"/>
        </w:rPr>
        <w:t xml:space="preserve"> </w:t>
      </w:r>
      <w:r>
        <w:rPr>
          <w:lang w:val="pt-BR"/>
        </w:rPr>
        <w:t xml:space="preserve">compreende três capítulos. O</w:t>
      </w:r>
      <w:r>
        <w:rPr>
          <w:lang w:val="pt-BR"/>
        </w:rPr>
        <w:t xml:space="preserve"> </w:t>
      </w:r>
      <w:r>
        <w:rPr>
          <w:b/>
          <w:bCs/>
          <w:lang w:val="pt-BR"/>
        </w:rPr>
        <w:t xml:space="preserve">Capítulo 1</w:t>
      </w:r>
      <w:r>
        <w:rPr>
          <w:lang w:val="pt-BR"/>
        </w:rPr>
        <w:t xml:space="preserve"> </w:t>
      </w:r>
      <w:r>
        <w:rPr>
          <w:lang w:val="pt-BR"/>
        </w:rPr>
        <w:t xml:space="preserve">(</w:t>
      </w:r>
      <w:r>
        <w:rPr>
          <w:i/>
          <w:iCs/>
          <w:lang w:val="pt-BR"/>
        </w:rPr>
        <w:t xml:space="preserve">O Contrato Sexual e a Imagem: de Pateman à Visiocracia</w:t>
      </w:r>
      <w:r>
        <w:rPr>
          <w:lang w:val="pt-BR"/>
        </w:rPr>
        <w:t xml:space="preserve">) reconstrói o argumento de Carole Pateman sobre o contrato sexual, identifica o</w:t>
      </w:r>
      <w:r>
        <w:rPr>
          <w:lang w:val="pt-BR"/>
        </w:rPr>
        <w:t xml:space="preserve"> </w:t>
      </w:r>
      <w:r>
        <w:rPr>
          <w:lang w:val="pt-BR"/>
        </w:rPr>
        <w:t xml:space="preserve">“ponto cego visual”</w:t>
      </w:r>
      <w:r>
        <w:rPr>
          <w:lang w:val="pt-BR"/>
        </w:rPr>
        <w:t xml:space="preserve"> </w:t>
      </w:r>
      <w:r>
        <w:rPr>
          <w:lang w:val="pt-BR"/>
        </w:rPr>
        <w:t xml:space="preserve">da sua teoria, articula a visiocracia de Peter Goodrich e a tradição de Legendre, e propõe o conceito de</w:t>
      </w:r>
      <w:r>
        <w:rPr>
          <w:lang w:val="pt-BR"/>
        </w:rPr>
        <w:t xml:space="preserve"> </w:t>
      </w:r>
      <w:r>
        <w:rPr>
          <w:b/>
          <w:bCs/>
          <w:lang w:val="pt-BR"/>
        </w:rPr>
        <w:t xml:space="preserve">Contrato Sexual Visual</w:t>
      </w:r>
      <w:r>
        <w:rPr>
          <w:lang w:val="pt-BR"/>
        </w:rPr>
        <w:t xml:space="preserve"> </w:t>
      </w:r>
      <w:r>
        <w:rPr>
          <w:lang w:val="pt-BR"/>
        </w:rPr>
        <w:t xml:space="preserve">como síntese original. O</w:t>
      </w:r>
      <w:r>
        <w:rPr>
          <w:lang w:val="pt-BR"/>
        </w:rPr>
        <w:t xml:space="preserve"> </w:t>
      </w:r>
      <w:r>
        <w:rPr>
          <w:b/>
          <w:bCs/>
          <w:lang w:val="pt-BR"/>
        </w:rPr>
        <w:t xml:space="preserve">Capítulo 2</w:t>
      </w:r>
      <w:r>
        <w:rPr>
          <w:lang w:val="pt-BR"/>
        </w:rPr>
        <w:t xml:space="preserve"> </w:t>
      </w:r>
      <w:r>
        <w:rPr>
          <w:lang w:val="pt-BR"/>
        </w:rPr>
        <w:t xml:space="preserve">(</w:t>
      </w:r>
      <w:r>
        <w:rPr>
          <w:i/>
          <w:iCs/>
          <w:lang w:val="pt-BR"/>
        </w:rPr>
        <w:t xml:space="preserve">Iconocracia: a Economia Política da Imagem Soberana</w:t>
      </w:r>
      <w:r>
        <w:rPr>
          <w:lang w:val="pt-BR"/>
        </w:rPr>
        <w:t xml:space="preserve">) desenvolve o conceito de iconocracia a partir de Mondzain, introduz a</w:t>
      </w:r>
      <w:r>
        <w:rPr>
          <w:lang w:val="pt-BR"/>
        </w:rPr>
        <w:t xml:space="preserve"> </w:t>
      </w:r>
      <w:r>
        <w:rPr>
          <w:b/>
          <w:bCs/>
          <w:lang w:val="pt-BR"/>
        </w:rPr>
        <w:t xml:space="preserve">Feminilidade de Estado</w:t>
      </w:r>
      <w:r>
        <w:rPr>
          <w:lang w:val="pt-BR"/>
        </w:rPr>
        <w:t xml:space="preserve">, propõe a tipologia dos regimes iconocráticos (Fundacional, Normativo, Militar) e articula o</w:t>
      </w:r>
      <w:r>
        <w:rPr>
          <w:lang w:val="pt-BR"/>
        </w:rPr>
        <w:t xml:space="preserve"> </w:t>
      </w:r>
      <w:r>
        <w:rPr>
          <w:i/>
          <w:iCs/>
          <w:lang w:val="pt-BR"/>
        </w:rPr>
        <w:t xml:space="preserve">Pathosformel</w:t>
      </w:r>
      <w:r>
        <w:rPr>
          <w:lang w:val="pt-BR"/>
        </w:rPr>
        <w:t xml:space="preserve"> </w:t>
      </w:r>
      <w:r>
        <w:rPr>
          <w:lang w:val="pt-BR"/>
        </w:rPr>
        <w:t xml:space="preserve">jurídico via Warburg (WARBURG, 2000) e Agamben (AGAMBEN, 2007). O</w:t>
      </w:r>
      <w:r>
        <w:rPr>
          <w:lang w:val="pt-BR"/>
        </w:rPr>
        <w:t xml:space="preserve"> </w:t>
      </w:r>
      <w:r>
        <w:rPr>
          <w:b/>
          <w:bCs/>
          <w:lang w:val="pt-BR"/>
        </w:rPr>
        <w:t xml:space="preserve">Capítulo 3</w:t>
      </w:r>
      <w:r>
        <w:rPr>
          <w:lang w:val="pt-BR"/>
        </w:rPr>
        <w:t xml:space="preserve"> </w:t>
      </w:r>
      <w:r>
        <w:rPr>
          <w:lang w:val="pt-BR"/>
        </w:rPr>
        <w:t xml:space="preserve">(</w:t>
      </w:r>
      <w:r>
        <w:rPr>
          <w:i/>
          <w:iCs/>
          <w:lang w:val="pt-BR"/>
        </w:rPr>
        <w:t xml:space="preserve">A Colonialidade do Ver: Gênero, Raça e Transferência Visual Transatlântica</w:t>
      </w:r>
      <w:r>
        <w:rPr>
          <w:lang w:val="pt-BR"/>
        </w:rPr>
        <w:t xml:space="preserve">) examina a exportação colonial do cânone alegórico, o contrato racial visual nas alegorias brasileiras, o paternalismo jurídico-visual belga (HUYGEBAERT, 2015), e as contra-alegorias e rupturas.</w:t>
      </w:r>
    </w:p>
    <w:p>
      <w:pPr>
        <w:pStyle w:val="BodyText"/>
      </w:pPr>
      <w:r>
        <w:rPr>
          <w:lang w:val="pt-BR"/>
        </w:rPr>
        <w:t xml:space="preserve">A</w:t>
      </w:r>
      <w:r>
        <w:rPr>
          <w:lang w:val="pt-BR"/>
        </w:rPr>
        <w:t xml:space="preserve"> </w:t>
      </w:r>
      <w:r>
        <w:rPr>
          <w:b/>
          <w:bCs/>
          <w:lang w:val="pt-BR"/>
        </w:rPr>
        <w:t xml:space="preserve">Parte II — Método e Corpus</w:t>
      </w:r>
      <w:r>
        <w:rPr>
          <w:lang w:val="pt-BR"/>
        </w:rPr>
        <w:t xml:space="preserve"> </w:t>
      </w:r>
      <w:r>
        <w:rPr>
          <w:lang w:val="pt-BR"/>
        </w:rPr>
        <w:t xml:space="preserve">compreende dois capítulos. O</w:t>
      </w:r>
      <w:r>
        <w:rPr>
          <w:lang w:val="pt-BR"/>
        </w:rPr>
        <w:t xml:space="preserve"> </w:t>
      </w:r>
      <w:r>
        <w:rPr>
          <w:b/>
          <w:bCs/>
          <w:lang w:val="pt-BR"/>
        </w:rPr>
        <w:t xml:space="preserve">Capítulo 4</w:t>
      </w:r>
      <w:r>
        <w:rPr>
          <w:lang w:val="pt-BR"/>
        </w:rPr>
        <w:t xml:space="preserve"> </w:t>
      </w:r>
      <w:r>
        <w:rPr>
          <w:lang w:val="pt-BR"/>
        </w:rPr>
        <w:t xml:space="preserve">(</w:t>
      </w:r>
      <w:r>
        <w:rPr>
          <w:i/>
          <w:iCs/>
          <w:lang w:val="pt-BR"/>
        </w:rPr>
        <w:t xml:space="preserve">Desenho Metodológico: Métodos Mistos Sequenciais</w:t>
      </w:r>
      <w:r>
        <w:rPr>
          <w:lang w:val="pt-BR"/>
        </w:rPr>
        <w:t xml:space="preserve">) explicita a epistemologia (crítica, histórico-comparada, decolonial), o desenho QUAN → QUAL, a adaptação de Panofsky para a iconologia jurídica, e o método de montagem warburguiano como síntese. O</w:t>
      </w:r>
      <w:r>
        <w:rPr>
          <w:lang w:val="pt-BR"/>
        </w:rPr>
        <w:t xml:space="preserve"> </w:t>
      </w:r>
      <w:r>
        <w:rPr>
          <w:b/>
          <w:bCs/>
          <w:lang w:val="pt-BR"/>
        </w:rPr>
        <w:t xml:space="preserve">Capítulo 5</w:t>
      </w:r>
      <w:r>
        <w:rPr>
          <w:lang w:val="pt-BR"/>
        </w:rPr>
        <w:t xml:space="preserve"> </w:t>
      </w:r>
      <w:r>
        <w:rPr>
          <w:lang w:val="pt-BR"/>
        </w:rPr>
        <w:t xml:space="preserve">(</w:t>
      </w:r>
      <w:r>
        <w:rPr>
          <w:i/>
          <w:iCs/>
          <w:lang w:val="pt-BR"/>
        </w:rPr>
        <w:t xml:space="preserve">O Corpus: Construção, Codificação e Infraestrutura</w:t>
      </w:r>
      <w:r>
        <w:rPr>
          <w:lang w:val="pt-BR"/>
        </w:rPr>
        <w:t xml:space="preserve">) apresenta o corpus como catálogo documentado (336 registros no instantâneo de trabalho de setembro de 2026, dos quais 286 com codificação de purificação, em expansão até a defesa), o protocolo de 10 indicadores ordinais de purificação, o sistema de codificação IconoCode integrado ao ICONCLASS, e a infraestrutura digital (GitHub, Drive, Notion).</w:t>
      </w:r>
    </w:p>
    <w:p>
      <w:pPr>
        <w:pStyle w:val="BodyText"/>
      </w:pPr>
      <w:r>
        <w:rPr>
          <w:lang w:val="pt-BR"/>
        </w:rPr>
        <w:t xml:space="preserve">A</w:t>
      </w:r>
      <w:r>
        <w:rPr>
          <w:lang w:val="pt-BR"/>
        </w:rPr>
        <w:t xml:space="preserve"> </w:t>
      </w:r>
      <w:r>
        <w:rPr>
          <w:b/>
          <w:bCs/>
          <w:lang w:val="pt-BR"/>
        </w:rPr>
        <w:t xml:space="preserve">Parte III — Resultados</w:t>
      </w:r>
      <w:r>
        <w:rPr>
          <w:lang w:val="pt-BR"/>
        </w:rPr>
        <w:t xml:space="preserve"> </w:t>
      </w:r>
      <w:r>
        <w:rPr>
          <w:lang w:val="pt-BR"/>
        </w:rPr>
        <w:t xml:space="preserve">compreende dois capítulos. O</w:t>
      </w:r>
      <w:r>
        <w:rPr>
          <w:lang w:val="pt-BR"/>
        </w:rPr>
        <w:t xml:space="preserve"> </w:t>
      </w:r>
      <w:r>
        <w:rPr>
          <w:b/>
          <w:bCs/>
          <w:lang w:val="pt-BR"/>
        </w:rPr>
        <w:t xml:space="preserve">Capítulo 6</w:t>
      </w:r>
      <w:r>
        <w:rPr>
          <w:lang w:val="pt-BR"/>
        </w:rPr>
        <w:t xml:space="preserve"> </w:t>
      </w:r>
      <w:r>
        <w:rPr>
          <w:lang w:val="pt-BR"/>
        </w:rPr>
        <w:t xml:space="preserve">(</w:t>
      </w:r>
      <w:r>
        <w:rPr>
          <w:i/>
          <w:iCs/>
          <w:lang w:val="pt-BR"/>
        </w:rPr>
        <w:t xml:space="preserve">Análise Quantitativa: Padrões Iconométricos</w:t>
      </w:r>
      <w:r>
        <w:rPr>
          <w:lang w:val="pt-BR"/>
        </w:rPr>
        <w:t xml:space="preserve">) apresenta o panorama descritivo do corpus — distribuições por país, período, suporte e regime iconocrático — e o diagnóstico interno do instrumento de codificação, do qual emergem os padrões e as anomalias que o Capítulo 7 aprofunda em estudos de caso. O</w:t>
      </w:r>
      <w:r>
        <w:rPr>
          <w:lang w:val="pt-BR"/>
        </w:rPr>
        <w:t xml:space="preserve"> </w:t>
      </w:r>
      <w:r>
        <w:rPr>
          <w:b/>
          <w:bCs/>
          <w:lang w:val="pt-BR"/>
        </w:rPr>
        <w:t xml:space="preserve">Capítulo 7</w:t>
      </w:r>
      <w:r>
        <w:rPr>
          <w:lang w:val="pt-BR"/>
        </w:rPr>
        <w:t xml:space="preserve"> </w:t>
      </w:r>
      <w:r>
        <w:rPr>
          <w:lang w:val="pt-BR"/>
        </w:rPr>
        <w:t xml:space="preserve">(</w:t>
      </w:r>
      <w:r>
        <w:rPr>
          <w:i/>
          <w:iCs/>
          <w:lang w:val="pt-BR"/>
        </w:rPr>
        <w:t xml:space="preserve">Análise Qualitativa: Iconologia de Casos Paradigmáticos</w:t>
      </w:r>
      <w:r>
        <w:rPr>
          <w:lang w:val="pt-BR"/>
        </w:rPr>
        <w:t xml:space="preserve">) desenvolve seis estudos de caso em profundidade: Marianne, Britannia e Thatcher, Columbia e Justice no Capitólio, Ceschiatti e a República brasileira, o Palais de Justice de Bruxelas, e a balança da Justiça como arma geopolítica.</w:t>
      </w:r>
    </w:p>
    <w:p>
      <w:pPr>
        <w:pStyle w:val="BodyText"/>
      </w:pPr>
      <w:r>
        <w:rPr>
          <w:lang w:val="pt-BR"/>
        </w:rPr>
        <w:t xml:space="preserve">A</w:t>
      </w:r>
      <w:r>
        <w:rPr>
          <w:lang w:val="pt-BR"/>
        </w:rPr>
        <w:t xml:space="preserve"> </w:t>
      </w:r>
      <w:r>
        <w:rPr>
          <w:b/>
          <w:bCs/>
          <w:lang w:val="pt-BR"/>
        </w:rPr>
        <w:t xml:space="preserve">Parte IV — Atlas Iconocrático</w:t>
      </w:r>
      <w:r>
        <w:rPr>
          <w:lang w:val="pt-BR"/>
        </w:rPr>
        <w:t xml:space="preserve"> </w:t>
      </w:r>
      <w:r>
        <w:rPr>
          <w:lang w:val="pt-BR"/>
        </w:rPr>
        <w:t xml:space="preserve">compreende dois capítulos. O</w:t>
      </w:r>
      <w:r>
        <w:rPr>
          <w:lang w:val="pt-BR"/>
        </w:rPr>
        <w:t xml:space="preserve"> </w:t>
      </w:r>
      <w:r>
        <w:rPr>
          <w:b/>
          <w:bCs/>
          <w:lang w:val="pt-BR"/>
        </w:rPr>
        <w:t xml:space="preserve">Capítulo 8</w:t>
      </w:r>
      <w:r>
        <w:rPr>
          <w:lang w:val="pt-BR"/>
        </w:rPr>
        <w:t xml:space="preserve"> </w:t>
      </w:r>
      <w:r>
        <w:rPr>
          <w:lang w:val="pt-BR"/>
        </w:rPr>
        <w:t xml:space="preserve">(</w:t>
      </w:r>
      <w:r>
        <w:rPr>
          <w:i/>
          <w:iCs/>
          <w:lang w:val="pt-BR"/>
        </w:rPr>
        <w:t xml:space="preserve">O Atlas Iconocrático: Princípios e Arquitetura</w:t>
      </w:r>
      <w:r>
        <w:rPr>
          <w:lang w:val="pt-BR"/>
        </w:rPr>
        <w:t xml:space="preserve">) explicita a herança warburguiana, os critérios de composição dos painéis, e o</w:t>
      </w:r>
      <w:r>
        <w:rPr>
          <w:lang w:val="pt-BR"/>
        </w:rPr>
        <w:t xml:space="preserve"> </w:t>
      </w:r>
      <w:r>
        <w:rPr>
          <w:i/>
          <w:iCs/>
          <w:lang w:val="pt-BR"/>
        </w:rPr>
        <w:t xml:space="preserve">Zwischenraum</w:t>
      </w:r>
      <w:r>
        <w:rPr>
          <w:lang w:val="pt-BR"/>
        </w:rPr>
        <w:t xml:space="preserve"> </w:t>
      </w:r>
      <w:r>
        <w:rPr>
          <w:lang w:val="pt-BR"/>
        </w:rPr>
        <w:t xml:space="preserve">como princípio estruturante. O</w:t>
      </w:r>
      <w:r>
        <w:rPr>
          <w:lang w:val="pt-BR"/>
        </w:rPr>
        <w:t xml:space="preserve"> </w:t>
      </w:r>
      <w:r>
        <w:rPr>
          <w:b/>
          <w:bCs/>
          <w:lang w:val="pt-BR"/>
        </w:rPr>
        <w:t xml:space="preserve">Capítulo 9</w:t>
      </w:r>
      <w:r>
        <w:rPr>
          <w:lang w:val="pt-BR"/>
        </w:rPr>
        <w:t xml:space="preserve"> </w:t>
      </w:r>
      <w:r>
        <w:rPr>
          <w:lang w:val="pt-BR"/>
        </w:rPr>
        <w:t xml:space="preserve">(</w:t>
      </w:r>
      <w:r>
        <w:rPr>
          <w:i/>
          <w:iCs/>
          <w:lang w:val="pt-BR"/>
        </w:rPr>
        <w:t xml:space="preserve">Os 8 Painéis do Atlas Iconocrático</w:t>
      </w:r>
      <w:r>
        <w:rPr>
          <w:lang w:val="pt-BR"/>
        </w:rPr>
        <w:t xml:space="preserve">) apresenta os painéis temáticos: Gênese, Justitia, Domesticação, endurecimento, Pedra e Bronze, Balança e Império, Branquitude, e Fissuras.</w:t>
      </w:r>
    </w:p>
    <w:p>
      <w:pPr>
        <w:pStyle w:val="BodyText"/>
      </w:pPr>
      <w:r>
        <w:rPr>
          <w:lang w:val="pt-BR"/>
        </w:rPr>
        <w:t xml:space="preserve">As</w:t>
      </w:r>
      <w:r>
        <w:rPr>
          <w:lang w:val="pt-BR"/>
        </w:rPr>
        <w:t xml:space="preserve"> </w:t>
      </w:r>
      <w:r>
        <w:rPr>
          <w:b/>
          <w:bCs/>
          <w:lang w:val="pt-BR"/>
        </w:rPr>
        <w:t xml:space="preserve">Conclusões</w:t>
      </w:r>
      <w:r>
        <w:rPr>
          <w:lang w:val="pt-BR"/>
        </w:rPr>
        <w:t xml:space="preserve"> </w:t>
      </w:r>
      <w:r>
        <w:rPr>
          <w:lang w:val="pt-BR"/>
        </w:rPr>
        <w:t xml:space="preserve">retornam às perguntas de pesquisa, avaliam o rendimento do conceito de Contrato Sexual Visual, discutem as implicações para a teoria jurídica e para o letramento visual no Direito, e identificam os limites desta pesquisa e os atlas que ficam por fazer.</w:t>
      </w:r>
    </w:p>
    <w:p>
      <w:pPr>
        <w:pStyle w:val="BodyText"/>
      </w:pPr>
      <w:r>
        <w:rPr>
          <w:lang w:val="pt-BR"/>
        </w:rPr>
        <w:t xml:space="preserve">* * *</w:t>
      </w:r>
    </w:p>
    <w:bookmarkEnd w:id="32"/>
    <w:bookmarkEnd w:id="33"/>
    <w:bookmarkEnd w:id="34"/>
    <w:bookmarkStart w:id="46" w:name="capítulo-1"/>
    <w:p>
      <w:pPr>
        <w:pStyle w:val="Heading1"/>
      </w:pPr>
      <w:r>
        <w:rPr>
          <w:rStyle w:val="SectionNumber"/>
          <w:lang w:val="pt-BR"/>
        </w:rPr>
        <w:t xml:space="preserve">2</w:t>
      </w:r>
      <w:r>
        <w:tab/>
      </w:r>
      <w:r>
        <w:rPr>
          <w:lang w:val="pt-BR"/>
        </w:rPr>
        <w:t xml:space="preserve">CAPÍTULO 1</w:t>
      </w:r>
    </w:p>
    <w:bookmarkStart w:id="45" w:name="X2325e6e82892a9f08905011a25ea3a1f8b3768b"/>
    <w:p>
      <w:pPr>
        <w:pStyle w:val="Heading2"/>
      </w:pPr>
      <w:r>
        <w:rPr>
          <w:rStyle w:val="SectionNumber"/>
          <w:lang w:val="pt-BR"/>
        </w:rPr>
        <w:t xml:space="preserve">2.1</w:t>
      </w:r>
      <w:r>
        <w:tab/>
      </w:r>
      <w:r>
        <w:rPr>
          <w:lang w:val="pt-BR"/>
        </w:rPr>
        <w:t xml:space="preserve">O CONTRATO SEXUAL E A IMAGEM: DE PATEMAN À VISIOCRACIA</w:t>
      </w:r>
    </w:p>
    <w:p>
      <w:r>
        <w:pict>
          <v:rect style="width:0;height:1.5pt" o:hralign="center" o:hrstd="t" o:hr="t"/>
        </w:pict>
      </w:r>
    </w:p>
    <w:p>
      <w:pPr>
        <w:pStyle w:val="BlockText"/>
      </w:pPr>
      <w:r>
        <w:rPr>
          <w:i/>
          <w:iCs/>
          <w:lang w:val="pt-BR"/>
        </w:rPr>
        <w:t xml:space="preserve">“Ouvimos muito sobre o contrato social, mas se mantém um silêncio profundo sobre o contrato sexual.”</w:t>
      </w:r>
      <w:r>
        <w:rPr>
          <w:lang w:val="pt-BR"/>
        </w:rPr>
        <w:t xml:space="preserve"> </w:t>
      </w:r>
      <w:r>
        <w:rPr>
          <w:lang w:val="pt-BR"/>
        </w:rPr>
        <w:t xml:space="preserve">— Carole Pateman,</w:t>
      </w:r>
      <w:r>
        <w:rPr>
          <w:lang w:val="pt-BR"/>
        </w:rPr>
        <w:t xml:space="preserve"> </w:t>
      </w:r>
      <w:r>
        <w:rPr>
          <w:i/>
          <w:iCs/>
          <w:lang w:val="pt-BR"/>
        </w:rPr>
        <w:t xml:space="preserve">O contrato sexual</w:t>
      </w:r>
      <w:r>
        <w:rPr>
          <w:lang w:val="pt-BR"/>
        </w:rPr>
        <w:t xml:space="preserve"> </w:t>
      </w:r>
      <w:r>
        <w:rPr>
          <w:lang w:val="pt-BR"/>
        </w:rPr>
        <w:t xml:space="preserve">(1993, p. 15)</w:t>
      </w:r>
    </w:p>
    <w:p>
      <w:pPr>
        <w:pStyle w:val="BlockText"/>
      </w:pPr>
      <w:r>
        <w:rPr>
          <w:i/>
          <w:iCs/>
          <w:lang w:val="pt-BR"/>
        </w:rPr>
        <w:t xml:space="preserve">“The law of images concerned the dignities that the earlier Roman Notitia had listed.”</w:t>
      </w:r>
      <w:r>
        <w:rPr>
          <w:lang w:val="pt-BR"/>
        </w:rPr>
        <w:t xml:space="preserve"> </w:t>
      </w:r>
      <w:r>
        <w:rPr>
          <w:lang w:val="pt-BR"/>
        </w:rPr>
        <w:t xml:space="preserve">— Peter Goodrich,</w:t>
      </w:r>
      <w:r>
        <w:rPr>
          <w:lang w:val="pt-BR"/>
        </w:rPr>
        <w:t xml:space="preserve"> </w:t>
      </w:r>
      <w:r>
        <w:rPr>
          <w:lang w:val="pt-BR"/>
        </w:rPr>
        <w:t xml:space="preserve">“Visiocracy: On the Futures of the Fingerpost”</w:t>
      </w:r>
      <w:r>
        <w:rPr>
          <w:lang w:val="pt-BR"/>
        </w:rPr>
        <w:t xml:space="preserve"> </w:t>
      </w:r>
      <w:r>
        <w:rPr>
          <w:lang w:val="pt-BR"/>
        </w:rPr>
        <w:t xml:space="preserve">(2013a, p. 506)</w:t>
      </w:r>
    </w:p>
    <w:p>
      <w:r>
        <w:pict>
          <v:rect style="width:0;height:1.5pt" o:hralign="center" o:hrstd="t" o:hr="t"/>
        </w:pict>
      </w:r>
    </w:p>
    <w:bookmarkStart w:id="35" w:name="X541566404a4fbd186d1e28ef688045db59cb933"/>
    <w:p>
      <w:pPr>
        <w:pStyle w:val="Heading3"/>
      </w:pPr>
      <w:r>
        <w:rPr>
          <w:rStyle w:val="SectionNumber"/>
          <w:lang w:val="pt-BR"/>
        </w:rPr>
        <w:t xml:space="preserve">2.1.1</w:t>
      </w:r>
      <w:r>
        <w:tab/>
      </w:r>
      <w:r>
        <w:rPr>
          <w:lang w:val="pt-BR"/>
        </w:rPr>
        <w:t xml:space="preserve">1.1 O contrato sexual como fundação silenciada</w:t>
      </w:r>
    </w:p>
    <w:p>
      <w:pPr>
        <w:pStyle w:val="FirstParagraph"/>
      </w:pPr>
      <w:r>
        <w:rPr>
          <w:lang w:val="pt-BR"/>
        </w:rPr>
        <w:t xml:space="preserve">Em 1848, enquanto a onda revolucionária varria a Europa e novas constituições eram redigidas em Paris, Viena, Berlim e Copenhague, o parlamento belga debatia não a revolução, mas o</w:t>
      </w:r>
      <w:r>
        <w:rPr>
          <w:lang w:val="pt-BR"/>
        </w:rPr>
        <w:t xml:space="preserve"> </w:t>
      </w:r>
      <w:r>
        <w:rPr>
          <w:i/>
          <w:iCs/>
          <w:lang w:val="pt-BR"/>
        </w:rPr>
        <w:t xml:space="preserve">culto</w:t>
      </w:r>
      <w:r>
        <w:rPr>
          <w:lang w:val="pt-BR"/>
        </w:rPr>
        <w:t xml:space="preserve"> </w:t>
      </w:r>
      <w:r>
        <w:rPr>
          <w:lang w:val="pt-BR"/>
        </w:rPr>
        <w:t xml:space="preserve">à sua própria Constituição. Stefan Huygebaert demonstrou como o governo liberal de Charles Rogier mobilizou, nesse contexto, uma iconografia constitucional massiva: litografias alegóricas, medalhas comemorativas, uma edição ilustrada da Constituição e o projeto da Coluna do Congresso em Bruxelas, um monumento de 47 metros encimado, primeiro, por uma personificação feminina da Constituição e, depois, por decisão parlamentar, pela estátua do rei Leopoldo I (HUYGEBAERT, 2015). A alegoria de Meganck,</w:t>
      </w:r>
      <w:r>
        <w:rPr>
          <w:lang w:val="pt-BR"/>
        </w:rPr>
        <w:t xml:space="preserve"> </w:t>
      </w:r>
      <w:r>
        <w:rPr>
          <w:i/>
          <w:iCs/>
          <w:lang w:val="pt-BR"/>
        </w:rPr>
        <w:t xml:space="preserve">Respect à la Constitution</w:t>
      </w:r>
      <w:r>
        <w:rPr>
          <w:lang w:val="pt-BR"/>
        </w:rPr>
        <w:t xml:space="preserve"> </w:t>
      </w:r>
      <w:r>
        <w:rPr>
          <w:lang w:val="pt-BR"/>
        </w:rPr>
        <w:t xml:space="preserve">(1848), mostrava a Justiça, sem venda e de olhar penetrante, confrontando a personificação da Nação Belga, uma mulher que segurava as tábuas da lei e apontava didaticamente para o texto constitucional. Do outro lado, a Liberdade</w:t>
      </w:r>
      <w:r>
        <w:rPr>
          <w:lang w:val="pt-BR"/>
        </w:rPr>
        <w:t xml:space="preserve"> </w:t>
      </w:r>
      <w:r>
        <w:rPr>
          <w:lang w:val="pt-BR"/>
        </w:rPr>
        <w:t xml:space="preserve">“francesa”</w:t>
      </w:r>
      <w:r>
        <w:rPr>
          <w:lang w:val="pt-BR"/>
        </w:rPr>
        <w:t xml:space="preserve"> </w:t>
      </w:r>
      <w:r>
        <w:rPr>
          <w:lang w:val="pt-BR"/>
        </w:rPr>
        <w:t xml:space="preserve">emergia das barricadas com barrete frígio, uma cidade em chamas ao fundo. A mensagem era visual antes de ser jurídica: a Bélgica constitucional, feminina e serena, opunha-se à França revolucionária, feminina e destrutiva.</w:t>
      </w:r>
    </w:p>
    <w:p>
      <w:pPr>
        <w:pStyle w:val="BodyText"/>
      </w:pPr>
      <w:r>
        <w:rPr>
          <w:lang w:val="pt-BR"/>
        </w:rPr>
        <w:t xml:space="preserve">Essa cena condensa o paradoxo que move a presente investigação. A sacralidade da Constituição belga foi</w:t>
      </w:r>
      <w:r>
        <w:rPr>
          <w:lang w:val="pt-BR"/>
        </w:rPr>
        <w:t xml:space="preserve"> </w:t>
      </w:r>
      <w:r>
        <w:rPr>
          <w:i/>
          <w:iCs/>
          <w:lang w:val="pt-BR"/>
        </w:rPr>
        <w:t xml:space="preserve">encenada</w:t>
      </w:r>
      <w:r>
        <w:rPr>
          <w:lang w:val="pt-BR"/>
        </w:rPr>
        <w:t xml:space="preserve"> </w:t>
      </w:r>
      <w:r>
        <w:rPr>
          <w:lang w:val="pt-BR"/>
        </w:rPr>
        <w:t xml:space="preserve">como imagem feminina, não apenas proclamada em discurso. A estabilidade política assumia a forma de uma figura feminina entronizada; sua contrapartida revolucionária era outra figura feminina, desta vez descontrolada. Os homens reais — o parlamentar Delfosse chorando de patriotismo, o ministro Rogier reforçando a fronteira, o rei Leopoldo recusando modestamente sua própria efígie — agiam politicamente. As mulheres alegóricas — Justiça, Nação, Liberdade, Constituição — performavam visualmente o que esses homens decidiam por escrito. Nenhuma mulher real participava desse parlamento; o sufrágio feminino na Bélgica só seria plenamente conquistado em 1948, um século depois.</w:t>
      </w:r>
    </w:p>
    <w:p>
      <w:pPr>
        <w:pStyle w:val="BodyText"/>
      </w:pPr>
      <w:r>
        <w:rPr>
          <w:lang w:val="pt-BR"/>
        </w:rPr>
        <w:t xml:space="preserve">É para explicar essa estrutura — a aliança sistemática entre a hipervisibilidade alegórica feminina e a exclusão cívica das mulheres reais — que esta tese recorre, em primeiro lugar, à teoria do contrato sexual de Carole Pateman. Recorre a ela, contudo, para ir além dela.</w:t>
      </w:r>
    </w:p>
    <w:p>
      <w:pPr>
        <w:pStyle w:val="BodyText"/>
      </w:pPr>
      <w:r>
        <w:rPr>
          <w:lang w:val="pt-BR"/>
        </w:rPr>
        <w:t xml:space="preserve">Em</w:t>
      </w:r>
      <w:r>
        <w:rPr>
          <w:lang w:val="pt-BR"/>
        </w:rPr>
        <w:t xml:space="preserve"> </w:t>
      </w:r>
      <w:r>
        <w:rPr>
          <w:i/>
          <w:iCs/>
          <w:lang w:val="pt-BR"/>
        </w:rPr>
        <w:t xml:space="preserve">O contrato sexual</w:t>
      </w:r>
      <w:r>
        <w:rPr>
          <w:lang w:val="pt-BR"/>
        </w:rPr>
        <w:t xml:space="preserve"> </w:t>
      </w:r>
      <w:r>
        <w:rPr>
          <w:lang w:val="pt-BR"/>
        </w:rPr>
        <w:t xml:space="preserve">(1988 [trad. bras. 1993]), Pateman realiza uma operação teórica que altera irreversivelmente o campo da teoria política. Ela demonstra que a narrativa convencional do contrato social — a história da fundação da sociedade civil livre e igualitária contada por Hobbes, Locke e Rousseau — compõe apenas metade de uma história. A outra metade, sistematicamente suprimida, é o contrato sexual: o pacto pelo qual os homens garantem entre si o direito de acesso regular aos corpos das mulheres como condição da nova ordem civil. O contrato original é simultaneamente social e sexual — um pacto</w:t>
      </w:r>
      <w:r>
        <w:rPr>
          <w:lang w:val="pt-BR"/>
        </w:rPr>
        <w:t xml:space="preserve"> </w:t>
      </w:r>
      <w:r>
        <w:rPr>
          <w:i/>
          <w:iCs/>
          <w:lang w:val="pt-BR"/>
        </w:rPr>
        <w:t xml:space="preserve">sexual-social</w:t>
      </w:r>
      <w:r>
        <w:rPr>
          <w:lang w:val="pt-BR"/>
        </w:rPr>
        <w:t xml:space="preserve"> </w:t>
      </w:r>
      <w:r>
        <w:rPr>
          <w:lang w:val="pt-BR"/>
        </w:rPr>
        <w:t xml:space="preserve">—, razão pela qual</w:t>
      </w:r>
      <w:r>
        <w:rPr>
          <w:lang w:val="pt-BR"/>
        </w:rPr>
        <w:t xml:space="preserve"> </w:t>
      </w:r>
      <w:r>
        <w:rPr>
          <w:lang w:val="pt-BR"/>
        </w:rPr>
        <w:t xml:space="preserve">“metade do acordo está faltando”</w:t>
      </w:r>
      <w:r>
        <w:rPr>
          <w:lang w:val="pt-BR"/>
        </w:rPr>
        <w:t xml:space="preserve"> </w:t>
      </w:r>
      <w:r>
        <w:rPr>
          <w:lang w:val="pt-BR"/>
        </w:rPr>
        <w:t xml:space="preserve">nas versões tradicionais (PATEMAN, 1993, p. 15–16). Essa formulação não é apenas uma observação historiográfica; é uma proposição de natureza estrutural: a liberdade civil moderna não é universal, mas um atributo masculino que pressupõe o direito patriarcal.</w:t>
      </w:r>
    </w:p>
    <w:p>
      <w:pPr>
        <w:pStyle w:val="BodyText"/>
      </w:pPr>
      <w:r>
        <w:rPr>
          <w:lang w:val="pt-BR"/>
        </w:rPr>
        <w:t xml:space="preserve">Uma das contribuições mais consequentes de Pateman é a distinção entre duas formas de patriarcado. O patriarcalismo clássico — o poder do pai sobre a família — é efetivamente derrotado pela revolução contratualista: os filhos se emancipam, fundam a sociedade civil e substituem o poder paterno pelo governo representativo. É a narrativa que a teoria política convencional celebra. Contudo, a derrota do pai não elimina o patriarcado; apenas o transforma. O patriarcado moderno é</w:t>
      </w:r>
      <w:r>
        <w:rPr>
          <w:lang w:val="pt-BR"/>
        </w:rPr>
        <w:t xml:space="preserve"> </w:t>
      </w:r>
      <w:r>
        <w:rPr>
          <w:i/>
          <w:iCs/>
          <w:lang w:val="pt-BR"/>
        </w:rPr>
        <w:t xml:space="preserve">fraternal</w:t>
      </w:r>
      <w:r>
        <w:rPr>
          <w:lang w:val="pt-BR"/>
        </w:rPr>
        <w:t xml:space="preserve">, não paternal: um pacto entre irmãos, entre homens como classe, que assegura coletivamente o direito sexual masculino. A fraternidade que funda a república opera, literalmente, como aliança entre homens sobre os corpos das mulheres, não como metáfora de igualdade universal (PATEMAN, 1993, p. 32–34).</w:t>
      </w:r>
    </w:p>
    <w:p>
      <w:pPr>
        <w:pStyle w:val="BodyText"/>
      </w:pPr>
      <w:r>
        <w:rPr>
          <w:lang w:val="pt-BR"/>
        </w:rPr>
        <w:t xml:space="preserve">Pateman demonstra que essa estrutura se materializa em três contratos concretos que a modernidade apresenta como expressões de liberdade, mas que operam como formas de subordinação: o contrato de casamento, que institucionaliza a subordinação conjugal; o contrato de trabalho, que institui a relação empregador-empregado como forma de obediência; e o contrato de prostituição, que transforma o acesso sexual ao corpo feminino em transação comercial. Em cada caso, o contrato produz a ficção jurídica de um acordo livre entre partes estruturalmente desiguais (PATEMAN, 1993, p. 33–35). A formulação mais condensada do argumento é o conceito de</w:t>
      </w:r>
      <w:r>
        <w:rPr>
          <w:lang w:val="pt-BR"/>
        </w:rPr>
        <w:t xml:space="preserve"> </w:t>
      </w:r>
      <w:r>
        <w:rPr>
          <w:lang w:val="pt-BR"/>
        </w:rPr>
        <w:t xml:space="preserve">“lei do direito sexual masculino”</w:t>
      </w:r>
      <w:r>
        <w:rPr>
          <w:lang w:val="pt-BR"/>
        </w:rPr>
        <w:t xml:space="preserve">,</w:t>
      </w:r>
      <w:r>
        <w:rPr>
          <w:lang w:val="pt-BR"/>
        </w:rPr>
        <w:t xml:space="preserve"> </w:t>
      </w:r>
      <w:r>
        <w:rPr>
          <w:i/>
          <w:iCs/>
          <w:lang w:val="pt-BR"/>
        </w:rPr>
        <w:t xml:space="preserve">law of male sex-right</w:t>
      </w:r>
      <w:r>
        <w:rPr>
          <w:lang w:val="pt-BR"/>
        </w:rPr>
        <w:t xml:space="preserve">, tomado de Adrienne Rich: o contrato original funda a sociedade civil instituindo, ao mesmo tempo, um direito sistemático dos homens sobre os corpos das mulheres (RICH, 1980; PATEMAN, 1993, p. 37).</w:t>
      </w:r>
    </w:p>
    <w:p>
      <w:pPr>
        <w:pStyle w:val="BodyText"/>
      </w:pPr>
      <w:r>
        <w:rPr>
          <w:lang w:val="pt-BR"/>
        </w:rPr>
        <w:t xml:space="preserve">É aqui que o argumento de Pateman se torna diretamente relevante para o problema desta tese. Se o contrato sexual é a condição silenciada do contrato social, a pergunta que se impõe é:</w:t>
      </w:r>
      <w:r>
        <w:rPr>
          <w:lang w:val="pt-BR"/>
        </w:rPr>
        <w:t xml:space="preserve"> </w:t>
      </w:r>
      <w:r>
        <w:rPr>
          <w:i/>
          <w:iCs/>
          <w:lang w:val="pt-BR"/>
        </w:rPr>
        <w:t xml:space="preserve">como</w:t>
      </w:r>
      <w:r>
        <w:rPr>
          <w:lang w:val="pt-BR"/>
        </w:rPr>
        <w:t xml:space="preserve"> </w:t>
      </w:r>
      <w:r>
        <w:rPr>
          <w:lang w:val="pt-BR"/>
        </w:rPr>
        <w:t xml:space="preserve">esse silenciamento opera? Por quais mecanismos a metade perdida da história permanece perdida? Pateman responde no plano jurídico-político: pela naturalização da ficção do consentimento livre, pela estrutura dos contratos concretos e pela teoria política que conta apenas metade da história. Mas essa resposta é incompleta. Pateman não examina, em nenhum momento de</w:t>
      </w:r>
      <w:r>
        <w:rPr>
          <w:lang w:val="pt-BR"/>
        </w:rPr>
        <w:t xml:space="preserve"> </w:t>
      </w:r>
      <w:r>
        <w:rPr>
          <w:i/>
          <w:iCs/>
          <w:lang w:val="pt-BR"/>
        </w:rPr>
        <w:t xml:space="preserve">O contrato sexual</w:t>
      </w:r>
      <w:r>
        <w:rPr>
          <w:lang w:val="pt-BR"/>
        </w:rPr>
        <w:t xml:space="preserve">, a dimensão visual e simbólica do contrato. Ela descreve o que o contrato sexual</w:t>
      </w:r>
      <w:r>
        <w:rPr>
          <w:lang w:val="pt-BR"/>
        </w:rPr>
        <w:t xml:space="preserve"> </w:t>
      </w:r>
      <w:r>
        <w:rPr>
          <w:i/>
          <w:iCs/>
          <w:lang w:val="pt-BR"/>
        </w:rPr>
        <w:t xml:space="preserve">faz</w:t>
      </w:r>
      <w:r>
        <w:rPr>
          <w:lang w:val="pt-BR"/>
        </w:rPr>
        <w:t xml:space="preserve"> </w:t>
      </w:r>
      <w:r>
        <w:rPr>
          <w:lang w:val="pt-BR"/>
        </w:rPr>
        <w:t xml:space="preserve">(subordina as mulheres), como ele se</w:t>
      </w:r>
      <w:r>
        <w:rPr>
          <w:lang w:val="pt-BR"/>
        </w:rPr>
        <w:t xml:space="preserve"> </w:t>
      </w:r>
      <w:r>
        <w:rPr>
          <w:i/>
          <w:iCs/>
          <w:lang w:val="pt-BR"/>
        </w:rPr>
        <w:t xml:space="preserve">institucionaliza</w:t>
      </w:r>
      <w:r>
        <w:rPr>
          <w:lang w:val="pt-BR"/>
        </w:rPr>
        <w:t xml:space="preserve"> </w:t>
      </w:r>
      <w:r>
        <w:rPr>
          <w:lang w:val="pt-BR"/>
        </w:rPr>
        <w:t xml:space="preserve">(nos contratos concretos) e por que ele permanece</w:t>
      </w:r>
      <w:r>
        <w:rPr>
          <w:lang w:val="pt-BR"/>
        </w:rPr>
        <w:t xml:space="preserve"> </w:t>
      </w:r>
      <w:r>
        <w:rPr>
          <w:i/>
          <w:iCs/>
          <w:lang w:val="pt-BR"/>
        </w:rPr>
        <w:t xml:space="preserve">invisível</w:t>
      </w:r>
      <w:r>
        <w:rPr>
          <w:lang w:val="pt-BR"/>
        </w:rPr>
        <w:t xml:space="preserve"> </w:t>
      </w:r>
      <w:r>
        <w:rPr>
          <w:lang w:val="pt-BR"/>
        </w:rPr>
        <w:t xml:space="preserve">para a teoria política convencional. Mas não pergunta:</w:t>
      </w:r>
      <w:r>
        <w:rPr>
          <w:lang w:val="pt-BR"/>
        </w:rPr>
        <w:t xml:space="preserve"> </w:t>
      </w:r>
      <w:r>
        <w:rPr>
          <w:i/>
          <w:iCs/>
          <w:lang w:val="pt-BR"/>
        </w:rPr>
        <w:t xml:space="preserve">o que o contrato sexual mostra</w:t>
      </w:r>
      <w:r>
        <w:rPr>
          <w:lang w:val="pt-BR"/>
        </w:rPr>
        <w:t xml:space="preserve">?</w:t>
      </w:r>
    </w:p>
    <w:p>
      <w:r>
        <w:pict>
          <v:rect style="width:0;height:1.5pt" o:hralign="center" o:hrstd="t" o:hr="t"/>
        </w:pict>
      </w:r>
    </w:p>
    <w:bookmarkEnd w:id="35"/>
    <w:bookmarkStart w:id="36" w:name="X59d84a731d3987f0ed20963b4089a0056bad819"/>
    <w:p>
      <w:pPr>
        <w:pStyle w:val="Heading3"/>
      </w:pPr>
      <w:r>
        <w:rPr>
          <w:rStyle w:val="SectionNumber"/>
          <w:lang w:val="pt-BR"/>
        </w:rPr>
        <w:t xml:space="preserve">2.1.2</w:t>
      </w:r>
      <w:r>
        <w:tab/>
      </w:r>
      <w:r>
        <w:rPr>
          <w:lang w:val="pt-BR"/>
        </w:rPr>
        <w:t xml:space="preserve">1.2 O ponto cego visual: o que Pateman não viu</w:t>
      </w:r>
    </w:p>
    <w:p>
      <w:pPr>
        <w:pStyle w:val="FirstParagraph"/>
      </w:pPr>
      <w:r>
        <w:rPr>
          <w:lang w:val="pt-BR"/>
        </w:rPr>
        <w:t xml:space="preserve">A ausência é notável por seu tamanho. Em</w:t>
      </w:r>
      <w:r>
        <w:rPr>
          <w:lang w:val="pt-BR"/>
        </w:rPr>
        <w:t xml:space="preserve"> </w:t>
      </w:r>
      <w:r>
        <w:rPr>
          <w:i/>
          <w:iCs/>
          <w:lang w:val="pt-BR"/>
        </w:rPr>
        <w:t xml:space="preserve">O contrato sexual</w:t>
      </w:r>
      <w:r>
        <w:rPr>
          <w:lang w:val="pt-BR"/>
        </w:rPr>
        <w:t xml:space="preserve">, não há uma única referência a moedas, selos, monumentos, alegorias, iconografia oficial, arquitetura forense ou qualquer outro dispositivo visual do Estado. Pateman analisa o contrato de casamento sem mencionar as alegorias nupciais que adornam os códigos civis. Discute a prostituição sem considerar as representações visuais da virtude e do vício que organizam a pedagogia moral do Estado. Examina a subordinação das mulheres sem perguntar por que, no exato período em que essa subordinação se intensifica juridicamente, o corpo feminino se torna o veículo privilegiado da iconografia oficial (PATEMAN, 1993).</w:t>
      </w:r>
    </w:p>
    <w:p>
      <w:pPr>
        <w:pStyle w:val="BodyText"/>
      </w:pPr>
      <w:r>
        <w:rPr>
          <w:lang w:val="pt-BR"/>
        </w:rPr>
        <w:t xml:space="preserve">Essa ausência não é uma falha pessoal de Pateman; é uma limitação estrutural do campo em que ela opera. A teoria política, de Hobbes a Rawls, de Pateman a Charles Mills, trabalha com textos: tratados filosóficos, constituições, legislação, contratos. As imagens, quando aparecem, são tratadas como ilustrações secundárias de argumentos que existem independentemente delas. A virada visual que transformou a história da arte — com Panofsky e Warburg —, os estudos culturais — com Mitchell (MITCHELL, 1994) e Mirzoeff (MIRZOEFF, 1999) — e a teoria jurídica — com Goodrich (GOODRICH, 2013a; 2013b), Manderson (MANDERSON, 2018) e Douzinas (DOUZINAS; NEAD, 1999) — ainda não penetrou a teoria política feminista.</w:t>
      </w:r>
    </w:p>
    <w:p>
      <w:pPr>
        <w:pStyle w:val="BodyText"/>
      </w:pPr>
      <w:r>
        <w:rPr>
          <w:lang w:val="pt-BR"/>
        </w:rPr>
        <w:t xml:space="preserve">O resultado é um paradoxo teórico. Pateman demonstra que o contrato sexual opera por ocultação, usando expressões como</w:t>
      </w:r>
      <w:r>
        <w:rPr>
          <w:lang w:val="pt-BR"/>
        </w:rPr>
        <w:t xml:space="preserve"> </w:t>
      </w:r>
      <w:r>
        <w:rPr>
          <w:lang w:val="pt-BR"/>
        </w:rPr>
        <w:t xml:space="preserve">“o contrato sexual nunca é mencionado”</w:t>
      </w:r>
      <w:r>
        <w:rPr>
          <w:lang w:val="pt-BR"/>
        </w:rPr>
        <w:t xml:space="preserve">,</w:t>
      </w:r>
      <w:r>
        <w:rPr>
          <w:lang w:val="pt-BR"/>
        </w:rPr>
        <w:t xml:space="preserve"> </w:t>
      </w:r>
      <w:r>
        <w:rPr>
          <w:lang w:val="pt-BR"/>
        </w:rPr>
        <w:t xml:space="preserve">“metade da história está faltando”</w:t>
      </w:r>
      <w:r>
        <w:rPr>
          <w:lang w:val="pt-BR"/>
        </w:rPr>
        <w:t xml:space="preserve"> </w:t>
      </w:r>
      <w:r>
        <w:rPr>
          <w:lang w:val="pt-BR"/>
        </w:rPr>
        <w:t xml:space="preserve">e</w:t>
      </w:r>
      <w:r>
        <w:rPr>
          <w:lang w:val="pt-BR"/>
        </w:rPr>
        <w:t xml:space="preserve"> </w:t>
      </w:r>
      <w:r>
        <w:rPr>
          <w:lang w:val="pt-BR"/>
        </w:rPr>
        <w:t xml:space="preserve">“as camadas de autocensura teórica”</w:t>
      </w:r>
      <w:r>
        <w:rPr>
          <w:lang w:val="pt-BR"/>
        </w:rPr>
        <w:t xml:space="preserve"> </w:t>
      </w:r>
      <w:r>
        <w:rPr>
          <w:lang w:val="pt-BR"/>
        </w:rPr>
        <w:t xml:space="preserve">precisam ser rompidas. A forma mais massiva e cotidiana dessa ocultação é, contudo, de natureza visual. A metade perdida da história não permanece perdida apenas pelo silêncio dos filósofos. Permanece-o, sobretudo, pela presença onipresente das alegorias femininas que ocupam preventivamente o lugar simbólico das mulheres reais, tornando a sua exclusão política tolerável, natural, até bela.</w:t>
      </w:r>
    </w:p>
    <w:p>
      <w:pPr>
        <w:pStyle w:val="BodyText"/>
      </w:pPr>
      <w:r>
        <w:rPr>
          <w:lang w:val="pt-BR"/>
        </w:rPr>
        <w:t xml:space="preserve">Quando a França revolucionária adotou Marianne como símbolo da República em 1792 e simultaneamente negou às mulheres o direito de voto, de reunião e de associação política [VERIFICAR: a proibição de clubes e associações femininas data de out. 1793, não é simultânea a 1792; e o nome</w:t>
      </w:r>
      <w:r>
        <w:rPr>
          <w:lang w:val="pt-BR"/>
        </w:rPr>
        <w:t xml:space="preserve"> </w:t>
      </w:r>
      <w:r>
        <w:rPr>
          <w:lang w:val="pt-BR"/>
        </w:rPr>
        <w:t xml:space="preserve">“Marianne”</w:t>
      </w:r>
      <w:r>
        <w:rPr>
          <w:lang w:val="pt-BR"/>
        </w:rPr>
        <w:t xml:space="preserve"> </w:t>
      </w:r>
      <w:r>
        <w:rPr>
          <w:lang w:val="pt-BR"/>
        </w:rPr>
        <w:t xml:space="preserve">é posterior à figura de 1792]; quando a Bélgica de Rogier erigiu uma personificação feminina da Constituição enquanto mantinha o sufrágio censitário exclusivamente masculino; quando o Bureau of Engraving and Printing dos Estados Unidos gravou em aço a figura de uma Justiça vendada, com balança e espada, num país que negaria às mulheres o voto federal até 1920 — o contrato sexual não estava apenas em silêncio. Estava em exibição. Mas exibia-se sob a forma mais eficaz de ocultação: a substituição da presença real pela presença simbólica.</w:t>
      </w:r>
    </w:p>
    <w:p>
      <w:pPr>
        <w:pStyle w:val="BodyText"/>
      </w:pPr>
      <w:r>
        <w:rPr>
          <w:lang w:val="pt-BR"/>
        </w:rPr>
        <w:t xml:space="preserve">É esse mecanismo — invisível a Pateman porque ela olhava para os textos e não para as imagens — que esta tese propõe nomear como</w:t>
      </w:r>
      <w:r>
        <w:rPr>
          <w:lang w:val="pt-BR"/>
        </w:rPr>
        <w:t xml:space="preserve"> </w:t>
      </w:r>
      <w:r>
        <w:rPr>
          <w:b/>
          <w:bCs/>
          <w:lang w:val="pt-BR"/>
        </w:rPr>
        <w:t xml:space="preserve">Contrato Sexual Visual</w:t>
      </w:r>
      <w:r>
        <w:rPr>
          <w:lang w:val="pt-BR"/>
        </w:rPr>
        <w:t xml:space="preserve">. Mas para demonstrar que a alegoria feminina não é ornamento acidental e sim operação constitutiva do poder soberano, é necessário compreender, antes, como o Direito funciona como sistema de imagens: que tradição visual transmite de tribunal em tribunal a figura da Justitia; que autoridade produzem as perucas, os pórticos colunados, a espada gravada em aço; que genealogia conecta a Marianne dos selos à Justitia das moedas romanas. Esses elementos não são mero adorno decorativo; constituem tecnologias de governança visual que operam como precondição estética e ritualística para a própria eficácia do texto normativo. Para decifrar essa dimensão do fenômeno jurídico, é necessário recorrer a uma teoria que trate as imagens como constitutivas — e não meramente ilustrativas — da autoridade soberana. Essa genealogia da visualidade jurídica encontra sua formulação mais rigorosa no trabalho de Peter Goodrich.</w:t>
      </w:r>
    </w:p>
    <w:p>
      <w:r>
        <w:pict>
          <v:rect style="width:0;height:1.5pt" o:hralign="center" o:hrstd="t" o:hr="t"/>
        </w:pict>
      </w:r>
    </w:p>
    <w:bookmarkEnd w:id="36"/>
    <w:bookmarkStart w:id="37" w:name="X26e2eb6cf5dcfac2179f2ce6d03c63591fb9d55"/>
    <w:p>
      <w:pPr>
        <w:pStyle w:val="Heading3"/>
      </w:pPr>
      <w:r>
        <w:rPr>
          <w:rStyle w:val="SectionNumber"/>
          <w:lang w:val="pt-BR"/>
        </w:rPr>
        <w:t xml:space="preserve">2.1.3</w:t>
      </w:r>
      <w:r>
        <w:tab/>
      </w:r>
      <w:r>
        <w:rPr>
          <w:lang w:val="pt-BR"/>
        </w:rPr>
        <w:t xml:space="preserve">1.3 A visiocracia de Goodrich: o Direito como regime de imagens</w:t>
      </w:r>
    </w:p>
    <w:p>
      <w:pPr>
        <w:pStyle w:val="FirstParagraph"/>
      </w:pPr>
      <w:r>
        <w:rPr>
          <w:lang w:val="pt-BR"/>
        </w:rPr>
        <w:t xml:space="preserve">Se Pateman revelou a metade perdida da história do contrato, Goodrich revela uma dimensão inteira do Direito que a teoria jurídica convencional trata como inexistente: a sua visualidade constitutiva.</w:t>
      </w:r>
    </w:p>
    <w:p>
      <w:pPr>
        <w:pStyle w:val="BodyText"/>
      </w:pPr>
      <w:r>
        <w:rPr>
          <w:lang w:val="pt-BR"/>
        </w:rPr>
        <w:t xml:space="preserve">Peter Goodrich, professor na Cardozo School of Law [VERIFICAR: afiliação possivelmente defasada] e herdeiro intelectual de Pierre Legendre (LEGENDRE, 1974; 1994), desenvolveu ao longo de três décadas de trabalho uma teoria segundo a qual o Direito opera como sistema de imagens antes de operar como sistema de normas. O conceito central é o de</w:t>
      </w:r>
      <w:r>
        <w:rPr>
          <w:lang w:val="pt-BR"/>
        </w:rPr>
        <w:t xml:space="preserve"> </w:t>
      </w:r>
      <w:r>
        <w:rPr>
          <w:b/>
          <w:bCs/>
          <w:lang w:val="pt-BR"/>
        </w:rPr>
        <w:t xml:space="preserve">visiocracia</w:t>
      </w:r>
      <w:r>
        <w:rPr>
          <w:lang w:val="pt-BR"/>
        </w:rPr>
        <w:t xml:space="preserve">: o governo por meio de signos visuais, emblemas e imagens que constituem uma ordem visível e lícita, e que a tradição emblemática ensinava o sujeito a</w:t>
      </w:r>
      <w:r>
        <w:rPr>
          <w:lang w:val="pt-BR"/>
        </w:rPr>
        <w:t xml:space="preserve"> </w:t>
      </w:r>
      <w:r>
        <w:rPr>
          <w:lang w:val="pt-BR"/>
        </w:rPr>
        <w:t xml:space="preserve">“ver e obedecer”</w:t>
      </w:r>
      <w:r>
        <w:rPr>
          <w:lang w:val="pt-BR"/>
        </w:rPr>
        <w:t xml:space="preserve"> </w:t>
      </w:r>
      <w:r>
        <w:rPr>
          <w:lang w:val="pt-BR"/>
        </w:rPr>
        <w:t xml:space="preserve">(GOODRICH, 2013a, p. 506) [VERIFICAR: conferir verbatim na passagem]. Essa teorização, ao ancorar o jurídico em uma economia de representações e rituais de submissão, estabelece um vínculo profundo com o conceito de</w:t>
      </w:r>
      <w:r>
        <w:rPr>
          <w:lang w:val="pt-BR"/>
        </w:rPr>
        <w:t xml:space="preserve"> </w:t>
      </w:r>
      <w:r>
        <w:rPr>
          <w:i/>
          <w:iCs/>
          <w:lang w:val="pt-BR"/>
        </w:rPr>
        <w:t xml:space="preserve">iconocracia</w:t>
      </w:r>
      <w:r>
        <w:rPr>
          <w:lang w:val="pt-BR"/>
        </w:rPr>
        <w:t xml:space="preserve"> </w:t>
      </w:r>
      <w:r>
        <w:rPr>
          <w:lang w:val="pt-BR"/>
        </w:rPr>
        <w:t xml:space="preserve">formulado por Marie-José Mondzain (2002). A obra posterior de Goodrich aproxima seu argumento do de Mondzain num registro mais geral da imagem:</w:t>
      </w:r>
      <w:r>
        <w:rPr>
          <w:lang w:val="pt-BR"/>
        </w:rPr>
        <w:t xml:space="preserve"> </w:t>
      </w:r>
      <w:r>
        <w:rPr>
          <w:i/>
          <w:iCs/>
          <w:lang w:val="pt-BR"/>
        </w:rPr>
        <w:t xml:space="preserve">Imago Decidendi</w:t>
      </w:r>
      <w:r>
        <w:rPr>
          <w:lang w:val="pt-BR"/>
        </w:rPr>
        <w:t xml:space="preserve"> </w:t>
      </w:r>
      <w:r>
        <w:rPr>
          <w:lang w:val="pt-BR"/>
        </w:rPr>
        <w:t xml:space="preserve">(2017) apenas assinala a convergência, sem desenvolver explicitamente o conceito de iconocracia [VERIFICAR: a passagem em GOODRICH, 2017, p. 45 está pendente de conferência — a formulação anterior a esta revisão, mais forte (</w:t>
      </w:r>
      <w:r>
        <w:rPr>
          <w:lang w:val="pt-BR"/>
        </w:rPr>
        <w:t xml:space="preserve">“reconheceu afinidade eletiva… o common law opera uma oikonomia”</w:t>
      </w:r>
      <w:r>
        <w:rPr>
          <w:lang w:val="pt-BR"/>
        </w:rPr>
        <w:t xml:space="preserve">), tinha endurecido um claim que o LEIAME listava como verificação aberta].</w:t>
      </w:r>
    </w:p>
    <w:p>
      <w:pPr>
        <w:pStyle w:val="BodyText"/>
      </w:pPr>
      <w:r>
        <w:rPr>
          <w:lang w:val="pt-BR"/>
        </w:rPr>
        <w:t xml:space="preserve">A genealogia de Goodrich remonta ao</w:t>
      </w:r>
      <w:r>
        <w:rPr>
          <w:lang w:val="pt-BR"/>
        </w:rPr>
        <w:t xml:space="preserve"> </w:t>
      </w:r>
      <w:r>
        <w:rPr>
          <w:i/>
          <w:iCs/>
          <w:lang w:val="pt-BR"/>
        </w:rPr>
        <w:t xml:space="preserve">ius imaginum</w:t>
      </w:r>
      <w:r>
        <w:rPr>
          <w:lang w:val="pt-BR"/>
        </w:rPr>
        <w:t xml:space="preserve"> </w:t>
      </w:r>
      <w:r>
        <w:rPr>
          <w:lang w:val="pt-BR"/>
        </w:rPr>
        <w:t xml:space="preserve">romano, o direito exclusivo dos</w:t>
      </w:r>
      <w:r>
        <w:rPr>
          <w:lang w:val="pt-BR"/>
        </w:rPr>
        <w:t xml:space="preserve"> </w:t>
      </w:r>
      <w:r>
        <w:rPr>
          <w:i/>
          <w:iCs/>
          <w:lang w:val="pt-BR"/>
        </w:rPr>
        <w:t xml:space="preserve">nobiles</w:t>
      </w:r>
      <w:r>
        <w:rPr>
          <w:lang w:val="pt-BR"/>
        </w:rPr>
        <w:t xml:space="preserve"> </w:t>
      </w:r>
      <w:r>
        <w:rPr>
          <w:lang w:val="pt-BR"/>
        </w:rPr>
        <w:t xml:space="preserve">de exibir as imagens de seus ancestrais. Esse direito era constitutivo de autoridade, não meramente decorativo. Quem podia mostrar as imagens dos antepassados pertencia à classe governante; quem não podia, estava excluído. A imagem, portanto, não representava o poder:</w:t>
      </w:r>
      <w:r>
        <w:rPr>
          <w:lang w:val="pt-BR"/>
        </w:rPr>
        <w:t xml:space="preserve"> </w:t>
      </w:r>
      <w:r>
        <w:rPr>
          <w:i/>
          <w:iCs/>
          <w:lang w:val="pt-BR"/>
        </w:rPr>
        <w:t xml:space="preserve">era</w:t>
      </w:r>
      <w:r>
        <w:rPr>
          <w:lang w:val="pt-BR"/>
        </w:rPr>
        <w:t xml:space="preserve"> </w:t>
      </w:r>
      <w:r>
        <w:rPr>
          <w:lang w:val="pt-BR"/>
        </w:rPr>
        <w:t xml:space="preserve">o poder, ao menos como condição de seu exercício. A tradição medieval dos emblemas jurídicos, analisada por Goodrich a partir de Bartolus de Saxoferrato (séc. XIV), sistematizou esse princípio: os signos visuais de precedência, hierarquia e dignidade constituíam a ordem jurídica tanto quanto os textos normativos.</w:t>
      </w:r>
      <w:r>
        <w:rPr>
          <w:lang w:val="pt-BR"/>
        </w:rPr>
        <w:t xml:space="preserve"> </w:t>
      </w:r>
      <w:r>
        <w:rPr>
          <w:lang w:val="pt-BR"/>
        </w:rPr>
        <w:t xml:space="preserve">“If someone who is not of that rank bears them he incurs [penalty]”</w:t>
      </w:r>
      <w:r>
        <w:rPr>
          <w:lang w:val="pt-BR"/>
        </w:rPr>
        <w:t xml:space="preserve"> </w:t>
      </w:r>
      <w:r>
        <w:rPr>
          <w:lang w:val="pt-BR"/>
        </w:rPr>
        <w:t xml:space="preserve">(GOODRICH, 2012–2013, p. 139, citando Bartolus de Saxoferrato [VERIFICAR: ano em formato atípico; obra não identificada no references.bib]). Em tradução própria: quem exibe signos de uma dignidade que não possui incorre em sanção.</w:t>
      </w:r>
    </w:p>
    <w:p>
      <w:pPr>
        <w:pStyle w:val="BodyText"/>
      </w:pPr>
      <w:r>
        <w:rPr>
          <w:lang w:val="pt-BR"/>
        </w:rPr>
        <w:t xml:space="preserve">Em</w:t>
      </w:r>
      <w:r>
        <w:rPr>
          <w:lang w:val="pt-BR"/>
        </w:rPr>
        <w:t xml:space="preserve"> </w:t>
      </w:r>
      <w:r>
        <w:rPr>
          <w:i/>
          <w:iCs/>
          <w:lang w:val="pt-BR"/>
        </w:rPr>
        <w:t xml:space="preserve">Legal Emblems and the Art of Law: Obiter Depicta as the Vision of Governance</w:t>
      </w:r>
      <w:r>
        <w:rPr>
          <w:lang w:val="pt-BR"/>
        </w:rPr>
        <w:t xml:space="preserve"> </w:t>
      </w:r>
      <w:r>
        <w:rPr>
          <w:lang w:val="pt-BR"/>
        </w:rPr>
        <w:t xml:space="preserve">(2013b), Goodrich amplia esse argumento para a modernidade. As imagens que adornam nossos tribunais e instituições jurídicas — a Justiça vendada, a espada, a balança, as togas, a arquitetura monumental — não são ornamentos. São</w:t>
      </w:r>
      <w:r>
        <w:rPr>
          <w:lang w:val="pt-BR"/>
        </w:rPr>
        <w:t xml:space="preserve"> </w:t>
      </w:r>
      <w:r>
        <w:rPr>
          <w:lang w:val="pt-BR"/>
        </w:rPr>
        <w:t xml:space="preserve">“emblemas modernos”</w:t>
      </w:r>
      <w:r>
        <w:rPr>
          <w:lang w:val="pt-BR"/>
        </w:rPr>
        <w:t xml:space="preserve"> </w:t>
      </w:r>
      <w:r>
        <w:rPr>
          <w:lang w:val="pt-BR"/>
        </w:rPr>
        <w:t xml:space="preserve">que informam e estruturam o</w:t>
      </w:r>
      <w:r>
        <w:rPr>
          <w:lang w:val="pt-BR"/>
        </w:rPr>
        <w:t xml:space="preserve"> </w:t>
      </w:r>
      <w:r>
        <w:rPr>
          <w:lang w:val="pt-BR"/>
        </w:rPr>
        <w:t xml:space="preserve">“imaginário jurídico”</w:t>
      </w:r>
      <w:r>
        <w:rPr>
          <w:lang w:val="pt-BR"/>
        </w:rPr>
        <w:t xml:space="preserve"> </w:t>
      </w:r>
      <w:r>
        <w:rPr>
          <w:lang w:val="pt-BR"/>
        </w:rPr>
        <w:t xml:space="preserve">(GOODRICH, 2013b). Esses emblemas constituem, nas palavras do próprio Goodrich, uma tradição visual coerente e transmissão de legalidade que permaneceu notavelmente estável desde o início da tradição moderna do Direito.</w:t>
      </w:r>
    </w:p>
    <w:p>
      <w:pPr>
        <w:pStyle w:val="BodyText"/>
      </w:pPr>
      <w:r>
        <w:rPr>
          <w:lang w:val="pt-BR"/>
        </w:rPr>
        <w:t xml:space="preserve">No artigo fundacional</w:t>
      </w:r>
      <w:r>
        <w:rPr>
          <w:lang w:val="pt-BR"/>
        </w:rPr>
        <w:t xml:space="preserve"> </w:t>
      </w:r>
      <w:r>
        <w:rPr>
          <w:lang w:val="pt-BR"/>
        </w:rPr>
        <w:t xml:space="preserve">“Visiocracy: On the Futures of the Fingerpost”</w:t>
      </w:r>
      <w:r>
        <w:rPr>
          <w:lang w:val="pt-BR"/>
        </w:rPr>
        <w:t xml:space="preserve"> </w:t>
      </w:r>
      <w:r>
        <w:rPr>
          <w:lang w:val="pt-BR"/>
        </w:rPr>
        <w:t xml:space="preserve">(</w:t>
      </w:r>
      <w:r>
        <w:rPr>
          <w:i/>
          <w:iCs/>
          <w:lang w:val="pt-BR"/>
        </w:rPr>
        <w:t xml:space="preserve">Critical Inquiry</w:t>
      </w:r>
      <w:r>
        <w:rPr>
          <w:lang w:val="pt-BR"/>
        </w:rPr>
        <w:t xml:space="preserve">, 2013a), Goodrich propõe o conceito de visiocracia para designar a sistematização do</w:t>
      </w:r>
      <w:r>
        <w:rPr>
          <w:lang w:val="pt-BR"/>
        </w:rPr>
        <w:t xml:space="preserve"> </w:t>
      </w:r>
      <w:r>
        <w:rPr>
          <w:i/>
          <w:iCs/>
          <w:lang w:val="pt-BR"/>
        </w:rPr>
        <w:t xml:space="preserve">common law</w:t>
      </w:r>
      <w:r>
        <w:rPr>
          <w:lang w:val="pt-BR"/>
        </w:rPr>
        <w:t xml:space="preserve"> </w:t>
      </w:r>
      <w:r>
        <w:rPr>
          <w:lang w:val="pt-BR"/>
        </w:rPr>
        <w:t xml:space="preserve">no início da modernidade como uma organização do visível,</w:t>
      </w:r>
      <w:r>
        <w:rPr>
          <w:lang w:val="pt-BR"/>
        </w:rPr>
        <w:t xml:space="preserve"> </w:t>
      </w:r>
      <w:r>
        <w:rPr>
          <w:lang w:val="pt-BR"/>
        </w:rPr>
        <w:t xml:space="preserve">“a strict order for the composition and construction of visible rule as precedence, hierarchy, and acclamatory order”</w:t>
      </w:r>
      <w:r>
        <w:rPr>
          <w:lang w:val="pt-BR"/>
        </w:rPr>
        <w:t xml:space="preserve"> </w:t>
      </w:r>
      <w:r>
        <w:rPr>
          <w:lang w:val="pt-BR"/>
        </w:rPr>
        <w:t xml:space="preserve">(GOODRICH, 2013a, p. 506). A visiocracia não é uma metáfora; é uma descrição da operação concreta do Direito: a autoridade depende de sua visibilidade, e a fonte do Direito é um soberano ausente cuja presença é fabricada por imagens.</w:t>
      </w:r>
    </w:p>
    <w:p>
      <w:pPr>
        <w:pStyle w:val="BodyText"/>
      </w:pPr>
      <w:r>
        <w:rPr>
          <w:lang w:val="pt-BR"/>
        </w:rPr>
        <w:t xml:space="preserve">A convergência com Legendre é aqui decisiva. Legendre demonstrou que o Direito opera como uma</w:t>
      </w:r>
      <w:r>
        <w:rPr>
          <w:lang w:val="pt-BR"/>
        </w:rPr>
        <w:t xml:space="preserve"> </w:t>
      </w:r>
      <w:r>
        <w:rPr>
          <w:lang w:val="pt-BR"/>
        </w:rPr>
        <w:t xml:space="preserve">“função dogmática da imagem”</w:t>
      </w:r>
      <w:r>
        <w:rPr>
          <w:lang w:val="pt-BR"/>
        </w:rPr>
        <w:t xml:space="preserve">, uma</w:t>
      </w:r>
      <w:r>
        <w:rPr>
          <w:lang w:val="pt-BR"/>
        </w:rPr>
        <w:t xml:space="preserve"> </w:t>
      </w:r>
      <w:r>
        <w:rPr>
          <w:i/>
          <w:iCs/>
          <w:lang w:val="pt-BR"/>
        </w:rPr>
        <w:t xml:space="preserve">economia da ficção</w:t>
      </w:r>
      <w:r>
        <w:rPr>
          <w:lang w:val="pt-BR"/>
        </w:rPr>
        <w:t xml:space="preserve"> </w:t>
      </w:r>
      <w:r>
        <w:rPr>
          <w:lang w:val="pt-BR"/>
        </w:rPr>
        <w:t xml:space="preserve">que fabrica a adesão dos sujeitos ao poder por meio de dispositivos visuais e rituais (LEGENDRE, 1994). Goodrich traduz essa intuição para o</w:t>
      </w:r>
      <w:r>
        <w:rPr>
          <w:lang w:val="pt-BR"/>
        </w:rPr>
        <w:t xml:space="preserve"> </w:t>
      </w:r>
      <w:r>
        <w:rPr>
          <w:i/>
          <w:iCs/>
          <w:lang w:val="pt-BR"/>
        </w:rPr>
        <w:t xml:space="preserve">common law</w:t>
      </w:r>
      <w:r>
        <w:rPr>
          <w:lang w:val="pt-BR"/>
        </w:rPr>
        <w:t xml:space="preserve"> </w:t>
      </w:r>
      <w:r>
        <w:rPr>
          <w:lang w:val="pt-BR"/>
        </w:rPr>
        <w:t xml:space="preserve">anglo-saxão: a cenografia das cortes, o uso solene das perucas que despersonalizam a figura do julgador, a disposição física dos bancos elevados que espacializa a assimetria e a hierarquia, e a coreografia teatralizada das cerimônias de abertura das sessões não são tradições folclóricas ou meramente acessórias. São dispositivos performativos que operam a submissão sensorial dos sujeitos, transformando o tribunal em um</w:t>
      </w:r>
      <w:r>
        <w:rPr>
          <w:lang w:val="pt-BR"/>
        </w:rPr>
        <w:t xml:space="preserve"> </w:t>
      </w:r>
      <w:r>
        <w:rPr>
          <w:i/>
          <w:iCs/>
          <w:lang w:val="pt-BR"/>
        </w:rPr>
        <w:t xml:space="preserve">theatrum iustitiae</w:t>
      </w:r>
      <w:r>
        <w:rPr>
          <w:lang w:val="pt-BR"/>
        </w:rPr>
        <w:t xml:space="preserve"> </w:t>
      </w:r>
      <w:r>
        <w:rPr>
          <w:lang w:val="pt-BR"/>
        </w:rPr>
        <w:t xml:space="preserve">cuja eficácia reside primariamente no registro visual (GOODRICH, 2013b, cap. 1).</w:t>
      </w:r>
    </w:p>
    <w:p>
      <w:pPr>
        <w:pStyle w:val="BodyText"/>
      </w:pPr>
      <w:r>
        <w:rPr>
          <w:lang w:val="pt-BR"/>
        </w:rPr>
        <w:t xml:space="preserve">Há, entretanto, uma ausência notável na obra de Goodrich, simétrica à de Pateman. Goodrich demonstra que o Direito governa por imagens, que essas imagens são herdadas, transmitidas e transformadas ao longo da história, e que elas constituem uma</w:t>
      </w:r>
      <w:r>
        <w:rPr>
          <w:lang w:val="pt-BR"/>
        </w:rPr>
        <w:t xml:space="preserve"> </w:t>
      </w:r>
      <w:r>
        <w:rPr>
          <w:lang w:val="pt-BR"/>
        </w:rPr>
        <w:t xml:space="preserve">“economia do visível”</w:t>
      </w:r>
      <w:r>
        <w:rPr>
          <w:lang w:val="pt-BR"/>
        </w:rPr>
        <w:t xml:space="preserve"> </w:t>
      </w:r>
      <w:r>
        <w:rPr>
          <w:lang w:val="pt-BR"/>
        </w:rPr>
        <w:t xml:space="preserve">com raízes teológicas e eclesiásticas. O que ele não faz, em nenhuma de suas obras, é perguntar</w:t>
      </w:r>
      <w:r>
        <w:rPr>
          <w:lang w:val="pt-BR"/>
        </w:rPr>
        <w:t xml:space="preserve"> </w:t>
      </w:r>
      <w:r>
        <w:rPr>
          <w:i/>
          <w:iCs/>
          <w:lang w:val="pt-BR"/>
        </w:rPr>
        <w:t xml:space="preserve">por que</w:t>
      </w:r>
      <w:r>
        <w:rPr>
          <w:lang w:val="pt-BR"/>
        </w:rPr>
        <w:t xml:space="preserve"> </w:t>
      </w:r>
      <w:r>
        <w:rPr>
          <w:lang w:val="pt-BR"/>
        </w:rPr>
        <w:t xml:space="preserve">essas imagens são predominantemente femininas. A Justiça é uma mulher. A Liberdade é uma mulher. A República é uma mulher. A Nação é uma mulher. As quatro liberdades constitucionais belgas, esculpidas nos cantos da Coluna do Congresso de Bruxelas, são quatro mulheres sentadas com atributos, numa iconografia diretamente modelada sobre as quatro virtudes cardinais medievais (HUYGEBAERT, 2015, p. 35). A visiocracia, tal como Goodrich a descreve, é</w:t>
      </w:r>
      <w:r>
        <w:rPr>
          <w:lang w:val="pt-BR"/>
        </w:rPr>
        <w:t xml:space="preserve"> </w:t>
      </w:r>
      <w:r>
        <w:rPr>
          <w:i/>
          <w:iCs/>
          <w:lang w:val="pt-BR"/>
        </w:rPr>
        <w:t xml:space="preserve">genderizada</w:t>
      </w:r>
      <w:r>
        <w:rPr>
          <w:lang w:val="pt-BR"/>
        </w:rPr>
        <w:t xml:space="preserve"> </w:t>
      </w:r>
      <w:r>
        <w:rPr>
          <w:lang w:val="pt-BR"/>
        </w:rPr>
        <w:t xml:space="preserve">de ponta a ponta. Mas Goodrich não examina esse gênero.</w:t>
      </w:r>
    </w:p>
    <w:p>
      <w:pPr>
        <w:pStyle w:val="BodyText"/>
      </w:pPr>
      <w:r>
        <w:rPr>
          <w:lang w:val="pt-BR"/>
        </w:rPr>
        <w:t xml:space="preserve">A articulação entre visiocracia (Goodrich), economia do ícone (Mondzain) e contrato sexual (Pateman) — que esta tese propõe realizar — permanece uma lacuna na literatura. Para ocupá-la, é necessário reconstruir a genealogia do dispositivo que melhor revela o contrato visual em operação: a venda sobre os olhos de Justitia.</w:t>
      </w:r>
    </w:p>
    <w:p>
      <w:r>
        <w:pict>
          <v:rect style="width:0;height:1.5pt" o:hralign="center" o:hrstd="t" o:hr="t"/>
        </w:pict>
      </w:r>
    </w:p>
    <w:bookmarkEnd w:id="37"/>
    <w:bookmarkStart w:id="38" w:name="X1e5285fc97f536f8d4788a0c00d108c30d6d256"/>
    <w:p>
      <w:pPr>
        <w:pStyle w:val="Heading3"/>
      </w:pPr>
      <w:r>
        <w:rPr>
          <w:rStyle w:val="SectionNumber"/>
          <w:lang w:val="pt-BR"/>
        </w:rPr>
        <w:t xml:space="preserve">2.1.4</w:t>
      </w:r>
      <w:r>
        <w:tab/>
      </w:r>
      <w:r>
        <w:rPr>
          <w:lang w:val="pt-BR"/>
        </w:rPr>
        <w:t xml:space="preserve">1.4 A genealogia da venda: do riso à naturalização</w:t>
      </w:r>
    </w:p>
    <w:p>
      <w:pPr>
        <w:pStyle w:val="FirstParagraph"/>
      </w:pPr>
      <w:r>
        <w:rPr>
          <w:lang w:val="pt-BR"/>
        </w:rPr>
        <w:t xml:space="preserve">A Justitia medieval não era vendada. As representações anteriores ao século XV mostram uma figura feminina de olhos abertos, portando balança e, frequentemente, espada. A tradição remonta à</w:t>
      </w:r>
      <w:r>
        <w:rPr>
          <w:lang w:val="pt-BR"/>
        </w:rPr>
        <w:t xml:space="preserve"> </w:t>
      </w:r>
      <w:r>
        <w:rPr>
          <w:i/>
          <w:iCs/>
          <w:lang w:val="pt-BR"/>
        </w:rPr>
        <w:t xml:space="preserve">Iconologia</w:t>
      </w:r>
      <w:r>
        <w:rPr>
          <w:lang w:val="pt-BR"/>
        </w:rPr>
        <w:t xml:space="preserve"> </w:t>
      </w:r>
      <w:r>
        <w:rPr>
          <w:lang w:val="pt-BR"/>
        </w:rPr>
        <w:t xml:space="preserve">de Cesare Ripa (1593, com ilustrações a partir de 1603), mas suas raízes são mais antigas: a balança evoca a psicostasia egípcia, e a espada, o</w:t>
      </w:r>
      <w:r>
        <w:rPr>
          <w:lang w:val="pt-BR"/>
        </w:rPr>
        <w:t xml:space="preserve"> </w:t>
      </w:r>
      <w:r>
        <w:rPr>
          <w:i/>
          <w:iCs/>
          <w:lang w:val="pt-BR"/>
        </w:rPr>
        <w:t xml:space="preserve">ius gladii</w:t>
      </w:r>
      <w:r>
        <w:rPr>
          <w:lang w:val="pt-BR"/>
        </w:rPr>
        <w:t xml:space="preserve"> </w:t>
      </w:r>
      <w:r>
        <w:rPr>
          <w:lang w:val="pt-BR"/>
        </w:rPr>
        <w:t xml:space="preserve">romano [VERIFICAR: a remissão a RIPA, 1603 não sustenta as raízes antigas — Ripa codifica a alegoria, não a origina; ancorar as raízes em fonte própria ou remover a remissão]. A venda, contudo, não faz parte desse repertório original. Ela é uma inovação — e é precisamente nessa inovação que se concentra o mecanismo que esta tese procura nomear.</w:t>
      </w:r>
    </w:p>
    <w:p>
      <w:pPr>
        <w:pStyle w:val="BodyText"/>
      </w:pPr>
      <w:r>
        <w:rPr>
          <w:lang w:val="pt-BR"/>
        </w:rPr>
        <w:t xml:space="preserve">A venda aparece pela primeira vez em 1494, numa xilogravura atribuída a Albrecht Dürer, publicada em</w:t>
      </w:r>
      <w:r>
        <w:rPr>
          <w:lang w:val="pt-BR"/>
        </w:rPr>
        <w:t xml:space="preserve"> </w:t>
      </w:r>
      <w:r>
        <w:rPr>
          <w:i/>
          <w:iCs/>
          <w:lang w:val="pt-BR"/>
        </w:rPr>
        <w:t xml:space="preserve">Das Narrenschiff</w:t>
      </w:r>
      <w:r>
        <w:rPr>
          <w:lang w:val="pt-BR"/>
        </w:rPr>
        <w:t xml:space="preserve"> </w:t>
      </w:r>
      <w:r>
        <w:rPr>
          <w:lang w:val="pt-BR"/>
        </w:rPr>
        <w:t xml:space="preserve">(</w:t>
      </w:r>
      <w:r>
        <w:rPr>
          <w:i/>
          <w:iCs/>
          <w:lang w:val="pt-BR"/>
        </w:rPr>
        <w:t xml:space="preserve">A Nau dos Insensatos</w:t>
      </w:r>
      <w:r>
        <w:rPr>
          <w:lang w:val="pt-BR"/>
        </w:rPr>
        <w:t xml:space="preserve">) de Sebastian Brant, na Basileia de Johann Bergmann von Olpe. A imagem merece uma leitura detida nos três níveis panofskianos, pois é nela que o contrato visual encontra seu momento fundacional (BRANT, 1494; PANOFSKY, 1939).</w:t>
      </w:r>
    </w:p>
    <w:p>
      <w:pPr>
        <w:pStyle w:val="BodyText"/>
      </w:pPr>
      <w:r>
        <w:rPr>
          <w:lang w:val="pt-BR"/>
        </w:rPr>
        <w:t xml:space="preserve">No nível pré-iconográfico (descrição formal), a xilogravura, de formato retangular vertical (~11 × 8 cm na edição princeps [VERIFICAR: dimensões sem fonte]), apresenta uma composição em três planos. No plano central, uma figura feminina de corpo inteiro, vestida com túnica longa e manto, porta na mão esquerda uma balança cujos pratos estão visivelmente desiguais. Os olhos da figura estão cobertos por um tecido claro, aplicado por trás por uma segunda figura — um bobo (</w:t>
      </w:r>
      <w:r>
        <w:rPr>
          <w:i/>
          <w:iCs/>
          <w:lang w:val="pt-BR"/>
        </w:rPr>
        <w:t xml:space="preserve">Narrenkappe</w:t>
      </w:r>
      <w:r>
        <w:rPr>
          <w:lang w:val="pt-BR"/>
        </w:rPr>
        <w:t xml:space="preserve">), com guizos e orelhas de asno, posicionado atrás e acima da mulher em posição de domínio gestual: seus braços envolvem a cabeça feminina para fixar a venda. No plano inferior, figuras masculinas de toga — advogados ou juízes — manipulam os pratos da balança com as mãos. No plano superior, uma moldura arquitetônica sugere o interior de um tribunal. A composição é marcada por uma assimetria dinâmica: todos os agentes masculinos</w:t>
      </w:r>
      <w:r>
        <w:rPr>
          <w:lang w:val="pt-BR"/>
        </w:rPr>
        <w:t xml:space="preserve"> </w:t>
      </w:r>
      <w:r>
        <w:rPr>
          <w:i/>
          <w:iCs/>
          <w:lang w:val="pt-BR"/>
        </w:rPr>
        <w:t xml:space="preserve">agem</w:t>
      </w:r>
      <w:r>
        <w:rPr>
          <w:lang w:val="pt-BR"/>
        </w:rPr>
        <w:t xml:space="preserve"> </w:t>
      </w:r>
      <w:r>
        <w:rPr>
          <w:lang w:val="pt-BR"/>
        </w:rPr>
        <w:t xml:space="preserve">(vendando, manipulando), enquanto o único corpo feminino</w:t>
      </w:r>
      <w:r>
        <w:rPr>
          <w:lang w:val="pt-BR"/>
        </w:rPr>
        <w:t xml:space="preserve"> </w:t>
      </w:r>
      <w:r>
        <w:rPr>
          <w:i/>
          <w:iCs/>
          <w:lang w:val="pt-BR"/>
        </w:rPr>
        <w:t xml:space="preserve">recebe</w:t>
      </w:r>
      <w:r>
        <w:rPr>
          <w:lang w:val="pt-BR"/>
        </w:rPr>
        <w:t xml:space="preserve"> </w:t>
      </w:r>
      <w:r>
        <w:rPr>
          <w:lang w:val="pt-BR"/>
        </w:rPr>
        <w:t xml:space="preserve">a ação. A postura da Justitia é rígida, frontal, de braços semiabertos — uma passividade corporal que contrasta com a agitação dos corpos masculinos ao redor.</w:t>
      </w:r>
    </w:p>
    <w:p>
      <w:pPr>
        <w:pStyle w:val="BodyText"/>
      </w:pPr>
      <w:r>
        <w:rPr>
          <w:lang w:val="pt-BR"/>
        </w:rPr>
        <w:t xml:space="preserve">No nível iconográfico (identificação temática), a figura feminina é identificável como Justitia pela balança. O bobo pertence ao repertório do</w:t>
      </w:r>
      <w:r>
        <w:rPr>
          <w:lang w:val="pt-BR"/>
        </w:rPr>
        <w:t xml:space="preserve"> </w:t>
      </w:r>
      <w:r>
        <w:rPr>
          <w:i/>
          <w:iCs/>
          <w:lang w:val="pt-BR"/>
        </w:rPr>
        <w:t xml:space="preserve">Narrenliteratur</w:t>
      </w:r>
      <w:r>
        <w:rPr>
          <w:lang w:val="pt-BR"/>
        </w:rPr>
        <w:t xml:space="preserve"> </w:t>
      </w:r>
      <w:r>
        <w:rPr>
          <w:lang w:val="pt-BR"/>
        </w:rPr>
        <w:t xml:space="preserve">(literatura dos tolos), gênero satírico florescente na Basileia humanista de fins do século XV. As figuras togadas representam as profissões jurídicas — alvo recorrente da sátira de Brant. O sentido é inequivocamente negativo: a cegueira não é virtude, mas corrupção. A Justiça não</w:t>
      </w:r>
      <w:r>
        <w:rPr>
          <w:lang w:val="pt-BR"/>
        </w:rPr>
        <w:t xml:space="preserve"> </w:t>
      </w:r>
      <w:r>
        <w:rPr>
          <w:i/>
          <w:iCs/>
          <w:lang w:val="pt-BR"/>
        </w:rPr>
        <w:t xml:space="preserve">escolhe</w:t>
      </w:r>
      <w:r>
        <w:rPr>
          <w:lang w:val="pt-BR"/>
        </w:rPr>
        <w:t xml:space="preserve"> </w:t>
      </w:r>
      <w:r>
        <w:rPr>
          <w:lang w:val="pt-BR"/>
        </w:rPr>
        <w:t xml:space="preserve">não ver; ela é</w:t>
      </w:r>
      <w:r>
        <w:rPr>
          <w:lang w:val="pt-BR"/>
        </w:rPr>
        <w:t xml:space="preserve"> </w:t>
      </w:r>
      <w:r>
        <w:rPr>
          <w:i/>
          <w:iCs/>
          <w:lang w:val="pt-BR"/>
        </w:rPr>
        <w:t xml:space="preserve">impedida</w:t>
      </w:r>
      <w:r>
        <w:rPr>
          <w:lang w:val="pt-BR"/>
        </w:rPr>
        <w:t xml:space="preserve"> </w:t>
      </w:r>
      <w:r>
        <w:rPr>
          <w:lang w:val="pt-BR"/>
        </w:rPr>
        <w:t xml:space="preserve">de ver por forças externas — a loucura, a ganância, a venalidade forense (HAYAERT, 2018).</w:t>
      </w:r>
    </w:p>
    <w:p>
      <w:pPr>
        <w:pStyle w:val="BodyText"/>
      </w:pPr>
      <w:r>
        <w:rPr>
          <w:lang w:val="pt-BR"/>
        </w:rPr>
        <w:t xml:space="preserve">No nível iconológico (significado intrínseco), a leitura de gênero se torna indispensável. O que a imagem revela, para além da sátira profissional, é uma</w:t>
      </w:r>
      <w:r>
        <w:rPr>
          <w:lang w:val="pt-BR"/>
        </w:rPr>
        <w:t xml:space="preserve"> </w:t>
      </w:r>
      <w:r>
        <w:rPr>
          <w:i/>
          <w:iCs/>
          <w:lang w:val="pt-BR"/>
        </w:rPr>
        <w:t xml:space="preserve">relação de gênero</w:t>
      </w:r>
      <w:r>
        <w:rPr>
          <w:lang w:val="pt-BR"/>
        </w:rPr>
        <w:t xml:space="preserve">: um corpo feminino passivo é manipulado por agentes masculinos ativos. A Justiça não age; ela é agida. Ela não se venda; ela</w:t>
      </w:r>
      <w:r>
        <w:rPr>
          <w:lang w:val="pt-BR"/>
        </w:rPr>
        <w:t xml:space="preserve"> </w:t>
      </w:r>
      <w:r>
        <w:rPr>
          <w:i/>
          <w:iCs/>
          <w:lang w:val="pt-BR"/>
        </w:rPr>
        <w:t xml:space="preserve">é vendada</w:t>
      </w:r>
      <w:r>
        <w:rPr>
          <w:lang w:val="pt-BR"/>
        </w:rPr>
        <w:t xml:space="preserve">. Na gramática gestual da xilogravura, a feminilidade da Justitia não é acidental — é condição de possibilidade da manipulação: é precisamente porque a Justiça é uma mulher que o bobo pode dominá-la fisicamente, envolvendo sua cabeça com os braços. A relação espacial entre os corpos — o masculino acima e atrás, o feminino abaixo e à frente — replica a hierarquia de gênero que estrutura as instituições jurídicas do período. Nos termos warburgianos, a</w:t>
      </w:r>
      <w:r>
        <w:rPr>
          <w:lang w:val="pt-BR"/>
        </w:rPr>
        <w:t xml:space="preserve"> </w:t>
      </w:r>
      <w:r>
        <w:rPr>
          <w:i/>
          <w:iCs/>
          <w:lang w:val="pt-BR"/>
        </w:rPr>
        <w:t xml:space="preserve">Pathosformel</w:t>
      </w:r>
      <w:r>
        <w:rPr>
          <w:lang w:val="pt-BR"/>
        </w:rPr>
        <w:t xml:space="preserve"> </w:t>
      </w:r>
      <w:r>
        <w:rPr>
          <w:lang w:val="pt-BR"/>
        </w:rPr>
        <w:t xml:space="preserve">da mulher vendada por agentes masculinos concentra uma energia afetiva que sobreviverá à própria inversão semântica: mesmo quando a venda deixar de ser imposição e se tornar atributo, o corpo feminino continuará sendo o suporte passivo da operação.</w:t>
      </w:r>
    </w:p>
    <w:p>
      <w:pPr>
        <w:pStyle w:val="BodyText"/>
      </w:pPr>
      <w:r>
        <w:rPr>
          <w:lang w:val="pt-BR"/>
        </w:rPr>
        <w:t xml:space="preserve">Entre a sátira de Brant (1494) e a codificação de Ripa na</w:t>
      </w:r>
      <w:r>
        <w:rPr>
          <w:lang w:val="pt-BR"/>
        </w:rPr>
        <w:t xml:space="preserve"> </w:t>
      </w:r>
      <w:r>
        <w:rPr>
          <w:i/>
          <w:iCs/>
          <w:lang w:val="pt-BR"/>
        </w:rPr>
        <w:t xml:space="preserve">Iconologia</w:t>
      </w:r>
      <w:r>
        <w:rPr>
          <w:lang w:val="pt-BR"/>
        </w:rPr>
        <w:t xml:space="preserve"> </w:t>
      </w:r>
      <w:r>
        <w:rPr>
          <w:lang w:val="pt-BR"/>
        </w:rPr>
        <w:t xml:space="preserve">(1603), a venda sofre uma inversão semântica radical. A Justitia do Chafariz da Justiça em Berna, esculpida por Hans Gieng em 1543, já porta a venda como atributo positivo — signo de imparcialidade, não de corrupção (HAYAERT, 2018; RESNIK; CURTIS, 2011). E quando Ripa sistematiza as variedades de</w:t>
      </w:r>
      <w:r>
        <w:rPr>
          <w:lang w:val="pt-BR"/>
        </w:rPr>
        <w:t xml:space="preserve"> </w:t>
      </w:r>
      <w:r>
        <w:rPr>
          <w:i/>
          <w:iCs/>
          <w:lang w:val="pt-BR"/>
        </w:rPr>
        <w:t xml:space="preserve">Giustitia</w:t>
      </w:r>
      <w:r>
        <w:rPr>
          <w:lang w:val="pt-BR"/>
        </w:rPr>
        <w:t xml:space="preserve"> </w:t>
      </w:r>
      <w:r>
        <w:rPr>
          <w:lang w:val="pt-BR"/>
        </w:rPr>
        <w:t xml:space="preserve">em 1603, a venda já integra o repertório alegórico estável: não precisa mais ser explicada, porque foi</w:t>
      </w:r>
      <w:r>
        <w:rPr>
          <w:lang w:val="pt-BR"/>
        </w:rPr>
        <w:t xml:space="preserve"> </w:t>
      </w:r>
      <w:r>
        <w:rPr>
          <w:i/>
          <w:iCs/>
          <w:lang w:val="pt-BR"/>
        </w:rPr>
        <w:t xml:space="preserve">naturalizada</w:t>
      </w:r>
      <w:r>
        <w:rPr>
          <w:lang w:val="pt-BR"/>
        </w:rPr>
        <w:t xml:space="preserve"> </w:t>
      </w:r>
      <w:r>
        <w:rPr>
          <w:lang w:val="pt-BR"/>
        </w:rPr>
        <w:t xml:space="preserve">(RIPA, 1603).</w:t>
      </w:r>
    </w:p>
    <w:p>
      <w:pPr>
        <w:pStyle w:val="BodyText"/>
      </w:pPr>
      <w:r>
        <w:rPr>
          <w:lang w:val="pt-BR"/>
        </w:rPr>
        <w:t xml:space="preserve">A passagem — da sátira à convenção, do riso à naturalização — constitui, na hipótese desta tese, o momento fundacional do contrato visual. Em 1494, a venda era legível como</w:t>
      </w:r>
      <w:r>
        <w:rPr>
          <w:lang w:val="pt-BR"/>
        </w:rPr>
        <w:t xml:space="preserve"> </w:t>
      </w:r>
      <w:r>
        <w:rPr>
          <w:i/>
          <w:iCs/>
          <w:lang w:val="pt-BR"/>
        </w:rPr>
        <w:t xml:space="preserve">imposição</w:t>
      </w:r>
      <w:r>
        <w:rPr>
          <w:lang w:val="pt-BR"/>
        </w:rPr>
        <w:t xml:space="preserve">: um ato de violência simbólica perpetrado contra um corpo feminino. Em 1603, a venda já é</w:t>
      </w:r>
      <w:r>
        <w:rPr>
          <w:lang w:val="pt-BR"/>
        </w:rPr>
        <w:t xml:space="preserve"> </w:t>
      </w:r>
      <w:r>
        <w:rPr>
          <w:i/>
          <w:iCs/>
          <w:lang w:val="pt-BR"/>
        </w:rPr>
        <w:t xml:space="preserve">atributo</w:t>
      </w:r>
      <w:r>
        <w:rPr>
          <w:lang w:val="pt-BR"/>
        </w:rPr>
        <w:t xml:space="preserve">: propriedade intrínseca da alegoria, como se a Justiça sempre tivesse sido cega. O que desapareceu entre 1494 e 1603 não é apenas a conotação satírica da venda; é o</w:t>
      </w:r>
      <w:r>
        <w:rPr>
          <w:lang w:val="pt-BR"/>
        </w:rPr>
        <w:t xml:space="preserve"> </w:t>
      </w:r>
      <w:r>
        <w:rPr>
          <w:i/>
          <w:iCs/>
          <w:lang w:val="pt-BR"/>
        </w:rPr>
        <w:t xml:space="preserve">agente</w:t>
      </w:r>
      <w:r>
        <w:rPr>
          <w:lang w:val="pt-BR"/>
        </w:rPr>
        <w:t xml:space="preserve"> </w:t>
      </w:r>
      <w:r>
        <w:rPr>
          <w:lang w:val="pt-BR"/>
        </w:rPr>
        <w:t xml:space="preserve">que venda a Justiça. Ninguém mais a venda; ela simplesmente</w:t>
      </w:r>
      <w:r>
        <w:rPr>
          <w:lang w:val="pt-BR"/>
        </w:rPr>
        <w:t xml:space="preserve"> </w:t>
      </w:r>
      <w:r>
        <w:rPr>
          <w:i/>
          <w:iCs/>
          <w:lang w:val="pt-BR"/>
        </w:rPr>
        <w:t xml:space="preserve">é</w:t>
      </w:r>
      <w:r>
        <w:rPr>
          <w:lang w:val="pt-BR"/>
        </w:rPr>
        <w:t xml:space="preserve"> </w:t>
      </w:r>
      <w:r>
        <w:rPr>
          <w:lang w:val="pt-BR"/>
        </w:rPr>
        <w:t xml:space="preserve">vendada.</w:t>
      </w:r>
    </w:p>
    <w:p>
      <w:pPr>
        <w:pStyle w:val="BodyText"/>
      </w:pPr>
      <w:r>
        <w:rPr>
          <w:lang w:val="pt-BR"/>
        </w:rPr>
        <w:t xml:space="preserve">Hayaert retrata a venda como um</w:t>
      </w:r>
      <w:r>
        <w:rPr>
          <w:lang w:val="pt-BR"/>
        </w:rPr>
        <w:t xml:space="preserve"> </w:t>
      </w:r>
      <w:r>
        <w:rPr>
          <w:lang w:val="pt-BR"/>
        </w:rPr>
        <w:t xml:space="preserve">“paradoxo”</w:t>
      </w:r>
      <w:r>
        <w:rPr>
          <w:lang w:val="pt-BR"/>
        </w:rPr>
        <w:t xml:space="preserve"> </w:t>
      </w:r>
      <w:r>
        <w:rPr>
          <w:lang w:val="pt-BR"/>
        </w:rPr>
        <w:t xml:space="preserve">irredutível: a privação sensorial que deveria significar deficiência passa a significar virtude, a incapacidade torna-se imparcialidade (HAYAERT, 2018; HAYAERT, 2023). Mas há um paradoxo adicional que a análise de Hayaert não tematiza: a passividade que o gesto imprime ao corpo feminino — ser vendada, ser privada de visão — é</w:t>
      </w:r>
      <w:r>
        <w:rPr>
          <w:lang w:val="pt-BR"/>
        </w:rPr>
        <w:t xml:space="preserve"> </w:t>
      </w:r>
      <w:r>
        <w:rPr>
          <w:i/>
          <w:iCs/>
          <w:lang w:val="pt-BR"/>
        </w:rPr>
        <w:t xml:space="preserve">reinterpretada</w:t>
      </w:r>
      <w:r>
        <w:rPr>
          <w:lang w:val="pt-BR"/>
        </w:rPr>
        <w:t xml:space="preserve"> </w:t>
      </w:r>
      <w:r>
        <w:rPr>
          <w:lang w:val="pt-BR"/>
        </w:rPr>
        <w:t xml:space="preserve">como autonomia institucional. O corpo da mulher-alegoria é manipulado, limitado, parcialmente apagado — e esse apagamento é lido como transcendência. É o contrato visual em operação: a captura simbólica do corpo feminino, a naturalização da violência que o transforma em alegoria, e a legitimação circular entre a imagem e a instituição.</w:t>
      </w:r>
    </w:p>
    <w:p>
      <w:pPr>
        <w:pStyle w:val="BodyText"/>
      </w:pPr>
      <w:r>
        <w:rPr>
          <w:lang w:val="pt-BR"/>
        </w:rPr>
        <w:t xml:space="preserve">A operação descrita não é puramente simbólica: ela possui um correlato na história das instituições jurídicas. Precisamente no período em que a venda da Justitia se naturaliza como atributo de imparcialidade (séculos XVI–XVIII), consolida-se na doutrina europeia a incapacidade civil e política das mulheres. A</w:t>
      </w:r>
      <w:r>
        <w:rPr>
          <w:lang w:val="pt-BR"/>
        </w:rPr>
        <w:t xml:space="preserve"> </w:t>
      </w:r>
      <w:r>
        <w:rPr>
          <w:i/>
          <w:iCs/>
          <w:lang w:val="pt-BR"/>
        </w:rPr>
        <w:t xml:space="preserve">Justitia</w:t>
      </w:r>
      <w:r>
        <w:rPr>
          <w:lang w:val="pt-BR"/>
        </w:rPr>
        <w:t xml:space="preserve"> </w:t>
      </w:r>
      <w:r>
        <w:rPr>
          <w:lang w:val="pt-BR"/>
        </w:rPr>
        <w:t xml:space="preserve">adorna os frontispícios dos mesmos códigos e tratados que consagram a</w:t>
      </w:r>
      <w:r>
        <w:rPr>
          <w:lang w:val="pt-BR"/>
        </w:rPr>
        <w:t xml:space="preserve"> </w:t>
      </w:r>
      <w:r>
        <w:rPr>
          <w:i/>
          <w:iCs/>
          <w:lang w:val="pt-BR"/>
        </w:rPr>
        <w:t xml:space="preserve">tutela perpétua</w:t>
      </w:r>
      <w:r>
        <w:rPr>
          <w:lang w:val="pt-BR"/>
        </w:rPr>
        <w:t xml:space="preserve"> </w:t>
      </w:r>
      <w:r>
        <w:rPr>
          <w:lang w:val="pt-BR"/>
        </w:rPr>
        <w:t xml:space="preserve">da mulher casada, a proibição do exercício de cargos judiciais e a exclusão do testemunho feminino em determinadas matérias. A cultura jurídica que produz a alegoria feminina da justiça é a mesma que nega às mulheres reais o acesso às funções que a alegoria simboliza.</w:t>
      </w:r>
    </w:p>
    <w:p>
      <w:pPr>
        <w:pStyle w:val="BodyText"/>
      </w:pPr>
      <w:r>
        <w:rPr>
          <w:lang w:val="pt-BR"/>
        </w:rPr>
        <w:t xml:space="preserve">Essa simultaneidade não é acidental; ela é estrutural. A alegoria funciona precisamente</w:t>
      </w:r>
      <w:r>
        <w:rPr>
          <w:lang w:val="pt-BR"/>
        </w:rPr>
        <w:t xml:space="preserve"> </w:t>
      </w:r>
      <w:r>
        <w:rPr>
          <w:i/>
          <w:iCs/>
          <w:lang w:val="pt-BR"/>
        </w:rPr>
        <w:t xml:space="preserve">porque</w:t>
      </w:r>
      <w:r>
        <w:rPr>
          <w:lang w:val="pt-BR"/>
        </w:rPr>
        <w:t xml:space="preserve"> </w:t>
      </w:r>
      <w:r>
        <w:rPr>
          <w:lang w:val="pt-BR"/>
        </w:rPr>
        <w:t xml:space="preserve">a mulher concreta está ausente do campo jurídico: é a exclusão institucional que permite ao corpo feminino operar como significante</w:t>
      </w:r>
      <w:r>
        <w:rPr>
          <w:lang w:val="pt-BR"/>
        </w:rPr>
        <w:t xml:space="preserve"> </w:t>
      </w:r>
      <w:r>
        <w:rPr>
          <w:lang w:val="pt-BR"/>
        </w:rPr>
        <w:t xml:space="preserve">“puro”</w:t>
      </w:r>
      <w:r>
        <w:rPr>
          <w:lang w:val="pt-BR"/>
        </w:rPr>
        <w:t xml:space="preserve">, desvinculado de qualquer agência real. Se as mulheres fossem juízas, advogadas e legisladoras, a feminilidade da Justitia deixaria de ser transparente e passaria a ser</w:t>
      </w:r>
      <w:r>
        <w:rPr>
          <w:lang w:val="pt-BR"/>
        </w:rPr>
        <w:t xml:space="preserve"> </w:t>
      </w:r>
      <w:r>
        <w:rPr>
          <w:i/>
          <w:iCs/>
          <w:lang w:val="pt-BR"/>
        </w:rPr>
        <w:t xml:space="preserve">problemática</w:t>
      </w:r>
      <w:r>
        <w:rPr>
          <w:lang w:val="pt-BR"/>
        </w:rPr>
        <w:t xml:space="preserve"> </w:t>
      </w:r>
      <w:r>
        <w:rPr>
          <w:lang w:val="pt-BR"/>
        </w:rPr>
        <w:t xml:space="preserve">— a alegoria perderia sua eficácia naturalizadora. O contrato visual não apenas</w:t>
      </w:r>
      <w:r>
        <w:rPr>
          <w:lang w:val="pt-BR"/>
        </w:rPr>
        <w:t xml:space="preserve"> </w:t>
      </w:r>
      <w:r>
        <w:rPr>
          <w:i/>
          <w:iCs/>
          <w:lang w:val="pt-BR"/>
        </w:rPr>
        <w:t xml:space="preserve">reflete</w:t>
      </w:r>
      <w:r>
        <w:rPr>
          <w:lang w:val="pt-BR"/>
        </w:rPr>
        <w:t xml:space="preserve"> </w:t>
      </w:r>
      <w:r>
        <w:rPr>
          <w:lang w:val="pt-BR"/>
        </w:rPr>
        <w:t xml:space="preserve">a exclusão doutrinária; ele a</w:t>
      </w:r>
      <w:r>
        <w:rPr>
          <w:lang w:val="pt-BR"/>
        </w:rPr>
        <w:t xml:space="preserve"> </w:t>
      </w:r>
      <w:r>
        <w:rPr>
          <w:i/>
          <w:iCs/>
          <w:lang w:val="pt-BR"/>
        </w:rPr>
        <w:t xml:space="preserve">torna esteticamente coerente</w:t>
      </w:r>
      <w:r>
        <w:rPr>
          <w:lang w:val="pt-BR"/>
        </w:rPr>
        <w:t xml:space="preserve">, conferindo-lhe a aparência de uma ordem natural e atemporal.</w:t>
      </w:r>
    </w:p>
    <w:p>
      <w:pPr>
        <w:pStyle w:val="BodyText"/>
      </w:pPr>
      <w:r>
        <w:rPr>
          <w:lang w:val="pt-BR"/>
        </w:rPr>
        <w:t xml:space="preserve">Esse mecanismo persiste para além do período moderno. Quando, nos séculos XIX e XX, as mulheres gradualmente conquistam direitos civis e políticos, a alegoria feminina da justiça não se transforma: ela permanece idêntica, como se a exclusão que lhe dava sentido jamais tivesse existido. A longevidade da Justitia vendada através das revoluções liberais, das codificações oitocentistas e das constituições republicanas atesta a eficácia do contrato visual: mesmo quando a doutrina muda, a imagem</w:t>
      </w:r>
      <w:r>
        <w:rPr>
          <w:lang w:val="pt-BR"/>
        </w:rPr>
        <w:t xml:space="preserve"> </w:t>
      </w:r>
      <w:r>
        <w:rPr>
          <w:i/>
          <w:iCs/>
          <w:lang w:val="pt-BR"/>
        </w:rPr>
        <w:t xml:space="preserve">não</w:t>
      </w:r>
      <w:r>
        <w:rPr>
          <w:lang w:val="pt-BR"/>
        </w:rPr>
        <w:t xml:space="preserve"> </w:t>
      </w:r>
      <w:r>
        <w:rPr>
          <w:lang w:val="pt-BR"/>
        </w:rPr>
        <w:t xml:space="preserve">muda, porque sua função não é descrever a realidade jurídica, mas naturalizá-la.</w:t>
      </w:r>
    </w:p>
    <w:p>
      <w:r>
        <w:pict>
          <v:rect style="width:0;height:1.5pt" o:hralign="center" o:hrstd="t" o:hr="t"/>
        </w:pict>
      </w:r>
    </w:p>
    <w:bookmarkEnd w:id="38"/>
    <w:bookmarkStart w:id="43" w:name="proposição-o-contrato-sexual-visual"/>
    <w:p>
      <w:pPr>
        <w:pStyle w:val="Heading3"/>
      </w:pPr>
      <w:r>
        <w:rPr>
          <w:rStyle w:val="SectionNumber"/>
          <w:lang w:val="pt-BR"/>
        </w:rPr>
        <w:t xml:space="preserve">2.1.5</w:t>
      </w:r>
      <w:r>
        <w:tab/>
      </w:r>
      <w:r>
        <w:rPr>
          <w:lang w:val="pt-BR"/>
        </w:rPr>
        <w:t xml:space="preserve">1.5 Proposição: o Contrato Sexual Visual</w:t>
      </w:r>
    </w:p>
    <w:p>
      <w:pPr>
        <w:pStyle w:val="FirstParagraph"/>
      </w:pPr>
      <w:r>
        <w:rPr>
          <w:lang w:val="pt-BR"/>
        </w:rPr>
        <w:t xml:space="preserve">Chegamos ao ponto em que os percursos de Pateman e de Goodrich se cruzam, num cruzamento que nenhum dos dois percorreu.</w:t>
      </w:r>
    </w:p>
    <w:p>
      <w:pPr>
        <w:pStyle w:val="BodyText"/>
      </w:pPr>
      <w:r>
        <w:rPr>
          <w:lang w:val="pt-BR"/>
        </w:rPr>
        <w:t xml:space="preserve">Pateman demonstrou que o contrato social pressupõe um contrato sexual: a subordinação das mulheres como condição da fraternidade entre homens. Mas Pateman analisou o contrato como texto — jurídico, filosófico, institucional. Goodrich demonstrou que o Direito opera como sistema de imagens: a autoridade é fabricada visualmente, e o</w:t>
      </w:r>
      <w:r>
        <w:rPr>
          <w:lang w:val="pt-BR"/>
        </w:rPr>
        <w:t xml:space="preserve"> </w:t>
      </w:r>
      <w:r>
        <w:rPr>
          <w:i/>
          <w:iCs/>
          <w:lang w:val="pt-BR"/>
        </w:rPr>
        <w:t xml:space="preserve">ius imaginum</w:t>
      </w:r>
      <w:r>
        <w:rPr>
          <w:lang w:val="pt-BR"/>
        </w:rPr>
        <w:t xml:space="preserve"> </w:t>
      </w:r>
      <w:r>
        <w:rPr>
          <w:lang w:val="pt-BR"/>
        </w:rPr>
        <w:t xml:space="preserve">é constitutivo de poder. Mas Goodrich analisou as imagens sem examinar o gênero que as estrutura.</w:t>
      </w:r>
    </w:p>
    <w:p>
      <w:pPr>
        <w:pStyle w:val="BodyText"/>
      </w:pPr>
      <w:r>
        <w:rPr>
          <w:lang w:val="pt-BR"/>
        </w:rPr>
        <w:t xml:space="preserve">O conceito de</w:t>
      </w:r>
      <w:r>
        <w:rPr>
          <w:lang w:val="pt-BR"/>
        </w:rPr>
        <w:t xml:space="preserve"> </w:t>
      </w:r>
      <w:r>
        <w:rPr>
          <w:b/>
          <w:bCs/>
          <w:lang w:val="pt-BR"/>
        </w:rPr>
        <w:t xml:space="preserve">Contrato Sexual Visual</w:t>
      </w:r>
      <w:r>
        <w:rPr>
          <w:lang w:val="pt-BR"/>
        </w:rPr>
        <w:t xml:space="preserve">, proposto por esta tese, ocupa a interseção que nenhum dos dois autores alcançou. Ele designa uma configuração em que o contrato sexual, tal como Pateman o descreveu, não opera apenas no plano jurídico-político, pela exclusão formal, mas é</w:t>
      </w:r>
      <w:r>
        <w:rPr>
          <w:lang w:val="pt-BR"/>
        </w:rPr>
        <w:t xml:space="preserve"> </w:t>
      </w:r>
      <w:r>
        <w:rPr>
          <w:i/>
          <w:iCs/>
          <w:lang w:val="pt-BR"/>
        </w:rPr>
        <w:t xml:space="preserve">visualmente performado</w:t>
      </w:r>
      <w:r>
        <w:rPr>
          <w:lang w:val="pt-BR"/>
        </w:rPr>
        <w:t xml:space="preserve"> </w:t>
      </w:r>
      <w:r>
        <w:rPr>
          <w:lang w:val="pt-BR"/>
        </w:rPr>
        <w:t xml:space="preserve">pela inclusão alegórica. As alegorias femininas que povoam a iconografia oficial do Estado moderno não são ornamentos, nem heranças acidentais da tradição clássica, nem consequências do gênero gramatical dos substantivos abstratos. São a</w:t>
      </w:r>
      <w:r>
        <w:rPr>
          <w:lang w:val="pt-BR"/>
        </w:rPr>
        <w:t xml:space="preserve"> </w:t>
      </w:r>
      <w:r>
        <w:rPr>
          <w:i/>
          <w:iCs/>
          <w:lang w:val="pt-BR"/>
        </w:rPr>
        <w:t xml:space="preserve">materialização visual</w:t>
      </w:r>
      <w:r>
        <w:rPr>
          <w:lang w:val="pt-BR"/>
        </w:rPr>
        <w:t xml:space="preserve"> </w:t>
      </w:r>
      <w:r>
        <w:rPr>
          <w:lang w:val="pt-BR"/>
        </w:rPr>
        <w:t xml:space="preserve">do contrato sexual: a forma pela qual o Estado exibe um</w:t>
      </w:r>
      <w:r>
        <w:rPr>
          <w:lang w:val="pt-BR"/>
        </w:rPr>
        <w:t xml:space="preserve"> </w:t>
      </w:r>
      <w:r>
        <w:rPr>
          <w:lang w:val="pt-BR"/>
        </w:rPr>
        <w:t xml:space="preserve">“rosto de mulher”</w:t>
      </w:r>
      <w:r>
        <w:rPr>
          <w:lang w:val="pt-BR"/>
        </w:rPr>
        <w:t xml:space="preserve"> </w:t>
      </w:r>
      <w:r>
        <w:rPr>
          <w:lang w:val="pt-BR"/>
        </w:rPr>
        <w:t xml:space="preserve">enquanto mantém intacta a fraternidade masculina que o governa.</w:t>
      </w:r>
    </w:p>
    <w:bookmarkStart w:id="39" w:name="as-três-propriedades-do-contrato-visual"/>
    <w:p>
      <w:pPr>
        <w:pStyle w:val="Heading4"/>
      </w:pPr>
      <w:r>
        <w:rPr>
          <w:rStyle w:val="SectionNumber"/>
          <w:lang w:val="pt-BR"/>
        </w:rPr>
        <w:t xml:space="preserve">2.1.5.1</w:t>
      </w:r>
      <w:r>
        <w:tab/>
      </w:r>
      <w:r>
        <w:rPr>
          <w:i/>
          <w:iCs/>
          <w:lang w:val="pt-BR"/>
        </w:rPr>
        <w:t xml:space="preserve">As três propriedades do contrato visual</w:t>
      </w:r>
    </w:p>
    <w:p>
      <w:pPr>
        <w:pStyle w:val="FirstParagraph"/>
      </w:pPr>
      <w:r>
        <w:rPr>
          <w:lang w:val="pt-BR"/>
        </w:rPr>
        <w:t xml:space="preserve">O contrato visual reside em três propriedades que o distinguem tanto do contrato sexual de Pateman quanto da análise iconológica convencional. Primeiro, a</w:t>
      </w:r>
      <w:r>
        <w:rPr>
          <w:lang w:val="pt-BR"/>
        </w:rPr>
        <w:t xml:space="preserve"> </w:t>
      </w:r>
      <w:r>
        <w:rPr>
          <w:i/>
          <w:iCs/>
          <w:lang w:val="pt-BR"/>
        </w:rPr>
        <w:t xml:space="preserve">imediaticidade</w:t>
      </w:r>
      <w:r>
        <w:rPr>
          <w:lang w:val="pt-BR"/>
        </w:rPr>
        <w:t xml:space="preserve">: ao contrário do argumento filosófico, que exige mediação conceitual, a imagem produz reconhecimento instantâneo — a Justiça</w:t>
      </w:r>
      <w:r>
        <w:rPr>
          <w:lang w:val="pt-BR"/>
        </w:rPr>
        <w:t xml:space="preserve"> </w:t>
      </w:r>
      <w:r>
        <w:rPr>
          <w:i/>
          <w:iCs/>
          <w:lang w:val="pt-BR"/>
        </w:rPr>
        <w:t xml:space="preserve">é</w:t>
      </w:r>
      <w:r>
        <w:rPr>
          <w:lang w:val="pt-BR"/>
        </w:rPr>
        <w:t xml:space="preserve"> </w:t>
      </w:r>
      <w:r>
        <w:rPr>
          <w:lang w:val="pt-BR"/>
        </w:rPr>
        <w:t xml:space="preserve">uma mulher antes de qualquer reflexão. Segundo, a</w:t>
      </w:r>
      <w:r>
        <w:rPr>
          <w:lang w:val="pt-BR"/>
        </w:rPr>
        <w:t xml:space="preserve"> </w:t>
      </w:r>
      <w:r>
        <w:rPr>
          <w:i/>
          <w:iCs/>
          <w:lang w:val="pt-BR"/>
        </w:rPr>
        <w:t xml:space="preserve">iterabilidade</w:t>
      </w:r>
      <w:r>
        <w:rPr>
          <w:lang w:val="pt-BR"/>
        </w:rPr>
        <w:t xml:space="preserve">: a repetição da mesma figura em selos, fachadas, códigos e tribunais ao longo de séculos sedimenta a associação até torná-la invisível como escolha. Terceiro, a</w:t>
      </w:r>
      <w:r>
        <w:rPr>
          <w:lang w:val="pt-BR"/>
        </w:rPr>
        <w:t xml:space="preserve"> </w:t>
      </w:r>
      <w:r>
        <w:rPr>
          <w:i/>
          <w:iCs/>
          <w:lang w:val="pt-BR"/>
        </w:rPr>
        <w:t xml:space="preserve">despersonalização</w:t>
      </w:r>
      <w:r>
        <w:rPr>
          <w:lang w:val="pt-BR"/>
        </w:rPr>
        <w:t xml:space="preserve">: o corpo feminino alegórico não remete a nenhuma mulher particular, operando como um significante esvaziado que pode ser investido de qualquer conteúdo institucional — precisamente porque a mulher concreta foi evacuada da representação.</w:t>
      </w:r>
    </w:p>
    <w:p>
      <w:pPr>
        <w:pStyle w:val="BodyText"/>
      </w:pPr>
      <w:r>
        <w:rPr>
          <w:lang w:val="pt-BR"/>
        </w:rPr>
        <w:t xml:space="preserve">O contrato visual não é um acordo deliberado; ninguém se sentou à mesa para decidir que a Justiça deveria ser uma mulher. Ele opera, como o contrato sexual de Pateman, por</w:t>
      </w:r>
      <w:r>
        <w:rPr>
          <w:lang w:val="pt-BR"/>
        </w:rPr>
        <w:t xml:space="preserve"> </w:t>
      </w:r>
      <w:r>
        <w:rPr>
          <w:i/>
          <w:iCs/>
          <w:lang w:val="pt-BR"/>
        </w:rPr>
        <w:t xml:space="preserve">naturalização</w:t>
      </w:r>
      <w:r>
        <w:rPr>
          <w:lang w:val="pt-BR"/>
        </w:rPr>
        <w:t xml:space="preserve">: parece tão óbvio que a Justiça seja feminina que a pergunta</w:t>
      </w:r>
      <w:r>
        <w:rPr>
          <w:lang w:val="pt-BR"/>
        </w:rPr>
        <w:t xml:space="preserve"> </w:t>
      </w:r>
      <w:r>
        <w:rPr>
          <w:lang w:val="pt-BR"/>
        </w:rPr>
        <w:t xml:space="preserve">“por que uma mulher?”</w:t>
      </w:r>
      <w:r>
        <w:rPr>
          <w:lang w:val="pt-BR"/>
        </w:rPr>
        <w:t xml:space="preserve"> </w:t>
      </w:r>
      <w:r>
        <w:rPr>
          <w:lang w:val="pt-BR"/>
        </w:rPr>
        <w:t xml:space="preserve">raramente é formulada. Mas, diferentemente do contrato sexual — que Pateman analisa no plano da teoria política —, o contrato visual opera no plano da</w:t>
      </w:r>
      <w:r>
        <w:rPr>
          <w:lang w:val="pt-BR"/>
        </w:rPr>
        <w:t xml:space="preserve"> </w:t>
      </w:r>
      <w:r>
        <w:rPr>
          <w:i/>
          <w:iCs/>
          <w:lang w:val="pt-BR"/>
        </w:rPr>
        <w:t xml:space="preserve">percepção</w:t>
      </w:r>
      <w:r>
        <w:rPr>
          <w:lang w:val="pt-BR"/>
        </w:rPr>
        <w:t xml:space="preserve">: ele não argumenta, ele</w:t>
      </w:r>
      <w:r>
        <w:rPr>
          <w:lang w:val="pt-BR"/>
        </w:rPr>
        <w:t xml:space="preserve"> </w:t>
      </w:r>
      <w:r>
        <w:rPr>
          <w:i/>
          <w:iCs/>
          <w:lang w:val="pt-BR"/>
        </w:rPr>
        <w:t xml:space="preserve">mostra</w:t>
      </w:r>
      <w:r>
        <w:rPr>
          <w:lang w:val="pt-BR"/>
        </w:rPr>
        <w:t xml:space="preserve">; não exclui por via normativa, mas torna a exclusão</w:t>
      </w:r>
      <w:r>
        <w:rPr>
          <w:lang w:val="pt-BR"/>
        </w:rPr>
        <w:t xml:space="preserve"> </w:t>
      </w:r>
      <w:r>
        <w:rPr>
          <w:i/>
          <w:iCs/>
          <w:lang w:val="pt-BR"/>
        </w:rPr>
        <w:t xml:space="preserve">imperceptível</w:t>
      </w:r>
      <w:r>
        <w:rPr>
          <w:lang w:val="pt-BR"/>
        </w:rPr>
        <w:t xml:space="preserve"> </w:t>
      </w:r>
      <w:r>
        <w:rPr>
          <w:lang w:val="pt-BR"/>
        </w:rPr>
        <w:t xml:space="preserve">por via estética.</w:t>
      </w:r>
    </w:p>
    <w:p>
      <w:pPr>
        <w:pStyle w:val="BodyText"/>
      </w:pPr>
      <w:r>
        <w:rPr>
          <w:lang w:val="pt-BR"/>
        </w:rPr>
        <w:t xml:space="preserve">O contrato visual funciona em três registros simultâneos. Primeiro, a</w:t>
      </w:r>
      <w:r>
        <w:rPr>
          <w:lang w:val="pt-BR"/>
        </w:rPr>
        <w:t xml:space="preserve"> </w:t>
      </w:r>
      <w:r>
        <w:rPr>
          <w:i/>
          <w:iCs/>
          <w:lang w:val="pt-BR"/>
        </w:rPr>
        <w:t xml:space="preserve">captura simbólica</w:t>
      </w:r>
      <w:r>
        <w:rPr>
          <w:lang w:val="pt-BR"/>
        </w:rPr>
        <w:t xml:space="preserve">: o corpo feminino é mobilizado como veículo da abstração jurídica, mas a mulher concreta desaparece no processo. A Justitia não representa</w:t>
      </w:r>
      <w:r>
        <w:rPr>
          <w:lang w:val="pt-BR"/>
        </w:rPr>
        <w:t xml:space="preserve"> </w:t>
      </w:r>
      <w:r>
        <w:rPr>
          <w:i/>
          <w:iCs/>
          <w:lang w:val="pt-BR"/>
        </w:rPr>
        <w:t xml:space="preserve">uma</w:t>
      </w:r>
      <w:r>
        <w:rPr>
          <w:lang w:val="pt-BR"/>
        </w:rPr>
        <w:t xml:space="preserve"> </w:t>
      </w:r>
      <w:r>
        <w:rPr>
          <w:lang w:val="pt-BR"/>
        </w:rPr>
        <w:t xml:space="preserve">mulher; ela representa a Justiça</w:t>
      </w:r>
      <w:r>
        <w:rPr>
          <w:lang w:val="pt-BR"/>
        </w:rPr>
        <w:t xml:space="preserve"> </w:t>
      </w:r>
      <w:r>
        <w:rPr>
          <w:i/>
          <w:iCs/>
          <w:lang w:val="pt-BR"/>
        </w:rPr>
        <w:t xml:space="preserve">apesar</w:t>
      </w:r>
      <w:r>
        <w:rPr>
          <w:lang w:val="pt-BR"/>
        </w:rPr>
        <w:t xml:space="preserve"> </w:t>
      </w:r>
      <w:r>
        <w:rPr>
          <w:lang w:val="pt-BR"/>
        </w:rPr>
        <w:t xml:space="preserve">de ser uma mulher. Segundo, a</w:t>
      </w:r>
      <w:r>
        <w:rPr>
          <w:lang w:val="pt-BR"/>
        </w:rPr>
        <w:t xml:space="preserve"> </w:t>
      </w:r>
      <w:r>
        <w:rPr>
          <w:i/>
          <w:iCs/>
          <w:lang w:val="pt-BR"/>
        </w:rPr>
        <w:t xml:space="preserve">naturalização da exclusão</w:t>
      </w:r>
      <w:r>
        <w:rPr>
          <w:lang w:val="pt-BR"/>
        </w:rPr>
        <w:t xml:space="preserve">: ao tornar visualmente</w:t>
      </w:r>
      <w:r>
        <w:rPr>
          <w:lang w:val="pt-BR"/>
        </w:rPr>
        <w:t xml:space="preserve"> </w:t>
      </w:r>
      <w:r>
        <w:rPr>
          <w:lang w:val="pt-BR"/>
        </w:rPr>
        <w:t xml:space="preserve">“natural”</w:t>
      </w:r>
      <w:r>
        <w:rPr>
          <w:lang w:val="pt-BR"/>
        </w:rPr>
        <w:t xml:space="preserve"> </w:t>
      </w:r>
      <w:r>
        <w:rPr>
          <w:lang w:val="pt-BR"/>
        </w:rPr>
        <w:t xml:space="preserve">que a Justiça seja feminina, o contrato visual torna invisível o paradoxo que Warner identificou — a presença simbólica das mulheres coexiste com sua ausência institucional (WARNER, 1985). Terceiro, a</w:t>
      </w:r>
      <w:r>
        <w:rPr>
          <w:lang w:val="pt-BR"/>
        </w:rPr>
        <w:t xml:space="preserve"> </w:t>
      </w:r>
      <w:r>
        <w:rPr>
          <w:i/>
          <w:iCs/>
          <w:lang w:val="pt-BR"/>
        </w:rPr>
        <w:t xml:space="preserve">legitimação circular</w:t>
      </w:r>
      <w:r>
        <w:rPr>
          <w:lang w:val="pt-BR"/>
        </w:rPr>
        <w:t xml:space="preserve">: a alegoria feminina confere ao direito uma aura de atemporalidade e universalidade, enquanto o direito confere à alegoria um estatuto institucional. Cada polo legitima o outro.</w:t>
      </w:r>
    </w:p>
    <w:p>
      <w:pPr>
        <w:pStyle w:val="BodyText"/>
      </w:pPr>
      <w:r>
        <w:rPr>
          <w:lang w:val="pt-BR"/>
        </w:rPr>
        <w:t xml:space="preserve">A analogia com Pateman é estrutural — não causal. O contrato visual não</w:t>
      </w:r>
      <w:r>
        <w:rPr>
          <w:lang w:val="pt-BR"/>
        </w:rPr>
        <w:t xml:space="preserve"> </w:t>
      </w:r>
      <w:r>
        <w:rPr>
          <w:i/>
          <w:iCs/>
          <w:lang w:val="pt-BR"/>
        </w:rPr>
        <w:t xml:space="preserve">produz</w:t>
      </w:r>
      <w:r>
        <w:rPr>
          <w:lang w:val="pt-BR"/>
        </w:rPr>
        <w:t xml:space="preserve"> </w:t>
      </w:r>
      <w:r>
        <w:rPr>
          <w:lang w:val="pt-BR"/>
        </w:rPr>
        <w:t xml:space="preserve">a exclusão das mulheres; ele a</w:t>
      </w:r>
      <w:r>
        <w:rPr>
          <w:lang w:val="pt-BR"/>
        </w:rPr>
        <w:t xml:space="preserve"> </w:t>
      </w:r>
      <w:r>
        <w:rPr>
          <w:i/>
          <w:iCs/>
          <w:lang w:val="pt-BR"/>
        </w:rPr>
        <w:t xml:space="preserve">naturaliza</w:t>
      </w:r>
      <w:r>
        <w:rPr>
          <w:lang w:val="pt-BR"/>
        </w:rPr>
        <w:t xml:space="preserve">. Não é porque a Justitia é feminina que as mulheres foram excluídas do direito, mas a feminilidade da Justitia torna essa exclusão imperceptível, porque a presença simbólica funciona como substituto da presença real.</w:t>
      </w:r>
    </w:p>
    <w:bookmarkEnd w:id="39"/>
    <w:bookmarkStart w:id="40" w:name="as-quatro-modalidades"/>
    <w:p>
      <w:pPr>
        <w:pStyle w:val="Heading4"/>
      </w:pPr>
      <w:r>
        <w:rPr>
          <w:rStyle w:val="SectionNumber"/>
          <w:lang w:val="pt-BR"/>
        </w:rPr>
        <w:t xml:space="preserve">2.1.5.2</w:t>
      </w:r>
      <w:r>
        <w:tab/>
      </w:r>
      <w:r>
        <w:rPr>
          <w:i/>
          <w:iCs/>
          <w:lang w:val="pt-BR"/>
        </w:rPr>
        <w:t xml:space="preserve">As quatro modalidades</w:t>
      </w:r>
    </w:p>
    <w:p>
      <w:pPr>
        <w:pStyle w:val="FirstParagraph"/>
      </w:pPr>
      <w:r>
        <w:rPr>
          <w:lang w:val="pt-BR"/>
        </w:rPr>
        <w:t xml:space="preserve">O Contrato Sexual Visual opera em quatro modalidades integradas, que os capítulos subsequentes demonstrarão empiricamente.</w:t>
      </w:r>
    </w:p>
    <w:p>
      <w:pPr>
        <w:pStyle w:val="BodyText"/>
      </w:pPr>
      <w:r>
        <w:rPr>
          <w:lang w:val="pt-BR"/>
        </w:rPr>
        <w:t xml:space="preserve">A primeira é a</w:t>
      </w:r>
      <w:r>
        <w:rPr>
          <w:lang w:val="pt-BR"/>
        </w:rPr>
        <w:t xml:space="preserve"> </w:t>
      </w:r>
      <w:r>
        <w:rPr>
          <w:b/>
          <w:bCs/>
          <w:lang w:val="pt-BR"/>
        </w:rPr>
        <w:t xml:space="preserve">substituição</w:t>
      </w:r>
      <w:r>
        <w:rPr>
          <w:lang w:val="pt-BR"/>
        </w:rPr>
        <w:t xml:space="preserve">: a presença alegórica feminina ocupa preventivamente o lugar simbólico das mulheres reais, aniquilando a reivindicação de presença política. Quando a Marianne já está na praça, no selo, na moeda e no frontispício do código, a ausência das mulheres do parlamento é esteticamente naturalizada, dispensada de justificação.</w:t>
      </w:r>
    </w:p>
    <w:p>
      <w:pPr>
        <w:pStyle w:val="BodyText"/>
      </w:pPr>
      <w:r>
        <w:rPr>
          <w:lang w:val="pt-BR"/>
        </w:rPr>
        <w:t xml:space="preserve">A segunda é a</w:t>
      </w:r>
      <w:r>
        <w:rPr>
          <w:lang w:val="pt-BR"/>
        </w:rPr>
        <w:t xml:space="preserve"> </w:t>
      </w:r>
      <w:r>
        <w:rPr>
          <w:b/>
          <w:bCs/>
          <w:lang w:val="pt-BR"/>
        </w:rPr>
        <w:t xml:space="preserve">naturalização</w:t>
      </w:r>
      <w:r>
        <w:rPr>
          <w:lang w:val="pt-BR"/>
        </w:rPr>
        <w:t xml:space="preserve">: a repetição massiva das alegorias, em milhões de moedas, selos e monumentos, transforma a associação entre o feminino e os conceitos abstratos — Justiça, Liberdade, República, Nação — em evidência sensorial que dispensa argumentação. A alegoria não argumenta; ela</w:t>
      </w:r>
      <w:r>
        <w:rPr>
          <w:lang w:val="pt-BR"/>
        </w:rPr>
        <w:t xml:space="preserve"> </w:t>
      </w:r>
      <w:r>
        <w:rPr>
          <w:i/>
          <w:iCs/>
          <w:lang w:val="pt-BR"/>
        </w:rPr>
        <w:t xml:space="preserve">mostra</w:t>
      </w:r>
      <w:r>
        <w:rPr>
          <w:lang w:val="pt-BR"/>
        </w:rPr>
        <w:t xml:space="preserve">. E o que ela mostra é que o feminino já ocupa seu lugar adequado: idealizado, purificado, desprovido de agência.</w:t>
      </w:r>
    </w:p>
    <w:p>
      <w:pPr>
        <w:pStyle w:val="BodyText"/>
      </w:pPr>
      <w:r>
        <w:rPr>
          <w:lang w:val="pt-BR"/>
        </w:rPr>
        <w:t xml:space="preserve">A terceira é a</w:t>
      </w:r>
      <w:r>
        <w:rPr>
          <w:lang w:val="pt-BR"/>
        </w:rPr>
        <w:t xml:space="preserve"> </w:t>
      </w:r>
      <w:r>
        <w:rPr>
          <w:b/>
          <w:bCs/>
          <w:lang w:val="pt-BR"/>
        </w:rPr>
        <w:t xml:space="preserve">sacralização</w:t>
      </w:r>
      <w:r>
        <w:rPr>
          <w:lang w:val="pt-BR"/>
        </w:rPr>
        <w:t xml:space="preserve">: a alegoria eleva o feminino a um plano transcendente — o da deusa, da virtude, da personificação do absoluto — comunicando que as mulheres pertencem à esfera do sagrado e do simbólico, não à arena mundana da política. Como registrou</w:t>
      </w:r>
      <w:r>
        <w:rPr>
          <w:lang w:val="pt-BR"/>
        </w:rPr>
        <w:t xml:space="preserve"> </w:t>
      </w:r>
      <w:r>
        <w:rPr>
          <w:i/>
          <w:iCs/>
          <w:lang w:val="pt-BR"/>
        </w:rPr>
        <w:t xml:space="preserve">La Renaissance</w:t>
      </w:r>
      <w:r>
        <w:rPr>
          <w:lang w:val="pt-BR"/>
        </w:rPr>
        <w:t xml:space="preserve"> </w:t>
      </w:r>
      <w:r>
        <w:rPr>
          <w:lang w:val="pt-BR"/>
        </w:rPr>
        <w:t xml:space="preserve">em 1848, citado por Huygebaert (2015, p. 37), a</w:t>
      </w:r>
      <w:r>
        <w:rPr>
          <w:lang w:val="pt-BR"/>
        </w:rPr>
        <w:t xml:space="preserve"> </w:t>
      </w:r>
      <w:r>
        <w:rPr>
          <w:lang w:val="pt-BR"/>
        </w:rPr>
        <w:t xml:space="preserve">“liberdade francesa saída das barricadas”</w:t>
      </w:r>
      <w:r>
        <w:rPr>
          <w:lang w:val="pt-BR"/>
        </w:rPr>
        <w:t xml:space="preserve"> </w:t>
      </w:r>
      <w:r>
        <w:rPr>
          <w:lang w:val="pt-BR"/>
        </w:rPr>
        <w:t xml:space="preserve">era perigosa precisamente porque era uma mulher que</w:t>
      </w:r>
      <w:r>
        <w:rPr>
          <w:lang w:val="pt-BR"/>
        </w:rPr>
        <w:t xml:space="preserve"> </w:t>
      </w:r>
      <w:r>
        <w:rPr>
          <w:i/>
          <w:iCs/>
          <w:lang w:val="pt-BR"/>
        </w:rPr>
        <w:t xml:space="preserve">agia</w:t>
      </w:r>
      <w:r>
        <w:rPr>
          <w:lang w:val="pt-BR"/>
        </w:rPr>
        <w:t xml:space="preserve">, enquanto a Constituição belga era segura porque era uma mulher que</w:t>
      </w:r>
      <w:r>
        <w:rPr>
          <w:lang w:val="pt-BR"/>
        </w:rPr>
        <w:t xml:space="preserve"> </w:t>
      </w:r>
      <w:r>
        <w:rPr>
          <w:i/>
          <w:iCs/>
          <w:lang w:val="pt-BR"/>
        </w:rPr>
        <w:t xml:space="preserve">mostrava</w:t>
      </w:r>
      <w:r>
        <w:rPr>
          <w:lang w:val="pt-BR"/>
        </w:rPr>
        <w:t xml:space="preserve">.</w:t>
      </w:r>
    </w:p>
    <w:p>
      <w:pPr>
        <w:pStyle w:val="BodyText"/>
      </w:pPr>
      <w:r>
        <w:rPr>
          <w:lang w:val="pt-BR"/>
        </w:rPr>
        <w:t xml:space="preserve">A quarta é a</w:t>
      </w:r>
      <w:r>
        <w:rPr>
          <w:lang w:val="pt-BR"/>
        </w:rPr>
        <w:t xml:space="preserve"> </w:t>
      </w:r>
      <w:r>
        <w:rPr>
          <w:b/>
          <w:bCs/>
          <w:lang w:val="pt-BR"/>
        </w:rPr>
        <w:t xml:space="preserve">pedagogia</w:t>
      </w:r>
      <w:r>
        <w:rPr>
          <w:lang w:val="pt-BR"/>
        </w:rPr>
        <w:t xml:space="preserve">: a exposição cotidiana e desde a infância — as moedas no bolso, os selos nas cartas, a Justiça no tribunal, a República na escola — ensina os cidadãos a reconhecer o corpo feminino como linguagem do poder abstrato e não como sujeito político concreto. O regime iconocrático forma o olhar antes de formar a opinião.</w:t>
      </w:r>
    </w:p>
    <w:bookmarkEnd w:id="40"/>
    <w:bookmarkStart w:id="41" w:name="Xa4515a6a3d4a1db755505b71b7e7cdd76b83707"/>
    <w:p>
      <w:pPr>
        <w:pStyle w:val="Heading4"/>
      </w:pPr>
      <w:r>
        <w:rPr>
          <w:rStyle w:val="SectionNumber"/>
          <w:lang w:val="pt-BR"/>
        </w:rPr>
        <w:t xml:space="preserve">2.1.5.3</w:t>
      </w:r>
      <w:r>
        <w:tab/>
      </w:r>
      <w:r>
        <w:rPr>
          <w:i/>
          <w:iCs/>
          <w:lang w:val="pt-BR"/>
        </w:rPr>
        <w:t xml:space="preserve">A dimensão racial e a extensão pós-colonial</w:t>
      </w:r>
    </w:p>
    <w:p>
      <w:pPr>
        <w:pStyle w:val="FirstParagraph"/>
      </w:pPr>
      <w:r>
        <w:rPr>
          <w:lang w:val="pt-BR"/>
        </w:rPr>
        <w:t xml:space="preserve">O corpo feminino capturado pelo contrato visual não é apenas feminino — é branco, jovem, de traços clássicos europeus e de vestimenta greco-romana. A feminilidade que o contrato visual mobiliza é uma feminilidade</w:t>
      </w:r>
      <w:r>
        <w:rPr>
          <w:lang w:val="pt-BR"/>
        </w:rPr>
        <w:t xml:space="preserve"> </w:t>
      </w:r>
      <w:r>
        <w:rPr>
          <w:i/>
          <w:iCs/>
          <w:lang w:val="pt-BR"/>
        </w:rPr>
        <w:t xml:space="preserve">racializada</w:t>
      </w:r>
      <w:r>
        <w:rPr>
          <w:lang w:val="pt-BR"/>
        </w:rPr>
        <w:t xml:space="preserve">: a universalidade jurídica é representada por um corpo que já é particular em termos de raça, classe e origem. A naturalização opera, portanto, em duas camadas simultâneas: naturaliza-se a feminização da alegoria (por que uma mulher?)</w:t>
      </w:r>
      <w:r>
        <w:rPr>
          <w:lang w:val="pt-BR"/>
        </w:rPr>
        <w:t xml:space="preserve"> </w:t>
      </w:r>
      <w:r>
        <w:rPr>
          <w:i/>
          <w:iCs/>
          <w:lang w:val="pt-BR"/>
        </w:rPr>
        <w:t xml:space="preserve">e</w:t>
      </w:r>
      <w:r>
        <w:rPr>
          <w:lang w:val="pt-BR"/>
        </w:rPr>
        <w:t xml:space="preserve"> </w:t>
      </w:r>
      <w:r>
        <w:rPr>
          <w:lang w:val="pt-BR"/>
        </w:rPr>
        <w:t xml:space="preserve">naturaliza-se a branquitude da alegoria (por que uma mulher branca?).</w:t>
      </w:r>
    </w:p>
    <w:p>
      <w:pPr>
        <w:pStyle w:val="BodyText"/>
      </w:pPr>
      <w:r>
        <w:rPr>
          <w:lang w:val="pt-BR"/>
        </w:rPr>
        <w:t xml:space="preserve">Essa dupla naturalização tem consequências materiais especialmente visíveis nos contextos pós-coloniais. No Brasil, a alegoria da República — importada do repertório neoclássico francês sem participação popular, como demonstrou José Murilo de Carvalho (CARVALHO, 2017) — instala um corpo feminino branco europeu como rosto da Justiça e da nação num país cuja população é majoritariamente negra e mestiça [VERIFICAR: claim demográfico sem fonte — citar censo de 1872/1890]. A Justitia de Alfredo Ceschiatti, instalada diante do Supremo Tribunal Federal em Brasília em 1961 [VERIFICAR: data e fonte; cf. Resnik &amp; Curtis], é uma figura de granito de formas modernistas simplificadas, mas de corporalidade inequivocamente europeia — uma</w:t>
      </w:r>
      <w:r>
        <w:rPr>
          <w:lang w:val="pt-BR"/>
        </w:rPr>
        <w:t xml:space="preserve"> </w:t>
      </w:r>
      <w:r>
        <w:rPr>
          <w:lang w:val="pt-BR"/>
        </w:rPr>
        <w:t xml:space="preserve">“deusa”</w:t>
      </w:r>
      <w:r>
        <w:rPr>
          <w:lang w:val="pt-BR"/>
        </w:rPr>
        <w:t xml:space="preserve">, no sentido preciso de Haraway [VERIFICAR: invocação sem citação localizável; o Glossário lista Haraway como raiz genealógica, não fonte da definição], transplantada para o cerrado. Lélia Gonzalez já advertia que a cultura brasileira opera por um</w:t>
      </w:r>
      <w:r>
        <w:rPr>
          <w:lang w:val="pt-BR"/>
        </w:rPr>
        <w:t xml:space="preserve"> </w:t>
      </w:r>
      <w:r>
        <w:rPr>
          <w:lang w:val="pt-BR"/>
        </w:rPr>
        <w:t xml:space="preserve">“racismo por denegação”</w:t>
      </w:r>
      <w:r>
        <w:rPr>
          <w:lang w:val="pt-BR"/>
        </w:rPr>
        <w:t xml:space="preserve"> </w:t>
      </w:r>
      <w:r>
        <w:rPr>
          <w:lang w:val="pt-BR"/>
        </w:rPr>
        <w:t xml:space="preserve">que se manifesta precisamente nos espaços simbólicos onde a presença negra é apagada ao mesmo tempo em que a presença simbólica branca é naturalizada (GONZALEZ, 1984 [VERIFICAR: ano da formulação</w:t>
      </w:r>
      <w:r>
        <w:rPr>
          <w:lang w:val="pt-BR"/>
        </w:rPr>
        <w:t xml:space="preserve"> </w:t>
      </w:r>
      <w:r>
        <w:rPr>
          <w:lang w:val="pt-BR"/>
        </w:rPr>
        <w:t xml:space="preserve">“racismo por denegação”</w:t>
      </w:r>
      <w:r>
        <w:rPr>
          <w:lang w:val="pt-BR"/>
        </w:rPr>
        <w:t xml:space="preserve">; localizar a obra exata]).</w:t>
      </w:r>
    </w:p>
    <w:p>
      <w:pPr>
        <w:pStyle w:val="BodyText"/>
      </w:pPr>
      <w:r>
        <w:rPr>
          <w:lang w:val="pt-BR"/>
        </w:rPr>
        <w:t xml:space="preserve">O contrato visual é, nesse sentido, não apenas um contrato de gênero, mas um</w:t>
      </w:r>
      <w:r>
        <w:rPr>
          <w:lang w:val="pt-BR"/>
        </w:rPr>
        <w:t xml:space="preserve"> </w:t>
      </w:r>
      <w:r>
        <w:rPr>
          <w:b/>
          <w:bCs/>
          <w:lang w:val="pt-BR"/>
        </w:rPr>
        <w:t xml:space="preserve">contrato racial-visual</w:t>
      </w:r>
      <w:r>
        <w:rPr>
          <w:lang w:val="pt-BR"/>
        </w:rPr>
        <w:t xml:space="preserve">: a exclusão que ele naturaliza é interseccional — de gênero, de raça e de classe —, ainda que a camada de gênero seja a mais visível por ser a mais estruturalmente constitutiva da forma alegórica. Reconhecer essa dimensão interseccional não dissolve o argumento em uma crítica genérica da</w:t>
      </w:r>
      <w:r>
        <w:rPr>
          <w:lang w:val="pt-BR"/>
        </w:rPr>
        <w:t xml:space="preserve"> </w:t>
      </w:r>
      <w:r>
        <w:rPr>
          <w:lang w:val="pt-BR"/>
        </w:rPr>
        <w:t xml:space="preserve">“opressão múltipla”</w:t>
      </w:r>
      <w:r>
        <w:rPr>
          <w:lang w:val="pt-BR"/>
        </w:rPr>
        <w:t xml:space="preserve">. Ao contrário, ele o torna mais preciso: o mecanismo que converte um corpo particular em símbolo universal funciona</w:t>
      </w:r>
      <w:r>
        <w:rPr>
          <w:lang w:val="pt-BR"/>
        </w:rPr>
        <w:t xml:space="preserve"> </w:t>
      </w:r>
      <w:r>
        <w:rPr>
          <w:i/>
          <w:iCs/>
          <w:lang w:val="pt-BR"/>
        </w:rPr>
        <w:t xml:space="preserve">porque</w:t>
      </w:r>
      <w:r>
        <w:rPr>
          <w:lang w:val="pt-BR"/>
        </w:rPr>
        <w:t xml:space="preserve"> </w:t>
      </w:r>
      <w:r>
        <w:rPr>
          <w:lang w:val="pt-BR"/>
        </w:rPr>
        <w:t xml:space="preserve">os marcadores de particularidade (feminilidade, branquitude, classicismo) são apresentados como neutros. A venda sobre os olhos da Justitia pode ser lida, nessa chave, como metáfora involuntária: a Justiça não vê diferenças — e é precisamente essa cegueira, ao mesmo tempo de gênero e de raça, que o contrato visual institui como virtude.</w:t>
      </w:r>
    </w:p>
    <w:bookmarkEnd w:id="41"/>
    <w:bookmarkStart w:id="42" w:name="a-originalidade-e-os-seus-limites"/>
    <w:p>
      <w:pPr>
        <w:pStyle w:val="Heading4"/>
      </w:pPr>
      <w:r>
        <w:rPr>
          <w:rStyle w:val="SectionNumber"/>
          <w:lang w:val="pt-BR"/>
        </w:rPr>
        <w:t xml:space="preserve">2.1.5.4</w:t>
      </w:r>
      <w:r>
        <w:tab/>
      </w:r>
      <w:r>
        <w:rPr>
          <w:i/>
          <w:iCs/>
          <w:lang w:val="pt-BR"/>
        </w:rPr>
        <w:t xml:space="preserve">A originalidade e os seus limites</w:t>
      </w:r>
    </w:p>
    <w:p>
      <w:pPr>
        <w:pStyle w:val="FirstParagraph"/>
      </w:pPr>
      <w:r>
        <w:rPr>
          <w:lang w:val="pt-BR"/>
        </w:rPr>
        <w:t xml:space="preserve">A originalidade desta proposição não reside na descoberta de um fenômeno novo: as alegorias femininas são conhecidas e catalogadas desde, pelo menos, Warner (1985) e Agulhon (1979). Ela reside na articulação teórica: na demonstração de que o mecanismo descrito por Pateman e o mecanismo descrito por Goodrich são duas faces de uma mesma operação, e que essa operação só se torna inteligível quando os dois mecanismos são pensados em conjunto.</w:t>
      </w:r>
    </w:p>
    <w:p>
      <w:pPr>
        <w:pStyle w:val="BodyText"/>
      </w:pPr>
      <w:r>
        <w:rPr>
          <w:lang w:val="pt-BR"/>
        </w:rPr>
        <w:t xml:space="preserve">Três qualificações são necessárias. Primeira: o contrato visual é uma</w:t>
      </w:r>
      <w:r>
        <w:rPr>
          <w:lang w:val="pt-BR"/>
        </w:rPr>
        <w:t xml:space="preserve"> </w:t>
      </w:r>
      <w:r>
        <w:rPr>
          <w:i/>
          <w:iCs/>
          <w:lang w:val="pt-BR"/>
        </w:rPr>
        <w:t xml:space="preserve">hipótese hermenêutica</w:t>
      </w:r>
      <w:r>
        <w:rPr>
          <w:lang w:val="pt-BR"/>
        </w:rPr>
        <w:t xml:space="preserve">, não uma descoberta empírica. Ela não descreve uma intenção deliberada dos artistas ou juristas que produziram as imagens, mas uma</w:t>
      </w:r>
      <w:r>
        <w:rPr>
          <w:lang w:val="pt-BR"/>
        </w:rPr>
        <w:t xml:space="preserve"> </w:t>
      </w:r>
      <w:r>
        <w:rPr>
          <w:i/>
          <w:iCs/>
          <w:lang w:val="pt-BR"/>
        </w:rPr>
        <w:t xml:space="preserve">estrutura</w:t>
      </w:r>
      <w:r>
        <w:rPr>
          <w:lang w:val="pt-BR"/>
        </w:rPr>
        <w:t xml:space="preserve"> </w:t>
      </w:r>
      <w:r>
        <w:rPr>
          <w:lang w:val="pt-BR"/>
        </w:rPr>
        <w:t xml:space="preserve">que emerge da repetição e da naturalização — assim como o contrato sexual de Pateman não descreve uma conspiração masculina, mas uma lógica institucional (PATEMAN, 1988).</w:t>
      </w:r>
    </w:p>
    <w:p>
      <w:pPr>
        <w:pStyle w:val="BodyText"/>
      </w:pPr>
      <w:r>
        <w:rPr>
          <w:lang w:val="pt-BR"/>
        </w:rPr>
        <w:t xml:space="preserve">Segunda: nem toda representação feminina da justiça é, necessariamente, uma expressão do contrato visual. Imagens que</w:t>
      </w:r>
      <w:r>
        <w:rPr>
          <w:lang w:val="pt-BR"/>
        </w:rPr>
        <w:t xml:space="preserve"> </w:t>
      </w:r>
      <w:r>
        <w:rPr>
          <w:i/>
          <w:iCs/>
          <w:lang w:val="pt-BR"/>
        </w:rPr>
        <w:t xml:space="preserve">tematizam</w:t>
      </w:r>
      <w:r>
        <w:rPr>
          <w:lang w:val="pt-BR"/>
        </w:rPr>
        <w:t xml:space="preserve"> </w:t>
      </w:r>
      <w:r>
        <w:rPr>
          <w:lang w:val="pt-BR"/>
        </w:rPr>
        <w:t xml:space="preserve">o corpo feminino como problema — que interrogam a feminilidade da alegoria em vez de a pressupor — podem operar como</w:t>
      </w:r>
      <w:r>
        <w:rPr>
          <w:lang w:val="pt-BR"/>
        </w:rPr>
        <w:t xml:space="preserve"> </w:t>
      </w:r>
      <w:r>
        <w:rPr>
          <w:i/>
          <w:iCs/>
          <w:lang w:val="pt-BR"/>
        </w:rPr>
        <w:t xml:space="preserve">rupturas</w:t>
      </w:r>
      <w:r>
        <w:rPr>
          <w:lang w:val="pt-BR"/>
        </w:rPr>
        <w:t xml:space="preserve"> </w:t>
      </w:r>
      <w:r>
        <w:rPr>
          <w:lang w:val="pt-BR"/>
        </w:rPr>
        <w:t xml:space="preserve">do contrato visual. Uma parte do corpus do projeto ICONOCRACY documenta precisamente essas rupturas: artistas contemporâneas que devolvem à Justitia o corpo, a história e a agência que a tradição alegórica lhe retirou.</w:t>
      </w:r>
    </w:p>
    <w:p>
      <w:pPr>
        <w:pStyle w:val="BodyText"/>
      </w:pPr>
      <w:r>
        <w:rPr>
          <w:lang w:val="pt-BR"/>
        </w:rPr>
        <w:t xml:space="preserve">Terceira: o contrato visual não se limita à dimensão de gênero. Judith Resnik já apontou que a racialização da Justitia constitui uma dimensão paralela: uma alegoria branca representando uma justiça que, historicamente, não foi justa com corpos não-brancos (RESNIK; CURTIS, 2011). Behrmann explorou o</w:t>
      </w:r>
      <w:r>
        <w:rPr>
          <w:lang w:val="pt-BR"/>
        </w:rPr>
        <w:t xml:space="preserve"> </w:t>
      </w:r>
      <w:r>
        <w:rPr>
          <w:lang w:val="pt-BR"/>
        </w:rPr>
        <w:t xml:space="preserve">“axioma do espelho”</w:t>
      </w:r>
      <w:r>
        <w:rPr>
          <w:lang w:val="pt-BR"/>
        </w:rPr>
        <w:t xml:space="preserve"> </w:t>
      </w:r>
      <w:r>
        <w:rPr>
          <w:lang w:val="pt-BR"/>
        </w:rPr>
        <w:t xml:space="preserve">na iconologia jurídica — a presunção de que a imagem da justiça</w:t>
      </w:r>
      <w:r>
        <w:rPr>
          <w:lang w:val="pt-BR"/>
        </w:rPr>
        <w:t xml:space="preserve"> </w:t>
      </w:r>
      <w:r>
        <w:rPr>
          <w:i/>
          <w:iCs/>
          <w:lang w:val="pt-BR"/>
        </w:rPr>
        <w:t xml:space="preserve">reflete</w:t>
      </w:r>
      <w:r>
        <w:rPr>
          <w:lang w:val="pt-BR"/>
        </w:rPr>
        <w:t xml:space="preserve"> </w:t>
      </w:r>
      <w:r>
        <w:rPr>
          <w:lang w:val="pt-BR"/>
        </w:rPr>
        <w:t xml:space="preserve">a justiça real —, mostrando que essa presunção é ela mesma um dispositivo de legitimação (BEHRMANN, 2018). O contrato visual, tal como aqui proposto, pode ser estendido a essas dimensões.</w:t>
      </w:r>
    </w:p>
    <w:p>
      <w:r>
        <w:pict>
          <v:rect style="width:0;height:1.5pt" o:hralign="center" o:hrstd="t" o:hr="t"/>
        </w:pict>
      </w:r>
    </w:p>
    <w:bookmarkEnd w:id="42"/>
    <w:bookmarkEnd w:id="43"/>
    <w:bookmarkStart w:id="44" w:name="estrutura-dos-capítulos-seguintes"/>
    <w:p>
      <w:pPr>
        <w:pStyle w:val="Heading3"/>
      </w:pPr>
      <w:r>
        <w:rPr>
          <w:rStyle w:val="SectionNumber"/>
          <w:lang w:val="pt-BR"/>
        </w:rPr>
        <w:t xml:space="preserve">2.1.6</w:t>
      </w:r>
      <w:r>
        <w:tab/>
      </w:r>
      <w:r>
        <w:rPr>
          <w:lang w:val="pt-BR"/>
        </w:rPr>
        <w:t xml:space="preserve">1.6 Estrutura dos capítulos seguintes</w:t>
      </w:r>
    </w:p>
    <w:p>
      <w:pPr>
        <w:pStyle w:val="FirstParagraph"/>
      </w:pPr>
      <w:r>
        <w:rPr>
          <w:lang w:val="pt-BR"/>
        </w:rPr>
        <w:t xml:space="preserve">Os capítulos que se seguem desenvolvem os eixos restantes da moldura teórica. O Capítulo 2 articula a teoria da iconocracia (Mondzain) com os conceitos de Feminilidade de Estado e de regimes iconocráticos, introduzindo a tipologia Fundacional / Normativo / Militar que permite operacionalizar historicamente o Contrato Sexual Visual. O Capítulo 3 examina a colonialidade do ver, a exportação transatlântica do cânone alegórico europeu e a produção de um</w:t>
      </w:r>
      <w:r>
        <w:rPr>
          <w:lang w:val="pt-BR"/>
        </w:rPr>
        <w:t xml:space="preserve"> </w:t>
      </w:r>
      <w:r>
        <w:rPr>
          <w:lang w:val="pt-BR"/>
        </w:rPr>
        <w:t xml:space="preserve">“contrato racial visual”</w:t>
      </w:r>
      <w:r>
        <w:rPr>
          <w:lang w:val="pt-BR"/>
        </w:rPr>
        <w:t xml:space="preserve"> </w:t>
      </w:r>
      <w:r>
        <w:rPr>
          <w:lang w:val="pt-BR"/>
        </w:rPr>
        <w:t xml:space="preserve">que invisibiliza normatividades não hegemônicas. Juntos, os três capítulos da Parte I fornecem a moldura teórica completa que as Partes II, III e IV testarão empiricamente. Adicionalmente, esta primeira parte estabelece os pressupostos conceituais que serão operacionalizados na Parte II, onde a hipótese do Contrato Sexual Visual é traduzida em um protocolo de análise iconométrica e de validação empírica do corpus.</w:t>
      </w:r>
    </w:p>
    <w:p>
      <w:pPr>
        <w:pStyle w:val="BodyText"/>
      </w:pPr>
      <w:r>
        <w:rPr>
          <w:lang w:val="pt-BR"/>
        </w:rPr>
        <w:t xml:space="preserve">* * *</w:t>
      </w:r>
    </w:p>
    <w:bookmarkEnd w:id="44"/>
    <w:bookmarkEnd w:id="45"/>
    <w:bookmarkEnd w:id="46"/>
    <w:bookmarkStart w:id="57" w:name="X127703a619e935e9046014d5d8a4c5b763f726e"/>
    <w:p>
      <w:pPr>
        <w:pStyle w:val="Heading1"/>
      </w:pPr>
      <w:r>
        <w:rPr>
          <w:rStyle w:val="SectionNumber"/>
          <w:lang w:val="pt-BR"/>
        </w:rPr>
        <w:t xml:space="preserve">3</w:t>
      </w:r>
      <w:r>
        <w:tab/>
      </w:r>
      <w:r>
        <w:rPr>
          <w:lang w:val="pt-BR"/>
        </w:rPr>
        <w:t xml:space="preserve">Capítulo 2 — Iconocracia: a Economia Política da Imagem Soberana</w:t>
      </w:r>
    </w:p>
    <w:p>
      <w:pPr>
        <w:pStyle w:val="FirstParagraph"/>
      </w:pPr>
      <w:r>
        <w:rPr>
          <w:lang w:val="pt-BR"/>
        </w:rPr>
        <w:t xml:space="preserve">O capítulo abre com uma travessia sensorial: o mármore frio da Hagia Sophia devolve a luz azulada que se desprende dos mosaicos e chega filtrada até o leitor como se fosse poeira litúrgica. A cena não é mero ornamento. Ela evidencia que a autoridade política depende de um regime ótico anterior à lei escrita. Antes que as constituições fossem promulgadas, os Estados aprenderam a domesticar a visão para garantir obediência (GOODRICH, 2017). A hipótese central do capítulo consiste em demonstrar que o Contrato Sexual Visual opera dentro dessa economia de imagens, instaurando um intercâmbio desigual entre corpo feminino e soberania.</w:t>
      </w:r>
    </w:p>
    <w:p>
      <w:pPr>
        <w:pStyle w:val="BodyText"/>
      </w:pPr>
      <w:r>
        <w:rPr>
          <w:lang w:val="pt-BR"/>
        </w:rPr>
        <w:t xml:space="preserve">Marie-José Mondzain chamará esse arranjo de economia icônica: só há governo porque existe um balanço entre o visível permitido e o visível proibido (MONDZAIN, 2002). A iconocracia jurídica que interessa à tese é herdeira direta desse cálculo bizantino. Ao deslocar o corpo feminino para a posição de imagem estatal, o Estado passa a administrar afetos como administra tributos. Nesta parte, reconstituo os quatro componentes dessa economia — origem bizantina, Feminilidade de Estado, regimes iconocráticos e Pathosformel jurídico — preparando o terreno para a análise metodológica e empírica.</w:t>
      </w:r>
    </w:p>
    <w:p>
      <w:pPr>
        <w:pStyle w:val="BodyText"/>
      </w:pPr>
      <w:r>
        <w:rPr>
          <w:lang w:val="pt-BR"/>
        </w:rPr>
        <w:t xml:space="preserve">A Feminilidade de Estado, que este capítulo formula em §2.2, é um dos quatro conceitos originais que estruturam a contribuição teórica desta tese. O primeiro,</w:t>
      </w:r>
      <w:r>
        <w:rPr>
          <w:lang w:val="pt-BR"/>
        </w:rPr>
        <w:t xml:space="preserve"> </w:t>
      </w:r>
      <w:r>
        <w:rPr>
          <w:b/>
          <w:bCs/>
          <w:lang w:val="pt-BR"/>
        </w:rPr>
        <w:t xml:space="preserve">Contrato Sexual Visual</w:t>
      </w:r>
      <w:r>
        <w:rPr>
          <w:lang w:val="pt-BR"/>
        </w:rPr>
        <w:t xml:space="preserve"> </w:t>
      </w:r>
      <w:r>
        <w:rPr>
          <w:lang w:val="pt-BR"/>
        </w:rPr>
        <w:t xml:space="preserve">(Cap. 1), designa a dimensão visual do contrato sexual teorizado por Pateman: a projeção iconográfica da fraternidade masculina em dispositivos estatais que reconhecem simbolicamente o feminino enquanto perpetuam a exclusão cívica das mulheres. O segundo, a</w:t>
      </w:r>
      <w:r>
        <w:rPr>
          <w:lang w:val="pt-BR"/>
        </w:rPr>
        <w:t xml:space="preserve"> </w:t>
      </w:r>
      <w:r>
        <w:rPr>
          <w:b/>
          <w:bCs/>
          <w:lang w:val="pt-BR"/>
        </w:rPr>
        <w:t xml:space="preserve">Feminilidade de Estado</w:t>
      </w:r>
      <w:r>
        <w:rPr>
          <w:lang w:val="pt-BR"/>
        </w:rPr>
        <w:t xml:space="preserve">, descreve o efeito subjetivo dessa economia sobre o corpo alegórico — esvaziado de subjetividade para tornar-se infraestrutura de afeto público. O terceiro,</w:t>
      </w:r>
      <w:r>
        <w:rPr>
          <w:lang w:val="pt-BR"/>
        </w:rPr>
        <w:t xml:space="preserve"> </w:t>
      </w:r>
      <w:r>
        <w:rPr>
          <w:b/>
          <w:bCs/>
          <w:lang w:val="pt-BR"/>
        </w:rPr>
        <w:t xml:space="preserve">Contrato Racial Visual</w:t>
      </w:r>
      <w:r>
        <w:rPr>
          <w:lang w:val="pt-BR"/>
        </w:rPr>
        <w:t xml:space="preserve"> </w:t>
      </w:r>
      <w:r>
        <w:rPr>
          <w:lang w:val="pt-BR"/>
        </w:rPr>
        <w:t xml:space="preserve">(Cap. 3), identifica a branquitude constitutiva da alegoria</w:t>
      </w:r>
      <w:r>
        <w:rPr>
          <w:lang w:val="pt-BR"/>
        </w:rPr>
        <w:t xml:space="preserve"> </w:t>
      </w:r>
      <w:r>
        <w:rPr>
          <w:lang w:val="pt-BR"/>
        </w:rPr>
        <w:t xml:space="preserve">“universal”</w:t>
      </w:r>
      <w:r>
        <w:rPr>
          <w:lang w:val="pt-BR"/>
        </w:rPr>
        <w:t xml:space="preserve"> </w:t>
      </w:r>
      <w:r>
        <w:rPr>
          <w:lang w:val="pt-BR"/>
        </w:rPr>
        <w:t xml:space="preserve">e a transferência transatlântica de modelos neoclássicos que instala um padrão racializado nos repertórios visuais pós-coloniais. O quarto,</w:t>
      </w:r>
      <w:r>
        <w:rPr>
          <w:lang w:val="pt-BR"/>
        </w:rPr>
        <w:t xml:space="preserve"> </w:t>
      </w:r>
      <w:r>
        <w:rPr>
          <w:b/>
          <w:bCs/>
          <w:lang w:val="pt-BR"/>
        </w:rPr>
        <w:t xml:space="preserve">Purificação Clássica</w:t>
      </w:r>
      <w:r>
        <w:rPr>
          <w:lang w:val="pt-BR"/>
        </w:rPr>
        <w:t xml:space="preserve"> </w:t>
      </w:r>
      <w:r>
        <w:rPr>
          <w:lang w:val="pt-BR"/>
        </w:rPr>
        <w:t xml:space="preserve">(Cap. 5.2), é o mecanismo formal mensurável que torna os três efeitos acessíveis à comparação iconométrica, operacionalizado nos dez indicadores ordinais de endurecimento. Os três primeiros conceitos descrevem efeitos políticos, jurídicos e raciais; o quarto descreve a operação que os produz. A presente formulação da Feminilidade de Estado deve ser lida, portanto, no interior dessa arquitetura quadripartite.</w:t>
      </w:r>
    </w:p>
    <w:bookmarkStart w:id="47" w:name="X3737ad691518a7abb8e71ab6f0913c051d9e64a"/>
    <w:p>
      <w:pPr>
        <w:pStyle w:val="Heading2"/>
      </w:pPr>
      <w:r>
        <w:rPr>
          <w:rStyle w:val="SectionNumber"/>
          <w:lang w:val="pt-BR"/>
        </w:rPr>
        <w:t xml:space="preserve">3.1</w:t>
      </w:r>
      <w:r>
        <w:tab/>
      </w:r>
      <w:r>
        <w:rPr>
          <w:lang w:val="pt-BR"/>
        </w:rPr>
        <w:t xml:space="preserve">2.1 — Mondzain e a economia do ícone: de Bizâncio ao Estado moderno</w:t>
      </w:r>
    </w:p>
    <w:p>
      <w:pPr>
        <w:pStyle w:val="FirstParagraph"/>
      </w:pPr>
      <w:r>
        <w:rPr>
          <w:lang w:val="pt-BR"/>
        </w:rPr>
        <w:t xml:space="preserve">Quando o patriarca Nicéforo de Constantinopla redige sua defesa dos ícones no século IX [VERIFICAR: em Mondzain (2002), qual defensor dos ícones é descrito — Nicéforo (patriarca de Constantinopla, séc. IX) ou Germanos I (início do séc. VIII); a versão anterior deste capítulo dizia</w:t>
      </w:r>
      <w:r>
        <w:rPr>
          <w:lang w:val="pt-BR"/>
        </w:rPr>
        <w:t xml:space="preserve"> </w:t>
      </w:r>
      <w:r>
        <w:rPr>
          <w:lang w:val="pt-BR"/>
        </w:rPr>
        <w:t xml:space="preserve">“bispo germânico”</w:t>
      </w:r>
      <w:r>
        <w:rPr>
          <w:lang w:val="pt-BR"/>
        </w:rPr>
        <w:t xml:space="preserve">, erro provável de confusão com Germanos], descreve uma plateia que alterna lágrimas e temor diante da figura de Cristo entronizado. Mondzain interpreta essa descrição como o momento em que a imagem deixa de ser objeto devocional e passa a ser tecnologia de governo, pois captura o olhar coletivo e o converte em adesão (MONDZAIN, 2002). A querela iconoclasta, longe de ter sido uma discussão teológica, inaugurou o modelo de gestão das aparências que será replicado pelos Estados nacionais. Em Bizâncio, a imagem legitima o imperador ao estampar sua autoridade num suporte que não conhece fronteiras geográficas. Na modernidade jurídica, o mesmo mecanismo se replica quando a alegoria feminina ocupa moedas, selos e tímpanos forenses.</w:t>
      </w:r>
    </w:p>
    <w:p>
      <w:pPr>
        <w:pStyle w:val="BodyText"/>
      </w:pPr>
      <w:r>
        <w:rPr>
          <w:lang w:val="pt-BR"/>
        </w:rPr>
        <w:t xml:space="preserve">Essa genealogia importa porque a iconocracia jurídica depende de um equilíbrio delicado entre presença e distância. Mondzain insiste que a imagem eficaz mantém um hiato entre o visível e o invisível para preservar o desejo político do espectador. O corpo feminino alegórico amplifica esse hiato: a figura está presente para oferecer consolo estético, porém permanece distante o suficiente para impedir qualquer reivindicação de cidadania. É justamente nesse intervalo que o Contrato Sexual Visual se instala. O capítulo demonstrará que, ao se apropriar da economia icônica bizantina, os Estados modernos produziram uma Feminilidade de Estado branca, silenciosa e juridicamente desincorporada, apta a sustentar as exclusões analisadas nos capítulos seguintes.</w:t>
      </w:r>
    </w:p>
    <w:bookmarkEnd w:id="47"/>
    <w:bookmarkStart w:id="48" w:name="X1cdedaa13899671e526c1834a0bd31f07d8a2d1"/>
    <w:p>
      <w:pPr>
        <w:pStyle w:val="Heading2"/>
      </w:pPr>
      <w:r>
        <w:rPr>
          <w:rStyle w:val="SectionNumber"/>
          <w:lang w:val="pt-BR"/>
        </w:rPr>
        <w:t xml:space="preserve">3.2</w:t>
      </w:r>
      <w:r>
        <w:tab/>
      </w:r>
      <w:r>
        <w:rPr>
          <w:lang w:val="pt-BR"/>
        </w:rPr>
        <w:t xml:space="preserve">2.2 — A Feminilidade de Estado: o corpo feminino como recipiente vazio</w:t>
      </w:r>
    </w:p>
    <w:p>
      <w:pPr>
        <w:pStyle w:val="FirstParagraph"/>
      </w:pPr>
      <w:r>
        <w:rPr>
          <w:lang w:val="pt-BR"/>
        </w:rPr>
        <w:t xml:space="preserve">Feminilidade de Estado é o nome que dou ao processo de fabricação de um corpo feminino apto a transportar o poder masculino sem jamais reivindicá-lo. Ele se constrói por esvaziamento: retira-se a historicidade do corpo concreto e injeta-se em seu lugar uma pureza clássica, branca, imóvel. Legendre chamaria esse movimento de produção de um</w:t>
      </w:r>
      <w:r>
        <w:rPr>
          <w:lang w:val="pt-BR"/>
        </w:rPr>
        <w:t xml:space="preserve"> </w:t>
      </w:r>
      <w:r>
        <w:rPr>
          <w:lang w:val="pt-BR"/>
        </w:rPr>
        <w:t xml:space="preserve">“corpo sem palavras”</w:t>
      </w:r>
      <w:r>
        <w:rPr>
          <w:lang w:val="pt-BR"/>
        </w:rPr>
        <w:t xml:space="preserve"> </w:t>
      </w:r>
      <w:r>
        <w:rPr>
          <w:lang w:val="pt-BR"/>
        </w:rPr>
        <w:t xml:space="preserve">que fala apenas a língua do soberano (LEGENDRE, 1994 [VERIFICAR: qual obra sustenta a expressão entre aspas; conferir página]). Nos suportes jurídicos, essa feminilidade institucionalizada oferece a promessa de proximidade — afinal, seu rosto sorri, sua pele parece tátil — ao mesmo tempo em que impõe distância, pois a figura não possui órgãos de fala, nem repertório gestual próprio. A economia icônica administra esse vazio como uma conta bancária: quanto mais desindividualizada a figura, maior a sua liquidez simbólica. É por isso que as alegorias conseguem atravessar oceanos e regimes políticos sem alterar a sua gramática corporal.</w:t>
      </w:r>
    </w:p>
    <w:p>
      <w:pPr>
        <w:pStyle w:val="BodyText"/>
      </w:pPr>
      <w:r>
        <w:rPr>
          <w:lang w:val="pt-BR"/>
        </w:rPr>
        <w:t xml:space="preserve">Esse esvaziamento serve a uma engenharia jurídica específica. Ao colocar a mulher como imagem, o Estado cria um circuito de reconhecimento que não depende de direitos positivos. O cidadão olha para a moeda e identifica a pátria no rosto feminino, mas essa identificação não gera reciprocidade jurídica. A Feminilidade de Estado transforma o corpo em infraestrutura de afeto público. Quando o Estado Novo brasileiro manda erigir monumentos com a República em mármore branco, o que está em jogo é a manutenção desse circuito, ainda que as mulheres sigam excluídas das arenas decisórias. A economia política da imagem soberana, portanto, não é apenas iconográfica. É também econômica: gere escassez, prioriza suportes, decide que tipo de mulher poderá emprestar seu corpo à lei.</w:t>
      </w:r>
    </w:p>
    <w:p>
      <w:pPr>
        <w:pStyle w:val="BodyText"/>
      </w:pPr>
      <w:r>
        <w:rPr>
          <w:lang w:val="pt-BR"/>
        </w:rPr>
        <w:t xml:space="preserve">A Feminilidade de Estado, tal como aqui formulada, não emerge de uma única matriz teórica. Ela se sustenta sobre uma dupla raiz genealógica que precisa ser explicitada. De um lado, Pierre Legendre fornece o paterno-totêmico: o juiz totêmico da antropologia dogmática inscreve no corpo alegórico a operação que produz o</w:t>
      </w:r>
      <w:r>
        <w:rPr>
          <w:lang w:val="pt-BR"/>
        </w:rPr>
        <w:t xml:space="preserve"> </w:t>
      </w:r>
      <w:r>
        <w:rPr>
          <w:lang w:val="pt-BR"/>
        </w:rPr>
        <w:t xml:space="preserve">“corpo sem palavras”</w:t>
      </w:r>
      <w:r>
        <w:rPr>
          <w:lang w:val="pt-BR"/>
        </w:rPr>
        <w:t xml:space="preserve"> </w:t>
      </w:r>
      <w:r>
        <w:rPr>
          <w:lang w:val="pt-BR"/>
        </w:rPr>
        <w:t xml:space="preserve">como função institucional, capturando o desejo do sujeito por intermédio de uma imagem que ocupa o lugar estrutural do Outro absoluto (LEGENDRE, 1994). De outro lado, Anne Carson oferece a operação simbólica complementar: a hystéra, lida desde a medicina hipocrática e desde a pólis clássica, é o órgão errante que organiza a percepção do feminino como instabilidade fluida, suscetível de desordens que ameaçam a ordem masculina (CARSON, 2023 [VERIFICAR: ano/edição — o ensaio da hystéra é dos anos 1990 de Carson; o Glossário remete a Carson 2000; unificar a referência em toda a tese]). A Feminilidade de Estado opera, portanto, na junção exata entre essas duas tradições: domestica a instabilidade carsoniana — o útero móvel, a matéria dúctil, a mulher como receptáculo platônico — convertendo-a, por meio da codificação totêmica legendrense, em superfície imóvel apta a sustentar a soberania. O que o totem fixa, a hystéra ameaça desestabilizar; a alegoria estatal resolve a tensão pela via plástica do mármore e pela via simbólica do esvaziamento.</w:t>
      </w:r>
    </w:p>
    <w:bookmarkEnd w:id="48"/>
    <w:bookmarkStart w:id="49" w:name="X2aab197503c2a59bd38872d85b2351c2eed47ef"/>
    <w:p>
      <w:pPr>
        <w:pStyle w:val="Heading2"/>
      </w:pPr>
      <w:r>
        <w:rPr>
          <w:rStyle w:val="SectionNumber"/>
          <w:lang w:val="pt-BR"/>
        </w:rPr>
        <w:t xml:space="preserve">3.3</w:t>
      </w:r>
      <w:r>
        <w:tab/>
      </w:r>
      <w:r>
        <w:rPr>
          <w:lang w:val="pt-BR"/>
        </w:rPr>
        <w:t xml:space="preserve">2.3 — Regimes iconocráticos: Fundacional, Normativo, Militar e Contra-Alegórico</w:t>
      </w:r>
    </w:p>
    <w:p>
      <w:pPr>
        <w:pStyle w:val="FirstParagraph"/>
      </w:pPr>
      <w:r>
        <w:rPr>
          <w:lang w:val="pt-BR"/>
        </w:rPr>
        <w:t xml:space="preserve">Os regimes iconocráticos funcionam como matrizes morfológicas que organizam a circulação da Feminilidade de Estado ao longo do tempo. Eles não são fases históricas sucessivas, nem categorias estanques; são vetores de intensificação que podem coexistir no mesmo período, no mesmo suporte, às vezes no mesmo artefato. A classificação não é mero artifício narrativo: trata-se de uma chave analítica que permite ler a variação do endurecimento e, por conseguinte, o modo como o Contrato Sexual Visual se adapta a crises políticas.</w:t>
      </w:r>
    </w:p>
    <w:p>
      <w:pPr>
        <w:pStyle w:val="BodyText"/>
      </w:pPr>
      <w:r>
        <w:rPr>
          <w:lang w:val="pt-BR"/>
        </w:rPr>
        <w:t xml:space="preserve">O regime</w:t>
      </w:r>
      <w:r>
        <w:rPr>
          <w:lang w:val="pt-BR"/>
        </w:rPr>
        <w:t xml:space="preserve"> </w:t>
      </w:r>
      <w:r>
        <w:rPr>
          <w:b/>
          <w:bCs/>
          <w:lang w:val="pt-BR"/>
        </w:rPr>
        <w:t xml:space="preserve">Fundacional</w:t>
      </w:r>
      <w:r>
        <w:rPr>
          <w:lang w:val="pt-BR"/>
        </w:rPr>
        <w:t xml:space="preserve"> </w:t>
      </w:r>
      <w:r>
        <w:rPr>
          <w:lang w:val="pt-BR"/>
        </w:rPr>
        <w:t xml:space="preserve">mobiliza Pathosformeln revolucionárias: corpos inclinados, tecidos em movimento, gestos de ruptura (WARBURG, 2000). É nele que a hipervisibilidade feminina oferece um álibi à ausência de cidadania real. A República nascente precisa de corpos que pareçam sair do chão, como a Marianne de Delacroix ou a Alegoria da República que estampa a</w:t>
      </w:r>
      <w:r>
        <w:rPr>
          <w:lang w:val="pt-BR"/>
        </w:rPr>
        <w:t xml:space="preserve"> </w:t>
      </w:r>
      <w:r>
        <w:rPr>
          <w:i/>
          <w:iCs/>
          <w:lang w:val="pt-BR"/>
        </w:rPr>
        <w:t xml:space="preserve">Revista Ilustrada</w:t>
      </w:r>
      <w:r>
        <w:rPr>
          <w:lang w:val="pt-BR"/>
        </w:rPr>
        <w:t xml:space="preserve"> </w:t>
      </w:r>
      <w:r>
        <w:rPr>
          <w:lang w:val="pt-BR"/>
        </w:rPr>
        <w:t xml:space="preserve">em 1889. Nesses artefatos, a alegoria ainda carrega resíduo narrativo: a mulher-genericamente-o-povo ainda se move, ainda aponta, ainda conduz. O baixo endurecimento fundacional não é ingenuidade estética; é o investimento inicial de capital afetivo que compra, por antecipação, a obediência das mulheres excluídas da cidadania.</w:t>
      </w:r>
    </w:p>
    <w:p>
      <w:pPr>
        <w:pStyle w:val="BodyText"/>
      </w:pPr>
      <w:r>
        <w:rPr>
          <w:lang w:val="pt-BR"/>
        </w:rPr>
        <w:t xml:space="preserve">O regime</w:t>
      </w:r>
      <w:r>
        <w:rPr>
          <w:lang w:val="pt-BR"/>
        </w:rPr>
        <w:t xml:space="preserve"> </w:t>
      </w:r>
      <w:r>
        <w:rPr>
          <w:b/>
          <w:bCs/>
          <w:lang w:val="pt-BR"/>
        </w:rPr>
        <w:t xml:space="preserve">Normativo</w:t>
      </w:r>
      <w:r>
        <w:rPr>
          <w:lang w:val="pt-BR"/>
        </w:rPr>
        <w:t xml:space="preserve"> </w:t>
      </w:r>
      <w:r>
        <w:rPr>
          <w:lang w:val="pt-BR"/>
        </w:rPr>
        <w:t xml:space="preserve">transforma a energia fundacional em rotina administrativa. Nas prensas dos correios e das casas da moeda, o corpo alegórico é estabilizado, centralizado, frontalizado. A figura torna-se selo ou moeda justamente porque já não ameaça transbordar. Onde a fundacional precisava de paixão, a normativa precisa de reconhecimento instantâneo: a Marianne perfilada numa moeda de 1900, a</w:t>
      </w:r>
      <w:r>
        <w:rPr>
          <w:lang w:val="pt-BR"/>
        </w:rPr>
        <w:t xml:space="preserve"> </w:t>
      </w:r>
      <w:r>
        <w:rPr>
          <w:i/>
          <w:iCs/>
          <w:lang w:val="pt-BR"/>
        </w:rPr>
        <w:t xml:space="preserve">Columbia</w:t>
      </w:r>
      <w:r>
        <w:rPr>
          <w:lang w:val="pt-BR"/>
        </w:rPr>
        <w:t xml:space="preserve"> </w:t>
      </w:r>
      <w:r>
        <w:rPr>
          <w:lang w:val="pt-BR"/>
        </w:rPr>
        <w:t xml:space="preserve">em selos postais, a Justiça numa estampa de cartório. Aqui o endurecimento sobe porque a narrativa é podada: não há mais cena, há apenas emblema. O Contrato Sexual Visual, nesse estágio, deixa de ser performance dramática para virar assinatura visual do Estado.</w:t>
      </w:r>
    </w:p>
    <w:p>
      <w:pPr>
        <w:pStyle w:val="BodyText"/>
      </w:pPr>
      <w:r>
        <w:rPr>
          <w:lang w:val="pt-BR"/>
        </w:rPr>
        <w:t xml:space="preserve">O regime</w:t>
      </w:r>
      <w:r>
        <w:rPr>
          <w:lang w:val="pt-BR"/>
        </w:rPr>
        <w:t xml:space="preserve"> </w:t>
      </w:r>
      <w:r>
        <w:rPr>
          <w:b/>
          <w:bCs/>
          <w:lang w:val="pt-BR"/>
        </w:rPr>
        <w:t xml:space="preserve">Militar</w:t>
      </w:r>
      <w:r>
        <w:rPr>
          <w:lang w:val="pt-BR"/>
        </w:rPr>
        <w:t xml:space="preserve"> </w:t>
      </w:r>
      <w:r>
        <w:rPr>
          <w:lang w:val="pt-BR"/>
        </w:rPr>
        <w:t xml:space="preserve">opera o endurecimento máximo: a alegoria empunha armas, se petrifica em bronze, assume fardas ou couraças e é colocada à porta de edifícios judiciais que representam o monopólio estatal da violência. Não se trata apenas de figuras guerreiras, mas de uma cristalização da autoridade em momentos de crise: a</w:t>
      </w:r>
      <w:r>
        <w:rPr>
          <w:lang w:val="pt-BR"/>
        </w:rPr>
        <w:t xml:space="preserve"> </w:t>
      </w:r>
      <w:r>
        <w:rPr>
          <w:i/>
          <w:iCs/>
          <w:lang w:val="pt-BR"/>
        </w:rPr>
        <w:t xml:space="preserve">Germania</w:t>
      </w:r>
      <w:r>
        <w:rPr>
          <w:lang w:val="pt-BR"/>
        </w:rPr>
        <w:t xml:space="preserve"> </w:t>
      </w:r>
      <w:r>
        <w:rPr>
          <w:lang w:val="pt-BR"/>
        </w:rPr>
        <w:t xml:space="preserve">do monumento de Niederwald, a</w:t>
      </w:r>
      <w:r>
        <w:rPr>
          <w:lang w:val="pt-BR"/>
        </w:rPr>
        <w:t xml:space="preserve"> </w:t>
      </w:r>
      <w:r>
        <w:rPr>
          <w:i/>
          <w:iCs/>
          <w:lang w:val="pt-BR"/>
        </w:rPr>
        <w:t xml:space="preserve">Britannia</w:t>
      </w:r>
      <w:r>
        <w:rPr>
          <w:lang w:val="pt-BR"/>
        </w:rPr>
        <w:t xml:space="preserve"> </w:t>
      </w:r>
      <w:r>
        <w:rPr>
          <w:lang w:val="pt-BR"/>
        </w:rPr>
        <w:t xml:space="preserve">armada dos cartões postais imperialistas, a</w:t>
      </w:r>
      <w:r>
        <w:rPr>
          <w:lang w:val="pt-BR"/>
        </w:rPr>
        <w:t xml:space="preserve"> </w:t>
      </w:r>
      <w:r>
        <w:rPr>
          <w:i/>
          <w:iCs/>
          <w:lang w:val="pt-BR"/>
        </w:rPr>
        <w:t xml:space="preserve">Justiça</w:t>
      </w:r>
      <w:r>
        <w:rPr>
          <w:lang w:val="pt-BR"/>
        </w:rPr>
        <w:t xml:space="preserve"> </w:t>
      </w:r>
      <w:r>
        <w:rPr>
          <w:lang w:val="pt-BR"/>
        </w:rPr>
        <w:t xml:space="preserve">sentada diante do Supremo Tribunal Federal. O militarismo iconocrático contrae dívidas com o medo e exige que o corpo alegórico pareça indestrutível, como se a própria lei fosse feita do mesmo bronze.</w:t>
      </w:r>
    </w:p>
    <w:p>
      <w:pPr>
        <w:pStyle w:val="BodyText"/>
      </w:pPr>
      <w:r>
        <w:rPr>
          <w:lang w:val="pt-BR"/>
        </w:rPr>
        <w:t xml:space="preserve">Há, no entanto, um quarto regime, menos numeroso no corpus, mas teoricamente decisivo: o regime</w:t>
      </w:r>
      <w:r>
        <w:rPr>
          <w:lang w:val="pt-BR"/>
        </w:rPr>
        <w:t xml:space="preserve"> </w:t>
      </w:r>
      <w:r>
        <w:rPr>
          <w:b/>
          <w:bCs/>
          <w:lang w:val="pt-BR"/>
        </w:rPr>
        <w:t xml:space="preserve">Contra-Alegórico</w:t>
      </w:r>
      <w:r>
        <w:rPr>
          <w:lang w:val="pt-BR"/>
        </w:rPr>
        <w:t xml:space="preserve">. Trata-se do vetor inverso — da subversão, da caricatura, da recusa da Purificação Clássica. Onde os três primeiros regimes investem no corpo feminino para legitimar o Estado, o contra-alegórico retira esse corpo do pedestal, devolve-lhe narrativa, grotesco, sexo, raça, suor ou fome. Os itens do corpus classificados como contra-alegoria não são exceções decorativas: são falhas estruturais do Contrato Sexual Visual, momentos em que o corpo deixou de funcionar como infraestrutura de afeto público e voltou a incomodar. Como mostrarei na análise quantitativa do Capítulo 6, as contra-alegorias aparecem como</w:t>
      </w:r>
      <w:r>
        <w:rPr>
          <w:lang w:val="pt-BR"/>
        </w:rPr>
        <w:t xml:space="preserve"> </w:t>
      </w:r>
      <w:r>
        <w:rPr>
          <w:i/>
          <w:iCs/>
          <w:lang w:val="pt-BR"/>
        </w:rPr>
        <w:t xml:space="preserve">baseline</w:t>
      </w:r>
      <w:r>
        <w:rPr>
          <w:lang w:val="pt-BR"/>
        </w:rPr>
        <w:t xml:space="preserve"> </w:t>
      </w:r>
      <w:r>
        <w:rPr>
          <w:lang w:val="pt-BR"/>
        </w:rPr>
        <w:t xml:space="preserve">de baixo endurecimento: são o que a Purificação Clássica tenta, e falha, em eliminar.</w:t>
      </w:r>
    </w:p>
    <w:p>
      <w:pPr>
        <w:pStyle w:val="BodyText"/>
      </w:pPr>
      <w:r>
        <w:rPr>
          <w:lang w:val="pt-BR"/>
        </w:rPr>
        <w:t xml:space="preserve">A coexistência dos quatro regimes explica por que a mesma nação pode oscilar, num intervalo de poucos anos, entre uma Marianne viva e uma Marianne mecanizada. As séries de selos franceses do século XX registram exatamente essa pulsação: fundacional após crises revolucionárias, normativa na rotina administrativa, militar nas ameaças externas, contra-alegórica nas brechas da contestação. A iconocracia, assim, não é uma máquina de sentido único; é uma economia de regimes que alterna capital afetivo, dividendos de obediência e dívidas com o medo — e que, em alguns momentos, também enfrenta o risco do avesso.</w:t>
      </w:r>
    </w:p>
    <w:bookmarkEnd w:id="49"/>
    <w:bookmarkStart w:id="50" w:name="X797652b6a093e7398d4a243f5e641eb64c16cc4"/>
    <w:p>
      <w:pPr>
        <w:pStyle w:val="Heading2"/>
      </w:pPr>
      <w:r>
        <w:rPr>
          <w:rStyle w:val="SectionNumber"/>
          <w:lang w:val="pt-BR"/>
        </w:rPr>
        <w:t xml:space="preserve">3.4</w:t>
      </w:r>
      <w:r>
        <w:tab/>
      </w:r>
      <w:r>
        <w:rPr>
          <w:lang w:val="pt-BR"/>
        </w:rPr>
        <w:t xml:space="preserve">2.4 — O Pathosformel jurídico: Warburg, Agamben e a sobrevivência das fórmulas</w:t>
      </w:r>
    </w:p>
    <w:p>
      <w:pPr>
        <w:pStyle w:val="FirstParagraph"/>
      </w:pPr>
      <w:r>
        <w:rPr>
          <w:lang w:val="pt-BR"/>
        </w:rPr>
        <w:t xml:space="preserve">Warburg ensinou que as imagens carregam gestos ancestrais — as Pathosformeln — que sobrevivem como tensões comprimidas (WARBURG, 2000). Quando uma Justiça segura a balança com a mão elevada e inclina minimamente o torso, ela reativa uma fórmula expressiva que atravessa dois milênios. Essa sobrevivência não é neutra. No direito, a Pathosformel funciona como assinatura: cada vez que a figura se repete, o Estado reafirma a sua ancestralidade e, com ela, a pretensão de inevitabilidade. Agamben acrescenta que toda assinatura produz zonas de exceção (AGAMBEN, 1998 [VERIFICAR: a doutrina da</w:t>
      </w:r>
      <w:r>
        <w:rPr>
          <w:lang w:val="pt-BR"/>
        </w:rPr>
        <w:t xml:space="preserve"> </w:t>
      </w:r>
      <w:r>
        <w:rPr>
          <w:lang w:val="pt-BR"/>
        </w:rPr>
        <w:t xml:space="preserve">“assinatura”</w:t>
      </w:r>
      <w:r>
        <w:rPr>
          <w:lang w:val="pt-BR"/>
        </w:rPr>
        <w:t xml:space="preserve"> </w:t>
      </w:r>
      <w:r>
        <w:rPr>
          <w:lang w:val="pt-BR"/>
        </w:rPr>
        <w:t xml:space="preserve">não está em Homo sacer (1998) — data dos anos 2000, cf. Signatura rerum, 2008; corrigir a referência]). Ao reafirmar a Pathosformel da Justiça vendada, o Estado autoriza a suspensão da visão concreta dos conflitos em nome de um olhar universalizado.</w:t>
      </w:r>
    </w:p>
    <w:p>
      <w:pPr>
        <w:pStyle w:val="BodyText"/>
      </w:pPr>
      <w:r>
        <w:rPr>
          <w:lang w:val="pt-BR"/>
        </w:rPr>
        <w:t xml:space="preserve">O Pathosformel jurídico é, portanto, uma engrenagem da economia iconocrática. Ele garante que o corpo feminino continue reconhecível mesmo quando muda de traje, suporte ou país. O Atlas iconocrático que fecha a tese trabalhará com essa ideia de sobrevivência: ao colocar lado a lado Columbia entregando uma espada e a Justiça de Ceschiatti sentada diante do STF, procuro revelar o intervalo no qual a fórmula expressiva é resignificada para sustentar novos contratos políticos. A sobrevivência das fórmulas explica por que a Feminilidade de Estado pode ser, simultaneamente, revolucionária em 1789 e policial em 1964. A economia do ícone, enfim, precisa desse capital simbólico trans-histórico para continuar operando.</w:t>
      </w:r>
    </w:p>
    <w:bookmarkEnd w:id="50"/>
    <w:bookmarkStart w:id="56" w:name="X5037c6d7bcd742e02bc27550ac8d01ec8b16f23"/>
    <w:p>
      <w:pPr>
        <w:pStyle w:val="Heading2"/>
      </w:pPr>
      <w:r>
        <w:rPr>
          <w:rStyle w:val="SectionNumber"/>
          <w:lang w:val="pt-BR"/>
        </w:rPr>
        <w:t xml:space="preserve">3.5</w:t>
      </w:r>
      <w:r>
        <w:tab/>
      </w:r>
      <w:r>
        <w:rPr>
          <w:lang w:val="pt-BR"/>
        </w:rPr>
        <w:t xml:space="preserve">2.5 — Contra-alegoria e antropofagia: o corpo que devora</w:t>
      </w:r>
    </w:p>
    <w:p>
      <w:pPr>
        <w:pStyle w:val="FirstParagraph"/>
      </w:pPr>
      <w:r>
        <w:rPr>
          <w:lang w:val="pt-BR"/>
        </w:rPr>
        <w:t xml:space="preserve">Se o Pathosformel explica a sobrevivência das fórmulas expressivas, a contra-alegoria explica a ruptura. O modernismo brasileiro de 1928 oferece um caso-limite particularmente produtivo, porque converte a própria operação alegórica em gesto de contestação. A questão que orienta esta seção —</w:t>
      </w:r>
      <w:r>
        <w:rPr>
          <w:lang w:val="pt-BR"/>
        </w:rPr>
        <w:t xml:space="preserve"> </w:t>
      </w:r>
      <w:r>
        <w:rPr>
          <w:i/>
          <w:iCs/>
          <w:lang w:val="pt-BR"/>
        </w:rPr>
        <w:t xml:space="preserve">o Abaporu é uma alegoria? é uma ruptura?</w:t>
      </w:r>
      <w:r>
        <w:rPr>
          <w:lang w:val="pt-BR"/>
        </w:rPr>
        <w:t xml:space="preserve"> </w:t>
      </w:r>
      <w:r>
        <w:rPr>
          <w:lang w:val="pt-BR"/>
        </w:rPr>
        <w:t xml:space="preserve">— só pode ser respondida com precisão se distinguirmos alegoria do símbolo, a legenda da imagem, e a legitimação da deslegitimação.</w:t>
      </w:r>
    </w:p>
    <w:bookmarkStart w:id="51" w:name="alegoria-versus-símbolo"/>
    <w:p>
      <w:pPr>
        <w:pStyle w:val="Heading3"/>
      </w:pPr>
      <w:r>
        <w:rPr>
          <w:rStyle w:val="SectionNumber"/>
          <w:lang w:val="pt-BR"/>
        </w:rPr>
        <w:t xml:space="preserve">3.5.1</w:t>
      </w:r>
      <w:r>
        <w:tab/>
      </w:r>
      <w:r>
        <w:rPr>
          <w:lang w:val="pt-BR"/>
        </w:rPr>
        <w:t xml:space="preserve">2.5.1 — Alegoria versus símbolo</w:t>
      </w:r>
    </w:p>
    <w:p>
      <w:pPr>
        <w:pStyle w:val="FirstParagraph"/>
      </w:pPr>
      <w:r>
        <w:rPr>
          <w:lang w:val="pt-BR"/>
        </w:rPr>
        <w:t xml:space="preserve">Walter Benjamin, na</w:t>
      </w:r>
      <w:r>
        <w:rPr>
          <w:lang w:val="pt-BR"/>
        </w:rPr>
        <w:t xml:space="preserve"> </w:t>
      </w:r>
      <w:r>
        <w:rPr>
          <w:i/>
          <w:iCs/>
          <w:lang w:val="pt-BR"/>
        </w:rPr>
        <w:t xml:space="preserve">Origem do Drama Barroco Alemão</w:t>
      </w:r>
      <w:r>
        <w:rPr>
          <w:lang w:val="pt-BR"/>
        </w:rPr>
        <w:t xml:space="preserve"> </w:t>
      </w:r>
      <w:r>
        <w:rPr>
          <w:lang w:val="pt-BR"/>
        </w:rPr>
        <w:t xml:space="preserve">(1928), desloca o conceito de alegoria do lugar subalterno que a estética romântica lhe reservara. Para o romantismo, o símbolo seria a</w:t>
      </w:r>
      <w:r>
        <w:rPr>
          <w:lang w:val="pt-BR"/>
        </w:rPr>
        <w:t xml:space="preserve"> </w:t>
      </w:r>
      <w:r>
        <w:rPr>
          <w:lang w:val="pt-BR"/>
        </w:rPr>
        <w:t xml:space="preserve">“união inseparável de forma e conteúdo”</w:t>
      </w:r>
      <w:r>
        <w:rPr>
          <w:lang w:val="pt-BR"/>
        </w:rPr>
        <w:t xml:space="preserve"> </w:t>
      </w:r>
      <w:r>
        <w:rPr>
          <w:lang w:val="pt-BR"/>
        </w:rPr>
        <w:t xml:space="preserve">[VERIFICAR: fonte das aspas]: o particular e o geral se fundiriam numa totalidade orgânica e autossuficiente (BENJAMIN, 1984 [VERIFICAR: página da citação direta]). Benjamin inverte a hierarquia. Contra a fusão romântica, ele recupera a alegoria como</w:t>
      </w:r>
      <w:r>
        <w:rPr>
          <w:lang w:val="pt-BR"/>
        </w:rPr>
        <w:t xml:space="preserve"> </w:t>
      </w:r>
      <w:r>
        <w:rPr>
          <w:b/>
          <w:bCs/>
          <w:lang w:val="pt-BR"/>
        </w:rPr>
        <w:t xml:space="preserve">expressão</w:t>
      </w:r>
      <w:r>
        <w:rPr>
          <w:lang w:val="pt-BR"/>
        </w:rPr>
        <w:t xml:space="preserve"> </w:t>
      </w:r>
      <w:r>
        <w:rPr>
          <w:lang w:val="pt-BR"/>
        </w:rPr>
        <w:t xml:space="preserve">—</w:t>
      </w:r>
      <w:r>
        <w:rPr>
          <w:lang w:val="pt-BR"/>
        </w:rPr>
        <w:t xml:space="preserve"> </w:t>
      </w:r>
      <w:r>
        <w:rPr>
          <w:lang w:val="pt-BR"/>
        </w:rPr>
        <w:t xml:space="preserve">“não técnica lúdica de imagens, mas expressão, tal como a linguagem é expressão, sim, tal como a escrita”</w:t>
      </w:r>
      <w:r>
        <w:rPr>
          <w:lang w:val="pt-BR"/>
        </w:rPr>
        <w:t xml:space="preserve">. O sentido, na alegoria, não é imanente; é depositado por um código verbal, por uma convenção, por uma legenda.</w:t>
      </w:r>
    </w:p>
    <w:p>
      <w:pPr>
        <w:pStyle w:val="BodyText"/>
      </w:pPr>
      <w:r>
        <w:rPr>
          <w:lang w:val="pt-BR"/>
        </w:rPr>
        <w:t xml:space="preserve">A distinção de Goethe, recuperada por Benjamin, é econômica: na alegoria,</w:t>
      </w:r>
      <w:r>
        <w:rPr>
          <w:lang w:val="pt-BR"/>
        </w:rPr>
        <w:t xml:space="preserve"> </w:t>
      </w:r>
      <w:r>
        <w:rPr>
          <w:lang w:val="pt-BR"/>
        </w:rPr>
        <w:t xml:space="preserve">“o particular vale como exemplo do geral”</w:t>
      </w:r>
      <w:r>
        <w:rPr>
          <w:lang w:val="pt-BR"/>
        </w:rPr>
        <w:t xml:space="preserve">; no símbolo,</w:t>
      </w:r>
      <w:r>
        <w:rPr>
          <w:lang w:val="pt-BR"/>
        </w:rPr>
        <w:t xml:space="preserve"> </w:t>
      </w:r>
      <w:r>
        <w:rPr>
          <w:lang w:val="pt-BR"/>
        </w:rPr>
        <w:t xml:space="preserve">“no particular se vê o geral”</w:t>
      </w:r>
      <w:r>
        <w:rPr>
          <w:lang w:val="pt-BR"/>
        </w:rPr>
        <w:t xml:space="preserve">. A alegoria precisa do conceito; o símbolo o dispensa. A etimologia confirma:</w:t>
      </w:r>
      <w:r>
        <w:rPr>
          <w:lang w:val="pt-BR"/>
        </w:rPr>
        <w:t xml:space="preserve"> </w:t>
      </w:r>
      <w:r>
        <w:rPr>
          <w:i/>
          <w:iCs/>
          <w:lang w:val="pt-BR"/>
        </w:rPr>
        <w:t xml:space="preserve">allegoría</w:t>
      </w:r>
      <w:r>
        <w:rPr>
          <w:lang w:val="pt-BR"/>
        </w:rPr>
        <w:t xml:space="preserve">, do grego</w:t>
      </w:r>
      <w:r>
        <w:rPr>
          <w:lang w:val="pt-BR"/>
        </w:rPr>
        <w:t xml:space="preserve"> </w:t>
      </w:r>
      <w:r>
        <w:rPr>
          <w:i/>
          <w:iCs/>
          <w:lang w:val="pt-BR"/>
        </w:rPr>
        <w:t xml:space="preserve">allos</w:t>
      </w:r>
      <w:r>
        <w:rPr>
          <w:lang w:val="pt-BR"/>
        </w:rPr>
        <w:t xml:space="preserve"> </w:t>
      </w:r>
      <w:r>
        <w:rPr>
          <w:lang w:val="pt-BR"/>
        </w:rPr>
        <w:t xml:space="preserve">(</w:t>
      </w:r>
      <w:r>
        <w:rPr>
          <w:lang w:val="pt-BR"/>
        </w:rPr>
        <w:t xml:space="preserve">“outro”</w:t>
      </w:r>
      <w:r>
        <w:rPr>
          <w:lang w:val="pt-BR"/>
        </w:rPr>
        <w:t xml:space="preserve">) e</w:t>
      </w:r>
      <w:r>
        <w:rPr>
          <w:lang w:val="pt-BR"/>
        </w:rPr>
        <w:t xml:space="preserve"> </w:t>
      </w:r>
      <w:r>
        <w:rPr>
          <w:i/>
          <w:iCs/>
          <w:lang w:val="pt-BR"/>
        </w:rPr>
        <w:t xml:space="preserve">agoreuein</w:t>
      </w:r>
      <w:r>
        <w:rPr>
          <w:lang w:val="pt-BR"/>
        </w:rPr>
        <w:t xml:space="preserve"> </w:t>
      </w:r>
      <w:r>
        <w:rPr>
          <w:lang w:val="pt-BR"/>
        </w:rPr>
        <w:t xml:space="preserve">(</w:t>
      </w:r>
      <w:r>
        <w:rPr>
          <w:lang w:val="pt-BR"/>
        </w:rPr>
        <w:t xml:space="preserve">“dizer em público”</w:t>
      </w:r>
      <w:r>
        <w:rPr>
          <w:lang w:val="pt-BR"/>
        </w:rPr>
        <w:t xml:space="preserve">), designa precisamente dizer uma coisa para significar outra (MARTINHO, 2008). O que Benjamin descreve como mecanismo do drama barroco — o significante esvaziado, preenchido</w:t>
      </w:r>
      <w:r>
        <w:rPr>
          <w:lang w:val="pt-BR"/>
        </w:rPr>
        <w:t xml:space="preserve"> </w:t>
      </w:r>
      <w:r>
        <w:rPr>
          <w:i/>
          <w:iCs/>
          <w:lang w:val="pt-BR"/>
        </w:rPr>
        <w:t xml:space="preserve">post festum</w:t>
      </w:r>
      <w:r>
        <w:rPr>
          <w:lang w:val="pt-BR"/>
        </w:rPr>
        <w:t xml:space="preserve"> </w:t>
      </w:r>
      <w:r>
        <w:rPr>
          <w:lang w:val="pt-BR"/>
        </w:rPr>
        <w:t xml:space="preserve">por sentido histórico — é, mutatis mutandis, o mecanismo da alegoria jurídica estudada nesta tese: um corpo feminino esvaziado de agência real, disponível para ser investido de autoridade estatal.</w:t>
      </w:r>
    </w:p>
    <w:bookmarkEnd w:id="51"/>
    <w:bookmarkStart w:id="52" w:name="Xec00c867feeb68f3603a40f752f12d8397c5f85"/>
    <w:p>
      <w:pPr>
        <w:pStyle w:val="Heading3"/>
      </w:pPr>
      <w:r>
        <w:rPr>
          <w:rStyle w:val="SectionNumber"/>
          <w:lang w:val="pt-BR"/>
        </w:rPr>
        <w:t xml:space="preserve">3.5.2</w:t>
      </w:r>
      <w:r>
        <w:tab/>
      </w:r>
      <w:r>
        <w:rPr>
          <w:lang w:val="pt-BR"/>
        </w:rPr>
        <w:t xml:space="preserve">2.5.2 — O Abaporu como alegoria dependente de legenda</w:t>
      </w:r>
    </w:p>
    <w:p>
      <w:pPr>
        <w:pStyle w:val="FirstParagraph"/>
      </w:pPr>
      <w:r>
        <w:rPr>
          <w:lang w:val="pt-BR"/>
        </w:rPr>
        <w:t xml:space="preserve">O</w:t>
      </w:r>
      <w:r>
        <w:rPr>
          <w:lang w:val="pt-BR"/>
        </w:rPr>
        <w:t xml:space="preserve"> </w:t>
      </w:r>
      <w:r>
        <w:rPr>
          <w:i/>
          <w:iCs/>
          <w:lang w:val="pt-BR"/>
        </w:rPr>
        <w:t xml:space="preserve">Abaporu</w:t>
      </w:r>
      <w:r>
        <w:rPr>
          <w:lang w:val="pt-BR"/>
        </w:rPr>
        <w:t xml:space="preserve"> </w:t>
      </w:r>
      <w:r>
        <w:rPr>
          <w:lang w:val="pt-BR"/>
        </w:rPr>
        <w:t xml:space="preserve">(Tarsila do Amaral, óleo sobre tela, 85 × 72 cm, janeiro de 1928) é, em si, uma figura enigmática. Corpo desproporcional, pé e mão hipertrofiados, cabeça mínima, cacto, sol. Sem a legenda, poderia ser uma figura telúrica qualquer — um gigante, um deus menor, uma personagem de sonho.</w:t>
      </w:r>
      <w:r>
        <w:rPr>
          <w:lang w:val="pt-BR"/>
        </w:rPr>
        <w:t xml:space="preserve"> </w:t>
      </w:r>
      <w:r>
        <w:rPr>
          <w:b/>
          <w:bCs/>
          <w:lang w:val="pt-BR"/>
        </w:rPr>
        <w:t xml:space="preserve">A tela só se torna</w:t>
      </w:r>
      <w:r>
        <w:rPr>
          <w:b/>
          <w:bCs/>
          <w:lang w:val="pt-BR"/>
        </w:rPr>
        <w:t xml:space="preserve"> </w:t>
      </w:r>
      <w:r>
        <w:rPr>
          <w:b/>
          <w:bCs/>
          <w:lang w:val="pt-BR"/>
        </w:rPr>
        <w:t xml:space="preserve">“antropófaga”</w:t>
      </w:r>
      <w:r>
        <w:rPr>
          <w:b/>
          <w:bCs/>
          <w:lang w:val="pt-BR"/>
        </w:rPr>
        <w:t xml:space="preserve"> </w:t>
      </w:r>
      <w:r>
        <w:rPr>
          <w:b/>
          <w:bCs/>
          <w:lang w:val="pt-BR"/>
        </w:rPr>
        <w:t xml:space="preserve">porque é batizada depois</w:t>
      </w:r>
      <w:r>
        <w:rPr>
          <w:lang w:val="pt-BR"/>
        </w:rPr>
        <w:t xml:space="preserve">: o título</w:t>
      </w:r>
      <w:r>
        <w:rPr>
          <w:lang w:val="pt-BR"/>
        </w:rPr>
        <w:t xml:space="preserve"> </w:t>
      </w:r>
      <w:r>
        <w:rPr>
          <w:i/>
          <w:iCs/>
          <w:lang w:val="pt-BR"/>
        </w:rPr>
        <w:t xml:space="preserve">Abaporu</w:t>
      </w:r>
      <w:r>
        <w:rPr>
          <w:lang w:val="pt-BR"/>
        </w:rPr>
        <w:t xml:space="preserve"> </w:t>
      </w:r>
      <w:r>
        <w:rPr>
          <w:lang w:val="pt-BR"/>
        </w:rPr>
        <w:t xml:space="preserve">foi conferido por Oswald de Andrade e pelo poeta Raul Bopp, a partir do tupi-guarani —</w:t>
      </w:r>
      <w:r>
        <w:rPr>
          <w:lang w:val="pt-BR"/>
        </w:rPr>
        <w:t xml:space="preserve"> </w:t>
      </w:r>
      <w:r>
        <w:rPr>
          <w:i/>
          <w:iCs/>
          <w:lang w:val="pt-BR"/>
        </w:rPr>
        <w:t xml:space="preserve">aba</w:t>
      </w:r>
      <w:r>
        <w:rPr>
          <w:lang w:val="pt-BR"/>
        </w:rPr>
        <w:t xml:space="preserve"> </w:t>
      </w:r>
      <w:r>
        <w:rPr>
          <w:lang w:val="pt-BR"/>
        </w:rPr>
        <w:t xml:space="preserve">(</w:t>
      </w:r>
      <w:r>
        <w:rPr>
          <w:lang w:val="pt-BR"/>
        </w:rPr>
        <w:t xml:space="preserve">“homem”</w:t>
      </w:r>
      <w:r>
        <w:rPr>
          <w:lang w:val="pt-BR"/>
        </w:rPr>
        <w:t xml:space="preserve">) +</w:t>
      </w:r>
      <w:r>
        <w:rPr>
          <w:lang w:val="pt-BR"/>
        </w:rPr>
        <w:t xml:space="preserve"> </w:t>
      </w:r>
      <w:r>
        <w:rPr>
          <w:i/>
          <w:iCs/>
          <w:lang w:val="pt-BR"/>
        </w:rPr>
        <w:t xml:space="preserve">poru</w:t>
      </w:r>
      <w:r>
        <w:rPr>
          <w:lang w:val="pt-BR"/>
        </w:rPr>
        <w:t xml:space="preserve"> </w:t>
      </w:r>
      <w:r>
        <w:rPr>
          <w:lang w:val="pt-BR"/>
        </w:rPr>
        <w:t xml:space="preserve">(</w:t>
      </w:r>
      <w:r>
        <w:rPr>
          <w:lang w:val="pt-BR"/>
        </w:rPr>
        <w:t xml:space="preserve">“que come”</w:t>
      </w:r>
      <w:r>
        <w:rPr>
          <w:lang w:val="pt-BR"/>
        </w:rPr>
        <w:t xml:space="preserve">),</w:t>
      </w:r>
      <w:r>
        <w:rPr>
          <w:lang w:val="pt-BR"/>
        </w:rPr>
        <w:t xml:space="preserve"> </w:t>
      </w:r>
      <w:r>
        <w:rPr>
          <w:lang w:val="pt-BR"/>
        </w:rPr>
        <w:t xml:space="preserve">“o homem que come”</w:t>
      </w:r>
      <w:r>
        <w:rPr>
          <w:lang w:val="pt-BR"/>
        </w:rPr>
        <w:t xml:space="preserve">, o antropófago (AMARAL, 1975). Esse dado biográfico é a prova formal da leitura alegórica: a imagem exige a palavra para significar.</w:t>
      </w:r>
    </w:p>
    <w:p>
      <w:pPr>
        <w:pStyle w:val="BodyText"/>
      </w:pPr>
      <w:r>
        <w:rPr>
          <w:lang w:val="pt-BR"/>
        </w:rPr>
        <w:t xml:space="preserve">A dependência da legenda torna o</w:t>
      </w:r>
      <w:r>
        <w:rPr>
          <w:lang w:val="pt-BR"/>
        </w:rPr>
        <w:t xml:space="preserve"> </w:t>
      </w:r>
      <w:r>
        <w:rPr>
          <w:i/>
          <w:iCs/>
          <w:lang w:val="pt-BR"/>
        </w:rPr>
        <w:t xml:space="preserve">Abaporu</w:t>
      </w:r>
      <w:r>
        <w:rPr>
          <w:lang w:val="pt-BR"/>
        </w:rPr>
        <w:t xml:space="preserve"> </w:t>
      </w:r>
      <w:r>
        <w:rPr>
          <w:lang w:val="pt-BR"/>
        </w:rPr>
        <w:t xml:space="preserve">irredutível ao símbolo romântico. Ele não é uma fusão orgânica de forma e conteúdo; é um significante esvaziado que só ganha sentido pelo código verbal externo. E, como toda alegoria, opera por condensação e deslocamento: o corpo desproporcional condensa</w:t>
      </w:r>
      <w:r>
        <w:rPr>
          <w:lang w:val="pt-BR"/>
        </w:rPr>
        <w:t xml:space="preserve"> </w:t>
      </w:r>
      <w:r>
        <w:rPr>
          <w:lang w:val="pt-BR"/>
        </w:rPr>
        <w:t xml:space="preserve">“Brasil”</w:t>
      </w:r>
      <w:r>
        <w:rPr>
          <w:lang w:val="pt-BR"/>
        </w:rPr>
        <w:t xml:space="preserve">,</w:t>
      </w:r>
      <w:r>
        <w:rPr>
          <w:lang w:val="pt-BR"/>
        </w:rPr>
        <w:t xml:space="preserve"> </w:t>
      </w:r>
      <w:r>
        <w:rPr>
          <w:lang w:val="pt-BR"/>
        </w:rPr>
        <w:t xml:space="preserve">“terra”</w:t>
      </w:r>
      <w:r>
        <w:rPr>
          <w:lang w:val="pt-BR"/>
        </w:rPr>
        <w:t xml:space="preserve">,</w:t>
      </w:r>
      <w:r>
        <w:rPr>
          <w:lang w:val="pt-BR"/>
        </w:rPr>
        <w:t xml:space="preserve"> </w:t>
      </w:r>
      <w:r>
        <w:rPr>
          <w:lang w:val="pt-BR"/>
        </w:rPr>
        <w:t xml:space="preserve">“trabalho”</w:t>
      </w:r>
      <w:r>
        <w:rPr>
          <w:lang w:val="pt-BR"/>
        </w:rPr>
        <w:t xml:space="preserve">,</w:t>
      </w:r>
      <w:r>
        <w:rPr>
          <w:lang w:val="pt-BR"/>
        </w:rPr>
        <w:t xml:space="preserve"> </w:t>
      </w:r>
      <w:r>
        <w:rPr>
          <w:lang w:val="pt-BR"/>
        </w:rPr>
        <w:t xml:space="preserve">“primitivo”</w:t>
      </w:r>
      <w:r>
        <w:rPr>
          <w:lang w:val="pt-BR"/>
        </w:rPr>
        <w:t xml:space="preserve">, sem transparência. A fortuna crítica contemporânea lê a inversão hierárquica cabeça/corpo como subversão da valorização ocidental da racionalidade: Gonzalo Aguilar fala de um</w:t>
      </w:r>
      <w:r>
        <w:rPr>
          <w:lang w:val="pt-BR"/>
        </w:rPr>
        <w:t xml:space="preserve"> </w:t>
      </w:r>
      <w:r>
        <w:rPr>
          <w:lang w:val="pt-BR"/>
        </w:rPr>
        <w:t xml:space="preserve">“retrato anti-humano”</w:t>
      </w:r>
      <w:r>
        <w:rPr>
          <w:lang w:val="pt-BR"/>
        </w:rPr>
        <w:t xml:space="preserve"> </w:t>
      </w:r>
      <w:r>
        <w:rPr>
          <w:lang w:val="pt-BR"/>
        </w:rPr>
        <w:t xml:space="preserve">— rosto apagado, corpo animalesco, pés detalhados — enquanto Nádia Battella Gotlib lê as mãos e os pés desproporcionais como o</w:t>
      </w:r>
      <w:r>
        <w:rPr>
          <w:lang w:val="pt-BR"/>
        </w:rPr>
        <w:t xml:space="preserve"> </w:t>
      </w:r>
      <w:r>
        <w:rPr>
          <w:b/>
          <w:bCs/>
          <w:lang w:val="pt-BR"/>
        </w:rPr>
        <w:t xml:space="preserve">trabalho braçal</w:t>
      </w:r>
      <w:r>
        <w:rPr>
          <w:lang w:val="pt-BR"/>
        </w:rPr>
        <w:t xml:space="preserve"> </w:t>
      </w:r>
      <w:r>
        <w:rPr>
          <w:lang w:val="pt-BR"/>
        </w:rPr>
        <w:t xml:space="preserve">da maioria, contra a cabeça pequena do</w:t>
      </w:r>
      <w:r>
        <w:rPr>
          <w:lang w:val="pt-BR"/>
        </w:rPr>
        <w:t xml:space="preserve"> </w:t>
      </w:r>
      <w:r>
        <w:rPr>
          <w:b/>
          <w:bCs/>
          <w:lang w:val="pt-BR"/>
        </w:rPr>
        <w:t xml:space="preserve">trabalho intelectual</w:t>
      </w:r>
      <w:r>
        <w:rPr>
          <w:lang w:val="pt-BR"/>
        </w:rPr>
        <w:t xml:space="preserve"> </w:t>
      </w:r>
      <w:r>
        <w:rPr>
          <w:lang w:val="pt-BR"/>
        </w:rPr>
        <w:t xml:space="preserve">de elite (RUFFINELLI; ROCHA, 2011).</w:t>
      </w:r>
    </w:p>
    <w:bookmarkEnd w:id="52"/>
    <w:bookmarkStart w:id="53" w:name="antropofagia-como-ruptura-dialética"/>
    <w:p>
      <w:pPr>
        <w:pStyle w:val="Heading3"/>
      </w:pPr>
      <w:r>
        <w:rPr>
          <w:rStyle w:val="SectionNumber"/>
          <w:lang w:val="pt-BR"/>
        </w:rPr>
        <w:t xml:space="preserve">3.5.3</w:t>
      </w:r>
      <w:r>
        <w:tab/>
      </w:r>
      <w:r>
        <w:rPr>
          <w:lang w:val="pt-BR"/>
        </w:rPr>
        <w:t xml:space="preserve">2.5.3 — Antropofagia como ruptura dialética</w:t>
      </w:r>
    </w:p>
    <w:p>
      <w:pPr>
        <w:pStyle w:val="FirstParagraph"/>
      </w:pPr>
      <w:r>
        <w:rPr>
          <w:lang w:val="pt-BR"/>
        </w:rPr>
        <w:t xml:space="preserve">O</w:t>
      </w:r>
      <w:r>
        <w:rPr>
          <w:lang w:val="pt-BR"/>
        </w:rPr>
        <w:t xml:space="preserve"> </w:t>
      </w:r>
      <w:r>
        <w:rPr>
          <w:i/>
          <w:iCs/>
          <w:lang w:val="pt-BR"/>
        </w:rPr>
        <w:t xml:space="preserve">Manifesto Antropófago</w:t>
      </w:r>
      <w:r>
        <w:rPr>
          <w:lang w:val="pt-BR"/>
        </w:rPr>
        <w:t xml:space="preserve"> </w:t>
      </w:r>
      <w:r>
        <w:rPr>
          <w:lang w:val="pt-BR"/>
        </w:rPr>
        <w:t xml:space="preserve">(ANDRADE, 1928) propõe a</w:t>
      </w:r>
      <w:r>
        <w:rPr>
          <w:lang w:val="pt-BR"/>
        </w:rPr>
        <w:t xml:space="preserve"> </w:t>
      </w:r>
      <w:r>
        <w:rPr>
          <w:lang w:val="pt-BR"/>
        </w:rPr>
        <w:t xml:space="preserve">“deglutição cultural”</w:t>
      </w:r>
      <w:r>
        <w:rPr>
          <w:lang w:val="pt-BR"/>
        </w:rPr>
        <w:t xml:space="preserve">: não negar a cultura estrangeira, mas não imitá-la — devorá-la e reelaborá-la. O verso icônico, escrito em inglês no próprio manifesto —</w:t>
      </w:r>
      <w:r>
        <w:rPr>
          <w:lang w:val="pt-BR"/>
        </w:rPr>
        <w:t xml:space="preserve"> </w:t>
      </w:r>
      <w:r>
        <w:rPr>
          <w:lang w:val="pt-BR"/>
        </w:rPr>
        <w:t xml:space="preserve">“Tupi or not Tupi: eis a questão”</w:t>
      </w:r>
      <w:r>
        <w:rPr>
          <w:lang w:val="pt-BR"/>
        </w:rPr>
        <w:t xml:space="preserve"> </w:t>
      </w:r>
      <w:r>
        <w:rPr>
          <w:lang w:val="pt-BR"/>
        </w:rPr>
        <w:t xml:space="preserve">— é ele próprio um ato antropofágico: Shakespeare é devorado para afirmar o tupi. A antropofagia inaugura, assim, uma ruptura dupla.</w:t>
      </w:r>
    </w:p>
    <w:p>
      <w:pPr>
        <w:pStyle w:val="BodyText"/>
      </w:pPr>
      <w:r>
        <w:rPr>
          <w:lang w:val="pt-BR"/>
        </w:rPr>
        <w:t xml:space="preserve">A primeira ruptura é</w:t>
      </w:r>
      <w:r>
        <w:rPr>
          <w:lang w:val="pt-BR"/>
        </w:rPr>
        <w:t xml:space="preserve"> </w:t>
      </w:r>
      <w:r>
        <w:rPr>
          <w:b/>
          <w:bCs/>
          <w:lang w:val="pt-BR"/>
        </w:rPr>
        <w:t xml:space="preserve">formal/estética</w:t>
      </w:r>
      <w:r>
        <w:rPr>
          <w:lang w:val="pt-BR"/>
        </w:rPr>
        <w:t xml:space="preserve">: contra o academicismo, a deformação, a cor, o primitivismo, o abandono da perspectiva renascentista. A segunda ruptura é</w:t>
      </w:r>
      <w:r>
        <w:rPr>
          <w:lang w:val="pt-BR"/>
        </w:rPr>
        <w:t xml:space="preserve"> </w:t>
      </w:r>
      <w:r>
        <w:rPr>
          <w:b/>
          <w:bCs/>
          <w:lang w:val="pt-BR"/>
        </w:rPr>
        <w:t xml:space="preserve">epistêmica/política</w:t>
      </w:r>
      <w:r>
        <w:rPr>
          <w:lang w:val="pt-BR"/>
        </w:rPr>
        <w:t xml:space="preserve">: inversão da relação colonial. O</w:t>
      </w:r>
      <w:r>
        <w:rPr>
          <w:lang w:val="pt-BR"/>
        </w:rPr>
        <w:t xml:space="preserve"> </w:t>
      </w:r>
      <w:r>
        <w:rPr>
          <w:lang w:val="pt-BR"/>
        </w:rPr>
        <w:t xml:space="preserve">“selvagem”</w:t>
      </w:r>
      <w:r>
        <w:rPr>
          <w:lang w:val="pt-BR"/>
        </w:rPr>
        <w:t xml:space="preserve"> </w:t>
      </w:r>
      <w:r>
        <w:rPr>
          <w:lang w:val="pt-BR"/>
        </w:rPr>
        <w:t xml:space="preserve">deixa de ser objeto da representação do colonizador e torna-se sujeito que devora o colonizador. Trata-se de uma crítica explícita ao colonialismo cultural e à submissão da elite brasileira.</w:t>
      </w:r>
    </w:p>
    <w:p>
      <w:pPr>
        <w:pStyle w:val="BodyText"/>
      </w:pPr>
      <w:r>
        <w:rPr>
          <w:lang w:val="pt-BR"/>
        </w:rPr>
        <w:t xml:space="preserve">Mas a ruptura é</w:t>
      </w:r>
      <w:r>
        <w:rPr>
          <w:lang w:val="pt-BR"/>
        </w:rPr>
        <w:t xml:space="preserve"> </w:t>
      </w:r>
      <w:r>
        <w:rPr>
          <w:b/>
          <w:bCs/>
          <w:lang w:val="pt-BR"/>
        </w:rPr>
        <w:t xml:space="preserve">dialética, não abstrata</w:t>
      </w:r>
      <w:r>
        <w:rPr>
          <w:lang w:val="pt-BR"/>
        </w:rPr>
        <w:t xml:space="preserve">. Devorar implica</w:t>
      </w:r>
      <w:r>
        <w:rPr>
          <w:lang w:val="pt-BR"/>
        </w:rPr>
        <w:t xml:space="preserve"> </w:t>
      </w:r>
      <w:r>
        <w:rPr>
          <w:i/>
          <w:iCs/>
          <w:lang w:val="pt-BR"/>
        </w:rPr>
        <w:t xml:space="preserve">incorporar</w:t>
      </w:r>
      <w:r>
        <w:rPr>
          <w:lang w:val="pt-BR"/>
        </w:rPr>
        <w:t xml:space="preserve"> </w:t>
      </w:r>
      <w:r>
        <w:rPr>
          <w:lang w:val="pt-BR"/>
        </w:rPr>
        <w:t xml:space="preserve">e</w:t>
      </w:r>
      <w:r>
        <w:rPr>
          <w:lang w:val="pt-BR"/>
        </w:rPr>
        <w:t xml:space="preserve"> </w:t>
      </w:r>
      <w:r>
        <w:rPr>
          <w:i/>
          <w:iCs/>
          <w:lang w:val="pt-BR"/>
        </w:rPr>
        <w:t xml:space="preserve">digerir</w:t>
      </w:r>
      <w:r>
        <w:rPr>
          <w:lang w:val="pt-BR"/>
        </w:rPr>
        <w:t xml:space="preserve">, não abolir. Não é tabula rasa; é metabolização crítica. A metáfora, de resto, não nasce com Oswald: foi Plínio Salgado quem, na</w:t>
      </w:r>
      <w:r>
        <w:rPr>
          <w:lang w:val="pt-BR"/>
        </w:rPr>
        <w:t xml:space="preserve"> </w:t>
      </w:r>
      <w:r>
        <w:rPr>
          <w:lang w:val="pt-BR"/>
        </w:rPr>
        <w:t xml:space="preserve">“Carta antropofágica”</w:t>
      </w:r>
      <w:r>
        <w:rPr>
          <w:lang w:val="pt-BR"/>
        </w:rPr>
        <w:t xml:space="preserve"> </w:t>
      </w:r>
      <w:r>
        <w:rPr>
          <w:lang w:val="pt-BR"/>
        </w:rPr>
        <w:t xml:space="preserve">de 1927, propôs a</w:t>
      </w:r>
      <w:r>
        <w:rPr>
          <w:lang w:val="pt-BR"/>
        </w:rPr>
        <w:t xml:space="preserve"> </w:t>
      </w:r>
      <w:r>
        <w:rPr>
          <w:lang w:val="pt-BR"/>
        </w:rPr>
        <w:t xml:space="preserve">“comilança de tudo o que estiver ridículo diante da nossa bárbara natureza”</w:t>
      </w:r>
      <w:r>
        <w:rPr>
          <w:lang w:val="pt-BR"/>
        </w:rPr>
        <w:t xml:space="preserve">; Oswald apropriou-se dela — o que é, ironicamente, um gesto antropofágico em si. A antropofagia é, portanto, ruptura que continua, negação que incorpora, subversão que digere.</w:t>
      </w:r>
    </w:p>
    <w:bookmarkEnd w:id="53"/>
    <w:bookmarkStart w:id="54" w:name="o-avesso-do-contrato-sexual-visual"/>
    <w:p>
      <w:pPr>
        <w:pStyle w:val="Heading3"/>
      </w:pPr>
      <w:r>
        <w:rPr>
          <w:rStyle w:val="SectionNumber"/>
          <w:lang w:val="pt-BR"/>
        </w:rPr>
        <w:t xml:space="preserve">3.5.4</w:t>
      </w:r>
      <w:r>
        <w:tab/>
      </w:r>
      <w:r>
        <w:rPr>
          <w:lang w:val="pt-BR"/>
        </w:rPr>
        <w:t xml:space="preserve">2.5.4 — O avesso do Contrato Sexual Visual</w:t>
      </w:r>
    </w:p>
    <w:p>
      <w:pPr>
        <w:pStyle w:val="FirstParagraph"/>
      </w:pPr>
      <w:r>
        <w:rPr>
          <w:lang w:val="pt-BR"/>
        </w:rPr>
        <w:t xml:space="preserve">O que o caso</w:t>
      </w:r>
      <w:r>
        <w:rPr>
          <w:lang w:val="pt-BR"/>
        </w:rPr>
        <w:t xml:space="preserve"> </w:t>
      </w:r>
      <w:r>
        <w:rPr>
          <w:i/>
          <w:iCs/>
          <w:lang w:val="pt-BR"/>
        </w:rPr>
        <w:t xml:space="preserve">Abaporu</w:t>
      </w:r>
      <w:r>
        <w:rPr>
          <w:lang w:val="pt-BR"/>
        </w:rPr>
        <w:t xml:space="preserve"> </w:t>
      </w:r>
      <w:r>
        <w:rPr>
          <w:lang w:val="pt-BR"/>
        </w:rPr>
        <w:t xml:space="preserve">/ antropofagia ilumina na arquitetura desta tese não é uma nova alegoria feminina para o corpus. A figura do Abaporu é ambígua em gênero — não é mulher-personificação do poder com atributos codificados. O que ela ilumina é o</w:t>
      </w:r>
      <w:r>
        <w:rPr>
          <w:lang w:val="pt-BR"/>
        </w:rPr>
        <w:t xml:space="preserve"> </w:t>
      </w:r>
      <w:r>
        <w:rPr>
          <w:b/>
          <w:bCs/>
          <w:lang w:val="pt-BR"/>
        </w:rPr>
        <w:t xml:space="preserve">vetor invertido</w:t>
      </w:r>
      <w:r>
        <w:rPr>
          <w:lang w:val="pt-BR"/>
        </w:rPr>
        <w:t xml:space="preserve"> </w:t>
      </w:r>
      <w:r>
        <w:rPr>
          <w:lang w:val="pt-BR"/>
        </w:rPr>
        <w:t xml:space="preserve">da operação alegórica. Onde a alegoria feminina jurídica</w:t>
      </w:r>
      <w:r>
        <w:rPr>
          <w:lang w:val="pt-BR"/>
        </w:rPr>
        <w:t xml:space="preserve"> </w:t>
      </w:r>
      <w:r>
        <w:rPr>
          <w:i/>
          <w:iCs/>
          <w:lang w:val="pt-BR"/>
        </w:rPr>
        <w:t xml:space="preserve">legitima</w:t>
      </w:r>
      <w:r>
        <w:rPr>
          <w:lang w:val="pt-BR"/>
        </w:rPr>
        <w:t xml:space="preserve"> </w:t>
      </w:r>
      <w:r>
        <w:rPr>
          <w:lang w:val="pt-BR"/>
        </w:rPr>
        <w:t xml:space="preserve">o Estado pelo corpo feminino (Contrato Sexual Visual: o reconhecimento simbólico do feminino perpetua a exclusão cívica das mulheres reais), o</w:t>
      </w:r>
      <w:r>
        <w:rPr>
          <w:lang w:val="pt-BR"/>
        </w:rPr>
        <w:t xml:space="preserve"> </w:t>
      </w:r>
      <w:r>
        <w:rPr>
          <w:i/>
          <w:iCs/>
          <w:lang w:val="pt-BR"/>
        </w:rPr>
        <w:t xml:space="preserve">Abaporu</w:t>
      </w:r>
      <w:r>
        <w:rPr>
          <w:lang w:val="pt-BR"/>
        </w:rPr>
        <w:t xml:space="preserve"> </w:t>
      </w:r>
      <w:r>
        <w:rPr>
          <w:i/>
          <w:iCs/>
          <w:lang w:val="pt-BR"/>
        </w:rPr>
        <w:t xml:space="preserve">deslegitima</w:t>
      </w:r>
      <w:r>
        <w:rPr>
          <w:lang w:val="pt-BR"/>
        </w:rPr>
        <w:t xml:space="preserve"> </w:t>
      </w:r>
      <w:r>
        <w:rPr>
          <w:lang w:val="pt-BR"/>
        </w:rPr>
        <w:t xml:space="preserve">pelo corpo que devora.</w:t>
      </w:r>
    </w:p>
    <w:p>
      <w:pPr>
        <w:pStyle w:val="BodyText"/>
      </w:pPr>
      <w:r>
        <w:rPr>
          <w:lang w:val="pt-BR"/>
        </w:rPr>
        <w:t xml:space="preserve">A comparação estrutural é produtiva: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pt-BR"/>
              </w:rPr>
              <w:t xml:space="preserve">Alegoria feminina jurídica</w:t>
            </w:r>
          </w:p>
        </w:tc>
        <w:tc>
          <w:tcPr/>
          <w:p>
            <w:pPr>
              <w:pStyle w:val="Compact"/>
            </w:pPr>
            <w:r>
              <w:rPr>
                <w:i/>
                <w:iCs/>
                <w:lang w:val="pt-BR"/>
              </w:rPr>
              <w:t xml:space="preserve">Abaporu</w:t>
            </w:r>
            <w:r>
              <w:rPr>
                <w:lang w:val="pt-BR"/>
              </w:rPr>
              <w:t xml:space="preserve"> </w:t>
            </w:r>
            <w:r>
              <w:rPr>
                <w:lang w:val="pt-BR"/>
              </w:rPr>
              <w:t xml:space="preserve">/ antropofagia</w:t>
            </w:r>
          </w:p>
        </w:tc>
      </w:tr>
      <w:tr>
        <w:tc>
          <w:tcPr/>
          <w:p>
            <w:pPr>
              <w:pStyle w:val="Compact"/>
            </w:pPr>
            <w:r>
              <w:rPr>
                <w:lang w:val="pt-BR"/>
              </w:rPr>
              <w:t xml:space="preserve">Gênero da figura</w:t>
            </w:r>
          </w:p>
        </w:tc>
        <w:tc>
          <w:tcPr/>
          <w:p>
            <w:pPr>
              <w:pStyle w:val="Compact"/>
            </w:pPr>
            <w:r>
              <w:rPr>
                <w:lang w:val="pt-BR"/>
              </w:rPr>
              <w:t xml:space="preserve">Feminino (personificação do poder)</w:t>
            </w:r>
          </w:p>
        </w:tc>
        <w:tc>
          <w:tcPr/>
          <w:p>
            <w:pPr>
              <w:pStyle w:val="Compact"/>
            </w:pPr>
            <w:r>
              <w:rPr>
                <w:lang w:val="pt-BR"/>
              </w:rPr>
              <w:t xml:space="preserve">Ambíguo/andrógino</w:t>
            </w:r>
          </w:p>
        </w:tc>
      </w:tr>
      <w:tr>
        <w:tc>
          <w:tcPr/>
          <w:p>
            <w:pPr>
              <w:pStyle w:val="Compact"/>
            </w:pPr>
            <w:r>
              <w:rPr>
                <w:lang w:val="pt-BR"/>
              </w:rPr>
              <w:t xml:space="preserve">Relação com a legenda</w:t>
            </w:r>
          </w:p>
        </w:tc>
        <w:tc>
          <w:tcPr/>
          <w:p>
            <w:pPr>
              <w:pStyle w:val="Compact"/>
            </w:pPr>
            <w:r>
              <w:rPr>
                <w:lang w:val="pt-BR"/>
              </w:rPr>
              <w:t xml:space="preserve">Inscrição estatal fixa o sentido (endurecimento)</w:t>
            </w:r>
          </w:p>
        </w:tc>
        <w:tc>
          <w:tcPr/>
          <w:p>
            <w:pPr>
              <w:pStyle w:val="Compact"/>
            </w:pPr>
            <w:r>
              <w:rPr>
                <w:lang w:val="pt-BR"/>
              </w:rPr>
              <w:t xml:space="preserve">Título tupi + manifesto abrem o sentido</w:t>
            </w:r>
          </w:p>
        </w:tc>
      </w:tr>
      <w:tr>
        <w:tc>
          <w:tcPr/>
          <w:p>
            <w:pPr>
              <w:pStyle w:val="Compact"/>
            </w:pPr>
            <w:r>
              <w:rPr>
                <w:lang w:val="pt-BR"/>
              </w:rPr>
              <w:t xml:space="preserve">Vetor político</w:t>
            </w:r>
          </w:p>
        </w:tc>
        <w:tc>
          <w:tcPr/>
          <w:p>
            <w:pPr>
              <w:pStyle w:val="Compact"/>
            </w:pPr>
            <w:r>
              <w:rPr>
                <w:b/>
                <w:bCs/>
                <w:lang w:val="pt-BR"/>
              </w:rPr>
              <w:t xml:space="preserve">Legitimação</w:t>
            </w:r>
          </w:p>
        </w:tc>
        <w:tc>
          <w:tcPr/>
          <w:p>
            <w:pPr>
              <w:pStyle w:val="Compact"/>
            </w:pPr>
            <w:r>
              <w:rPr>
                <w:b/>
                <w:bCs/>
                <w:lang w:val="pt-BR"/>
              </w:rPr>
              <w:t xml:space="preserve">Ruptura / deslegitimação</w:t>
            </w:r>
          </w:p>
        </w:tc>
      </w:tr>
      <w:tr>
        <w:tc>
          <w:tcPr/>
          <w:p>
            <w:pPr>
              <w:pStyle w:val="Compact"/>
            </w:pPr>
            <w:r>
              <w:rPr>
                <w:lang w:val="pt-BR"/>
              </w:rPr>
              <w:t xml:space="preserve">Operação alegórica</w:t>
            </w:r>
          </w:p>
        </w:tc>
        <w:tc>
          <w:tcPr/>
          <w:p>
            <w:pPr>
              <w:pStyle w:val="Compact"/>
            </w:pPr>
            <w:r>
              <w:rPr>
                <w:lang w:val="pt-BR"/>
              </w:rPr>
              <w:t xml:space="preserve">Corpo esvaziado a serviço da abstração normativa</w:t>
            </w:r>
          </w:p>
        </w:tc>
        <w:tc>
          <w:tcPr/>
          <w:p>
            <w:pPr>
              <w:pStyle w:val="Compact"/>
            </w:pPr>
            <w:r>
              <w:rPr>
                <w:lang w:val="pt-BR"/>
              </w:rPr>
              <w:t xml:space="preserve">Corpo telúrico a serviço da devoração da abstração importada</w:t>
            </w:r>
          </w:p>
        </w:tc>
      </w:tr>
    </w:tbl>
    <w:p>
      <w:pPr>
        <w:pStyle w:val="BodyText"/>
      </w:pPr>
      <w:r>
        <w:rPr>
          <w:lang w:val="pt-BR"/>
        </w:rPr>
        <w:t xml:space="preserve">A antropofagia é, nesse sentido, o</w:t>
      </w:r>
      <w:r>
        <w:rPr>
          <w:lang w:val="pt-BR"/>
        </w:rPr>
        <w:t xml:space="preserve"> </w:t>
      </w:r>
      <w:r>
        <w:rPr>
          <w:b/>
          <w:bCs/>
          <w:lang w:val="pt-BR"/>
        </w:rPr>
        <w:t xml:space="preserve">avesso do Contrato Sexual Visual</w:t>
      </w:r>
      <w:r>
        <w:rPr>
          <w:lang w:val="pt-BR"/>
        </w:rPr>
        <w:t xml:space="preserve">. Se o Contrato Sexual Visual fabrica uma Feminilidade de Estado que universaliza e naturaliza o poder, a antropofagia devolve ao corpo a sua historicidade, a sua terra, o seu trabalho, a sua fome — tudo aquilo que a Purificação Clássica tenta extrair. O</w:t>
      </w:r>
      <w:r>
        <w:rPr>
          <w:lang w:val="pt-BR"/>
        </w:rPr>
        <w:t xml:space="preserve"> </w:t>
      </w:r>
      <w:r>
        <w:rPr>
          <w:i/>
          <w:iCs/>
          <w:lang w:val="pt-BR"/>
        </w:rPr>
        <w:t xml:space="preserve">Abaporu</w:t>
      </w:r>
      <w:r>
        <w:rPr>
          <w:lang w:val="pt-BR"/>
        </w:rPr>
        <w:t xml:space="preserve"> </w:t>
      </w:r>
      <w:r>
        <w:rPr>
          <w:lang w:val="pt-BR"/>
        </w:rPr>
        <w:t xml:space="preserve">não personifica a Justiça, a República ou a Liberdade; personifica, antes, a recusa de ser personificado.</w:t>
      </w:r>
    </w:p>
    <w:bookmarkEnd w:id="54"/>
    <w:bookmarkStart w:id="55" w:name="X5ae91596c6170be2601e42ff7af7f0be80be359"/>
    <w:p>
      <w:pPr>
        <w:pStyle w:val="Heading3"/>
      </w:pPr>
      <w:r>
        <w:rPr>
          <w:rStyle w:val="SectionNumber"/>
          <w:lang w:val="pt-BR"/>
        </w:rPr>
        <w:t xml:space="preserve">3.5.5</w:t>
      </w:r>
      <w:r>
        <w:tab/>
      </w:r>
      <w:r>
        <w:rPr>
          <w:lang w:val="pt-BR"/>
        </w:rPr>
        <w:t xml:space="preserve">2.5.5 — Antropofagia como método de leitura crítica</w:t>
      </w:r>
    </w:p>
    <w:p>
      <w:pPr>
        <w:pStyle w:val="FirstParagraph"/>
      </w:pPr>
      <w:r>
        <w:rPr>
          <w:lang w:val="pt-BR"/>
        </w:rPr>
        <w:t xml:space="preserve">A antropofagia oferece, finalmente, um</w:t>
      </w:r>
      <w:r>
        <w:rPr>
          <w:lang w:val="pt-BR"/>
        </w:rPr>
        <w:t xml:space="preserve"> </w:t>
      </w:r>
      <w:r>
        <w:rPr>
          <w:b/>
          <w:bCs/>
          <w:lang w:val="pt-BR"/>
        </w:rPr>
        <w:t xml:space="preserve">programa de leitura crítica</w:t>
      </w:r>
      <w:r>
        <w:rPr>
          <w:lang w:val="pt-BR"/>
        </w:rPr>
        <w:t xml:space="preserve"> </w:t>
      </w:r>
      <w:r>
        <w:rPr>
          <w:lang w:val="pt-BR"/>
        </w:rPr>
        <w:t xml:space="preserve">da iconocracia.</w:t>
      </w:r>
      <w:r>
        <w:rPr>
          <w:lang w:val="pt-BR"/>
        </w:rPr>
        <w:t xml:space="preserve"> </w:t>
      </w:r>
      <w:r>
        <w:rPr>
          <w:lang w:val="pt-BR"/>
        </w:rPr>
        <w:t xml:space="preserve">“Devorar”</w:t>
      </w:r>
      <w:r>
        <w:rPr>
          <w:lang w:val="pt-BR"/>
        </w:rPr>
        <w:t xml:space="preserve"> </w:t>
      </w:r>
      <w:r>
        <w:rPr>
          <w:lang w:val="pt-BR"/>
        </w:rPr>
        <w:t xml:space="preserve">a tradição iconográfica europeia da Justiça — não para imitá-la (academicismo) nem para rejeitá-la (nativismo defensivo), mas para digeri-la e produzir outra coisa — é um gesto homólogo ao método que esta tese propõe para ler o corpus. A releitura contemporânea da antropofagia, sobretudo em Eduardo Viveiros de Castro, reforça essa dimensão: o</w:t>
      </w:r>
      <w:r>
        <w:rPr>
          <w:lang w:val="pt-BR"/>
        </w:rPr>
        <w:t xml:space="preserve"> </w:t>
      </w:r>
      <w:r>
        <w:rPr>
          <w:lang w:val="pt-BR"/>
        </w:rPr>
        <w:t xml:space="preserve">“canibalismo”</w:t>
      </w:r>
      <w:r>
        <w:rPr>
          <w:lang w:val="pt-BR"/>
        </w:rPr>
        <w:t xml:space="preserve"> </w:t>
      </w:r>
      <w:r>
        <w:rPr>
          <w:lang w:val="pt-BR"/>
        </w:rPr>
        <w:t xml:space="preserve">como esquema de alteridade que não reduz o outro a si, mas o transforma pela incorporação (VIVEIROS DE CASTRO, 2015).</w:t>
      </w:r>
    </w:p>
    <w:p>
      <w:pPr>
        <w:pStyle w:val="BodyText"/>
      </w:pPr>
      <w:r>
        <w:rPr>
          <w:lang w:val="pt-BR"/>
        </w:rPr>
        <w:t xml:space="preserve">No vocabulário da tese, a antropofagia é uma operação de</w:t>
      </w:r>
      <w:r>
        <w:rPr>
          <w:lang w:val="pt-BR"/>
        </w:rPr>
        <w:t xml:space="preserve"> </w:t>
      </w:r>
      <w:r>
        <w:rPr>
          <w:b/>
          <w:bCs/>
          <w:lang w:val="pt-BR"/>
        </w:rPr>
        <w:t xml:space="preserve">contra-iconocracia</w:t>
      </w:r>
      <w:r>
        <w:rPr>
          <w:lang w:val="pt-BR"/>
        </w:rPr>
        <w:t xml:space="preserve">: ela não apenas reconhece o regime iconocrático, mas o devora para subvertê-lo. Daí a pertinência de inserir o quarto regime — o Contra-Alegórico — já na Moldura Teórica do Capítulo 2, e não apenas nos capítulos empíricos. O</w:t>
      </w:r>
      <w:r>
        <w:rPr>
          <w:lang w:val="pt-BR"/>
        </w:rPr>
        <w:t xml:space="preserve"> </w:t>
      </w:r>
      <w:r>
        <w:rPr>
          <w:i/>
          <w:iCs/>
          <w:lang w:val="pt-BR"/>
        </w:rPr>
        <w:t xml:space="preserve">Abaporu</w:t>
      </w:r>
      <w:r>
        <w:rPr>
          <w:lang w:val="pt-BR"/>
        </w:rPr>
        <w:t xml:space="preserve"> </w:t>
      </w:r>
      <w:r>
        <w:rPr>
          <w:lang w:val="pt-BR"/>
        </w:rPr>
        <w:t xml:space="preserve">não é um item do corpus, mas um caso-limite que permite teorizar o avesso da Purificação Clássica: um corpo que, em vez de ser purificado pelo Estado, devora o próprio dispositivo de purificação.</w:t>
      </w:r>
    </w:p>
    <w:p>
      <w:pPr>
        <w:pStyle w:val="BodyText"/>
      </w:pPr>
      <w:r>
        <w:rPr>
          <w:lang w:val="pt-BR"/>
        </w:rPr>
        <w:t xml:space="preserve">A coincidência de 1928 —</w:t>
      </w:r>
      <w:r>
        <w:rPr>
          <w:lang w:val="pt-BR"/>
        </w:rPr>
        <w:t xml:space="preserve"> </w:t>
      </w:r>
      <w:r>
        <w:rPr>
          <w:i/>
          <w:iCs/>
          <w:lang w:val="pt-BR"/>
        </w:rPr>
        <w:t xml:space="preserve">Abaporu</w:t>
      </w:r>
      <w:r>
        <w:rPr>
          <w:lang w:val="pt-BR"/>
        </w:rPr>
        <w:t xml:space="preserve"> </w:t>
      </w:r>
      <w:r>
        <w:rPr>
          <w:lang w:val="pt-BR"/>
        </w:rPr>
        <w:t xml:space="preserve">(janeiro),</w:t>
      </w:r>
      <w:r>
        <w:rPr>
          <w:lang w:val="pt-BR"/>
        </w:rPr>
        <w:t xml:space="preserve"> </w:t>
      </w:r>
      <w:r>
        <w:rPr>
          <w:i/>
          <w:iCs/>
          <w:lang w:val="pt-BR"/>
        </w:rPr>
        <w:t xml:space="preserve">Manifesto Antropófago</w:t>
      </w:r>
      <w:r>
        <w:rPr>
          <w:lang w:val="pt-BR"/>
        </w:rPr>
        <w:t xml:space="preserve"> </w:t>
      </w:r>
      <w:r>
        <w:rPr>
          <w:lang w:val="pt-BR"/>
        </w:rPr>
        <w:t xml:space="preserve">(maio) e</w:t>
      </w:r>
      <w:r>
        <w:rPr>
          <w:lang w:val="pt-BR"/>
        </w:rPr>
        <w:t xml:space="preserve"> </w:t>
      </w:r>
      <w:r>
        <w:rPr>
          <w:i/>
          <w:iCs/>
          <w:lang w:val="pt-BR"/>
        </w:rPr>
        <w:t xml:space="preserve">Origem do Drama Barroco Alemão</w:t>
      </w:r>
      <w:r>
        <w:rPr>
          <w:lang w:val="pt-BR"/>
        </w:rPr>
        <w:t xml:space="preserve"> </w:t>
      </w:r>
      <w:r>
        <w:rPr>
          <w:lang w:val="pt-BR"/>
        </w:rPr>
        <w:t xml:space="preserve">(1928) — não é mero acaso de calendário. É o ano em que o modernismo brasileiro produz sua alegoria-ruptura, e o ano em que a teoria da alegoria se rearma contra o símbolo romântico. Ler o</w:t>
      </w:r>
      <w:r>
        <w:rPr>
          <w:lang w:val="pt-BR"/>
        </w:rPr>
        <w:t xml:space="preserve"> </w:t>
      </w:r>
      <w:r>
        <w:rPr>
          <w:i/>
          <w:iCs/>
          <w:lang w:val="pt-BR"/>
        </w:rPr>
        <w:t xml:space="preserve">Abaporu</w:t>
      </w:r>
      <w:r>
        <w:rPr>
          <w:lang w:val="pt-BR"/>
        </w:rPr>
        <w:t xml:space="preserve"> </w:t>
      </w:r>
      <w:r>
        <w:rPr>
          <w:lang w:val="pt-BR"/>
        </w:rPr>
        <w:t xml:space="preserve">pela lente de Benjamin, e vice-versa, permite à tese nomear com precisão o que está em jogo nas contra-alegorias do corpus: não a simples presença de corpos femininos, mas a possibilidade — sempre tensa, sempre incompleta — de que esses corpos escapem da função de legitimar o poder e se voltem contra ele.</w:t>
      </w:r>
    </w:p>
    <w:bookmarkEnd w:id="55"/>
    <w:bookmarkEnd w:id="56"/>
    <w:bookmarkEnd w:id="57"/>
    <w:bookmarkStart w:id="70" w:name="X30c4ff12a8e3f1eb8bd70e44a1f6a6e6e4ecfb6"/>
    <w:p>
      <w:pPr>
        <w:pStyle w:val="Heading1"/>
      </w:pPr>
      <w:r>
        <w:rPr>
          <w:rStyle w:val="SectionNumber"/>
          <w:lang w:val="pt-BR"/>
        </w:rPr>
        <w:t xml:space="preserve">4</w:t>
      </w:r>
      <w:r>
        <w:tab/>
      </w:r>
      <w:r>
        <w:rPr>
          <w:lang w:val="pt-BR"/>
        </w:rPr>
        <w:t xml:space="preserve">Capítulo 3 — A Colonialidade do Ver: Gênero, Raça e Transferência Visual Transatlântica</w:t>
      </w:r>
    </w:p>
    <w:p>
      <w:pPr>
        <w:pStyle w:val="BlockText"/>
      </w:pPr>
      <w:r>
        <w:rPr>
          <w:b/>
          <w:bCs/>
          <w:lang w:val="pt-BR"/>
        </w:rPr>
        <w:t xml:space="preserve">Estado:</w:t>
      </w:r>
      <w:r>
        <w:rPr>
          <w:lang w:val="pt-BR"/>
        </w:rPr>
        <w:t xml:space="preserve"> </w:t>
      </w:r>
      <w:r>
        <w:rPr>
          <w:lang w:val="pt-BR"/>
        </w:rPr>
        <w:t xml:space="preserve">§§3.1, 3.2 e 3.3 consolidados a partir de rascunhos autorais e brainstorm de transição Eixo 1/Eixo 3 (27-jun-2026); §3.4 ainda esqueleto.</w:t>
      </w:r>
      <w:r>
        <w:rPr>
          <w:lang w:val="pt-BR"/>
        </w:rPr>
        <w:t xml:space="preserve"> </w:t>
      </w:r>
      <w:r>
        <w:rPr>
          <w:b/>
          <w:bCs/>
          <w:lang w:val="pt-BR"/>
        </w:rPr>
        <w:t xml:space="preserve">Pendências de citação:</w:t>
      </w:r>
      <w:r>
        <w:rPr>
          <w:lang w:val="pt-BR"/>
        </w:rPr>
        <w:t xml:space="preserve"> </w:t>
      </w:r>
      <w:r>
        <w:rPr>
          <w:lang w:val="pt-BR"/>
        </w:rPr>
        <w:t xml:space="preserve">ver listas ao fim de cada §; Villares, Rops, Roty, Moitte/Janinet, Huygebaert (2018), Schwarcz, Mills (1997). Verificar inauguração do Monument aux Pionniers; confirmar capítulo de Huygebaert sobre iconografia colonial belga.</w:t>
      </w:r>
    </w:p>
    <w:bookmarkStart w:id="58" w:name="Xeaa7101875133fe05e660a78aa17eeefe7c8538"/>
    <w:p>
      <w:pPr>
        <w:pStyle w:val="Heading2"/>
      </w:pPr>
      <w:r>
        <w:rPr>
          <w:rStyle w:val="SectionNumber"/>
          <w:lang w:val="pt-BR"/>
        </w:rPr>
        <w:t xml:space="preserve">4.1</w:t>
      </w:r>
      <w:r>
        <w:tab/>
      </w:r>
      <w:r>
        <w:rPr>
          <w:lang w:val="pt-BR"/>
        </w:rPr>
        <w:t xml:space="preserve">3.1 — Iconografia como tecnologia colonial: Virtudes e Soberania Hídrica</w:t>
      </w:r>
    </w:p>
    <w:p>
      <w:pPr>
        <w:pStyle w:val="FirstParagraph"/>
      </w:pPr>
      <w:r>
        <w:rPr>
          <w:lang w:val="pt-BR"/>
        </w:rPr>
        <w:t xml:space="preserve">A expansão e a legitimação do poder estatal não operam apenas pela fundação de instituições, mas pela ocupação visual do espaço — tanto o espaço cívico interno quanto o território mercantil além-mar. O entrelaçamento entre o Eixo 1 (Profundidade Genealógica e Virtudes) e o Eixo 3 (Soberania Hídrica) da iconografia legal fornece a chave de leitura para essa tecnologia colonial. As alegorias femininas não são meras evocações morais estáticas; elas funcionam como vetores de expansão, convertendo princípios virtuosos em autorizações de dominação territorial e comercial.</w:t>
      </w:r>
    </w:p>
    <w:p>
      <w:pPr>
        <w:pStyle w:val="BodyText"/>
      </w:pPr>
      <w:r>
        <w:rPr>
          <w:lang w:val="pt-BR"/>
        </w:rPr>
        <w:t xml:space="preserve">Historicamente, as Virtudes Cardinais — Justiça, Prudência, Temperança e Fortaleza — forneciam a moldura de legitimidade para os corpos políticos pré-modernos. Na virada para o século XIX, entretanto, a necessidade de projetar soberania sobre oceanos, rios e rotas comerciais (a Soberania Hídrica) exige uma reconfiguração do corpo alegórico. A mulher que ancora moralmente a nação (a Virtude interna) passa a ser a mesma que governa as águas (a Navigation, a Britannia). Há uma migração da virtude doméstica para o privilégio extrativista global.</w:t>
      </w:r>
    </w:p>
    <w:p>
      <w:pPr>
        <w:pStyle w:val="BodyText"/>
      </w:pPr>
      <w:r>
        <w:rPr>
          <w:lang w:val="pt-BR"/>
        </w:rPr>
        <w:t xml:space="preserve">Essa articulação se manifesta nas peças de nosso corpus como um gradiente de purificação e endurecimento. Na metrópole ou no coração jurídico do Estado (como a</w:t>
      </w:r>
      <w:r>
        <w:rPr>
          <w:lang w:val="pt-BR"/>
        </w:rPr>
        <w:t xml:space="preserve"> </w:t>
      </w:r>
      <w:r>
        <w:rPr>
          <w:i/>
          <w:iCs/>
          <w:lang w:val="pt-BR"/>
        </w:rPr>
        <w:t xml:space="preserve">Justiça</w:t>
      </w:r>
      <w:r>
        <w:rPr>
          <w:lang w:val="pt-BR"/>
        </w:rPr>
        <w:t xml:space="preserve"> </w:t>
      </w:r>
      <w:r>
        <w:rPr>
          <w:lang w:val="pt-BR"/>
        </w:rPr>
        <w:t xml:space="preserve">de Ceschiatti, BR-009, ou o</w:t>
      </w:r>
      <w:r>
        <w:rPr>
          <w:lang w:val="pt-BR"/>
        </w:rPr>
        <w:t xml:space="preserve"> </w:t>
      </w:r>
      <w:r>
        <w:rPr>
          <w:i/>
          <w:iCs/>
          <w:lang w:val="pt-BR"/>
        </w:rPr>
        <w:t xml:space="preserve">Brasão da República</w:t>
      </w:r>
      <w:r>
        <w:rPr>
          <w:lang w:val="pt-BR"/>
        </w:rPr>
        <w:t xml:space="preserve">, SCOUT-562), a figura feminina atua como garantia ontológica e normativa da ordem republicana, extraída do corpo histórico local pela</w:t>
      </w:r>
      <w:r>
        <w:rPr>
          <w:lang w:val="pt-BR"/>
        </w:rPr>
        <w:t xml:space="preserve"> </w:t>
      </w:r>
      <w:r>
        <w:rPr>
          <w:i/>
          <w:iCs/>
          <w:lang w:val="pt-BR"/>
        </w:rPr>
        <w:t xml:space="preserve">Purificação Clássica</w:t>
      </w:r>
      <w:r>
        <w:rPr>
          <w:lang w:val="pt-BR"/>
        </w:rPr>
        <w:t xml:space="preserve">. Porém, quando essa mesma estrutura visual é exportada para os mares — seja na forma do</w:t>
      </w:r>
      <w:r>
        <w:rPr>
          <w:lang w:val="pt-BR"/>
        </w:rPr>
        <w:t xml:space="preserve"> </w:t>
      </w:r>
      <w:r>
        <w:rPr>
          <w:i/>
          <w:iCs/>
          <w:lang w:val="pt-BR"/>
        </w:rPr>
        <w:t xml:space="preserve">British Trade Dollar</w:t>
      </w:r>
      <w:r>
        <w:rPr>
          <w:lang w:val="pt-BR"/>
        </w:rPr>
        <w:t xml:space="preserve"> </w:t>
      </w:r>
      <w:r>
        <w:rPr>
          <w:lang w:val="pt-BR"/>
        </w:rPr>
        <w:t xml:space="preserve">(UK-TRADE-1895), circulando no Oriente, ou no selo</w:t>
      </w:r>
      <w:r>
        <w:rPr>
          <w:lang w:val="pt-BR"/>
        </w:rPr>
        <w:t xml:space="preserve"> </w:t>
      </w:r>
      <w:r>
        <w:rPr>
          <w:i/>
          <w:iCs/>
          <w:lang w:val="pt-BR"/>
        </w:rPr>
        <w:t xml:space="preserve">Navigation et Commerce</w:t>
      </w:r>
      <w:r>
        <w:rPr>
          <w:lang w:val="pt-BR"/>
        </w:rPr>
        <w:t xml:space="preserve"> </w:t>
      </w:r>
      <w:r>
        <w:rPr>
          <w:lang w:val="pt-BR"/>
        </w:rPr>
        <w:t xml:space="preserve">(FR-094) espalhado pelas colônias francesas —, a alegoria assume a dupla função de afirmar a superioridade racial-moral (branquitude/Virtude) e assegurar a posse das rotas hídricas (Soberania Hídrica). A mulher virtuosa, marmórea e europeia, converte-se no aval visual da extração colonial sobre a fluidez dos mares, amarrando o direito de navegar ao dever de civilizar.</w:t>
      </w:r>
    </w:p>
    <w:bookmarkEnd w:id="58"/>
    <w:bookmarkStart w:id="63" w:name="X817b0d1ce2d2c5f2728af9dd5692a9d295a6bb1"/>
    <w:p>
      <w:pPr>
        <w:pStyle w:val="Heading2"/>
      </w:pPr>
      <w:r>
        <w:rPr>
          <w:rStyle w:val="SectionNumber"/>
          <w:lang w:val="pt-BR"/>
        </w:rPr>
        <w:t xml:space="preserve">4.2</w:t>
      </w:r>
      <w:r>
        <w:tab/>
      </w:r>
      <w:r>
        <w:rPr>
          <w:lang w:val="pt-BR"/>
        </w:rPr>
        <w:t xml:space="preserve">3.2 — O contrato racial visual: branquitude e classicismo nas alegorias brasileiras</w:t>
      </w:r>
    </w:p>
    <w:p>
      <w:pPr>
        <w:pStyle w:val="BlockText"/>
      </w:pPr>
      <w:r>
        <w:rPr>
          <w:b/>
          <w:bCs/>
          <w:lang w:val="pt-BR"/>
        </w:rPr>
        <w:t xml:space="preserve">Nota metodológica:</w:t>
      </w:r>
      <w:r>
        <w:rPr>
          <w:lang w:val="pt-BR"/>
        </w:rPr>
        <w:t xml:space="preserve"> </w:t>
      </w:r>
      <w:r>
        <w:rPr>
          <w:lang w:val="pt-BR"/>
        </w:rPr>
        <w:t xml:space="preserve">Este § nasce do conceito original de</w:t>
      </w:r>
      <w:r>
        <w:rPr>
          <w:lang w:val="pt-BR"/>
        </w:rPr>
        <w:t xml:space="preserve"> </w:t>
      </w:r>
      <w:r>
        <w:rPr>
          <w:i/>
          <w:iCs/>
          <w:lang w:val="pt-BR"/>
        </w:rPr>
        <w:t xml:space="preserve">Contrato Racial Visual</w:t>
      </w:r>
      <w:r>
        <w:rPr>
          <w:lang w:val="pt-BR"/>
        </w:rPr>
        <w:t xml:space="preserve"> </w:t>
      </w:r>
      <w:r>
        <w:rPr>
          <w:lang w:val="pt-BR"/>
        </w:rPr>
        <w:t xml:space="preserve">(Vanzin 2026), operacionalizado como o terceiro pilar do argumento central da tese, ao lado do Contrato Sexual Visual e da Feminilidade de Estado. Trata-se de argumento jurídico-visual, não de análise antropológica ou sociológica da raça. O corpus aqui mobilizado é instrumental: três objetos do acervo brasileiro e dois franceses como comparanda.</w:t>
      </w:r>
    </w:p>
    <w:p>
      <w:pPr>
        <w:pStyle w:val="FirstParagraph"/>
      </w:pPr>
      <w:r>
        <w:rPr>
          <w:lang w:val="pt-BR"/>
        </w:rPr>
        <w:t xml:space="preserve">O corpo alegórico que emerge da Proclamação da República carrega uma operação racializada. Quando Décio Villares pinta, em 1889, a</w:t>
      </w:r>
      <w:r>
        <w:rPr>
          <w:lang w:val="pt-BR"/>
        </w:rPr>
        <w:t xml:space="preserve"> </w:t>
      </w:r>
      <w:r>
        <w:rPr>
          <w:i/>
          <w:iCs/>
          <w:lang w:val="pt-BR"/>
        </w:rPr>
        <w:t xml:space="preserve">Alegoria da República</w:t>
      </w:r>
      <w:r>
        <w:rPr>
          <w:lang w:val="pt-BR"/>
        </w:rPr>
        <w:t xml:space="preserve"> </w:t>
      </w:r>
      <w:r>
        <w:rPr>
          <w:lang w:val="pt-BR"/>
        </w:rPr>
        <w:t xml:space="preserve">para o pavilhão brasileiro na Exposição Universal de Paris, ele realiza uma operação de</w:t>
      </w:r>
      <w:r>
        <w:rPr>
          <w:lang w:val="pt-BR"/>
        </w:rPr>
        <w:t xml:space="preserve"> </w:t>
      </w:r>
      <w:r>
        <w:rPr>
          <w:i/>
          <w:iCs/>
          <w:lang w:val="pt-BR"/>
        </w:rPr>
        <w:t xml:space="preserve">Purificação Clássica</w:t>
      </w:r>
      <w:r>
        <w:rPr>
          <w:lang w:val="pt-BR"/>
        </w:rPr>
        <w:t xml:space="preserve"> </w:t>
      </w:r>
      <w:r>
        <w:rPr>
          <w:lang w:val="pt-BR"/>
        </w:rPr>
        <w:t xml:space="preserve">racializada: o corpo que ele coloca sobre a tela é branco, marmóreo, neoclássico — um corpo que inexiste no Brasil do século XIX, exceto como projeto estético-político. O corpo da República, enquanto dispositivo jurídico-visual, exige a branquitude como condição de sua própria operabilidade. O preconceito contingente ou a</w:t>
      </w:r>
      <w:r>
        <w:rPr>
          <w:lang w:val="pt-BR"/>
        </w:rPr>
        <w:t xml:space="preserve"> </w:t>
      </w:r>
      <w:r>
        <w:rPr>
          <w:lang w:val="pt-BR"/>
        </w:rPr>
        <w:t xml:space="preserve">“preferência estética”</w:t>
      </w:r>
      <w:r>
        <w:rPr>
          <w:lang w:val="pt-BR"/>
        </w:rPr>
        <w:t xml:space="preserve"> </w:t>
      </w:r>
      <w:r>
        <w:rPr>
          <w:lang w:val="pt-BR"/>
        </w:rPr>
        <w:t xml:space="preserve">dos artistas da época estão em outro registro. Aqui, a alegoria funciona como tecnologia de legitimação estatal na medida em que seu corpo se apresenta como universal; a universalidade, no vocabulário visual do neoclassicismo oitocentista, é branca.</w:t>
      </w:r>
    </w:p>
    <w:p>
      <w:pPr>
        <w:pStyle w:val="BodyText"/>
      </w:pPr>
      <w:r>
        <w:rPr>
          <w:lang w:val="pt-BR"/>
        </w:rPr>
        <w:t xml:space="preserve">Este § sustenta três proposições.</w:t>
      </w:r>
      <w:r>
        <w:rPr>
          <w:lang w:val="pt-BR"/>
        </w:rPr>
        <w:t xml:space="preserve"> </w:t>
      </w:r>
      <w:r>
        <w:rPr>
          <w:b/>
          <w:bCs/>
          <w:lang w:val="pt-BR"/>
        </w:rPr>
        <w:t xml:space="preserve">Primeira:</w:t>
      </w:r>
      <w:r>
        <w:rPr>
          <w:lang w:val="pt-BR"/>
        </w:rPr>
        <w:t xml:space="preserve"> </w:t>
      </w:r>
      <w:r>
        <w:rPr>
          <w:lang w:val="pt-BR"/>
        </w:rPr>
        <w:t xml:space="preserve">a branquitude da alegoria republicana é estrutura, não acidente.</w:t>
      </w:r>
      <w:r>
        <w:rPr>
          <w:lang w:val="pt-BR"/>
        </w:rPr>
        <w:t xml:space="preserve"> </w:t>
      </w:r>
      <w:r>
        <w:rPr>
          <w:b/>
          <w:bCs/>
          <w:lang w:val="pt-BR"/>
        </w:rPr>
        <w:t xml:space="preserve">Segunda:</w:t>
      </w:r>
      <w:r>
        <w:rPr>
          <w:lang w:val="pt-BR"/>
        </w:rPr>
        <w:t xml:space="preserve"> </w:t>
      </w:r>
      <w:r>
        <w:rPr>
          <w:lang w:val="pt-BR"/>
        </w:rPr>
        <w:t xml:space="preserve">essa estrutura opera mediante uma</w:t>
      </w:r>
      <w:r>
        <w:rPr>
          <w:lang w:val="pt-BR"/>
        </w:rPr>
        <w:t xml:space="preserve"> </w:t>
      </w:r>
      <w:r>
        <w:rPr>
          <w:i/>
          <w:iCs/>
          <w:lang w:val="pt-BR"/>
        </w:rPr>
        <w:t xml:space="preserve">transferência visual transatlântica</w:t>
      </w:r>
      <w:r>
        <w:rPr>
          <w:lang w:val="pt-BR"/>
        </w:rPr>
        <w:t xml:space="preserve"> </w:t>
      </w:r>
      <w:r>
        <w:rPr>
          <w:lang w:val="pt-BR"/>
        </w:rPr>
        <w:t xml:space="preserve">que transporta formas (Pathosformeln, no léxico warburguiano) e também uma</w:t>
      </w:r>
      <w:r>
        <w:rPr>
          <w:lang w:val="pt-BR"/>
        </w:rPr>
        <w:t xml:space="preserve"> </w:t>
      </w:r>
      <w:r>
        <w:rPr>
          <w:i/>
          <w:iCs/>
          <w:lang w:val="pt-BR"/>
        </w:rPr>
        <w:t xml:space="preserve">morfologia racializada</w:t>
      </w:r>
      <w:r>
        <w:rPr>
          <w:lang w:val="pt-BR"/>
        </w:rPr>
        <w:t xml:space="preserve"> </w:t>
      </w:r>
      <w:r>
        <w:rPr>
          <w:lang w:val="pt-BR"/>
        </w:rPr>
        <w:t xml:space="preserve">do corpo feminino.</w:t>
      </w:r>
      <w:r>
        <w:rPr>
          <w:lang w:val="pt-BR"/>
        </w:rPr>
        <w:t xml:space="preserve"> </w:t>
      </w:r>
      <w:r>
        <w:rPr>
          <w:b/>
          <w:bCs/>
          <w:lang w:val="pt-BR"/>
        </w:rPr>
        <w:t xml:space="preserve">Terceira:</w:t>
      </w:r>
      <w:r>
        <w:rPr>
          <w:lang w:val="pt-BR"/>
        </w:rPr>
        <w:t xml:space="preserve"> </w:t>
      </w:r>
      <w:r>
        <w:rPr>
          <w:lang w:val="pt-BR"/>
        </w:rPr>
        <w:t xml:space="preserve">a operação de endurecimento que transforma a República de alegoria fundacional em ícone normativo é, simultaneamente, uma operação de</w:t>
      </w:r>
      <w:r>
        <w:rPr>
          <w:lang w:val="pt-BR"/>
        </w:rPr>
        <w:t xml:space="preserve"> </w:t>
      </w:r>
      <w:r>
        <w:rPr>
          <w:i/>
          <w:iCs/>
          <w:lang w:val="pt-BR"/>
        </w:rPr>
        <w:t xml:space="preserve">branqueamento progressivo</w:t>
      </w:r>
      <w:r>
        <w:rPr>
          <w:lang w:val="pt-BR"/>
        </w:rPr>
        <w:t xml:space="preserve"> </w:t>
      </w:r>
      <w:r>
        <w:rPr>
          <w:lang w:val="pt-BR"/>
        </w:rPr>
        <w:t xml:space="preserve">— a eliminação das marcas de cor, de textura, de particularidade étnica que comprometeriam a pretensão de universalidade jurídica.</w:t>
      </w:r>
    </w:p>
    <w:bookmarkStart w:id="59" w:name="Xf80dd221e27475b487b42766980eebaec8ede8a"/>
    <w:p>
      <w:pPr>
        <w:pStyle w:val="Heading3"/>
      </w:pPr>
      <w:r>
        <w:rPr>
          <w:rStyle w:val="SectionNumber"/>
          <w:lang w:val="pt-BR"/>
        </w:rPr>
        <w:t xml:space="preserve">4.2.1</w:t>
      </w:r>
      <w:r>
        <w:tab/>
      </w:r>
      <w:r>
        <w:rPr>
          <w:lang w:val="pt-BR"/>
        </w:rPr>
        <w:t xml:space="preserve">3.2.1 — O corpo de Villares e a impossibilidade do corpo brasileiro</w:t>
      </w:r>
    </w:p>
    <w:p>
      <w:pPr>
        <w:pStyle w:val="FirstParagraph"/>
      </w:pPr>
      <w:r>
        <w:rPr>
          <w:lang w:val="pt-BR"/>
        </w:rPr>
        <w:t xml:space="preserve">A tela de Villares (Museu Nacional de Belas Artes, Rio de Janeiro) mostra uma mulher de pé, vestida com túnica branca coroada de louros, segurando um livro e uma bandeira. O corpo é inteiramente coberto — apenas rosto, mãos e pés ficam visíveis. Essa cobertura</w:t>
      </w:r>
      <w:r>
        <w:rPr>
          <w:lang w:val="pt-BR"/>
        </w:rPr>
        <w:t xml:space="preserve"> </w:t>
      </w:r>
      <w:r>
        <w:rPr>
          <w:i/>
          <w:iCs/>
          <w:lang w:val="pt-BR"/>
        </w:rPr>
        <w:t xml:space="preserve">esconde</w:t>
      </w:r>
      <w:r>
        <w:rPr>
          <w:lang w:val="pt-BR"/>
        </w:rPr>
        <w:t xml:space="preserve"> </w:t>
      </w:r>
      <w:r>
        <w:rPr>
          <w:lang w:val="pt-BR"/>
        </w:rPr>
        <w:t xml:space="preserve">para</w:t>
      </w:r>
      <w:r>
        <w:rPr>
          <w:lang w:val="pt-BR"/>
        </w:rPr>
        <w:t xml:space="preserve"> </w:t>
      </w:r>
      <w:r>
        <w:rPr>
          <w:i/>
          <w:iCs/>
          <w:lang w:val="pt-BR"/>
        </w:rPr>
        <w:t xml:space="preserve">revelar</w:t>
      </w:r>
      <w:r>
        <w:rPr>
          <w:lang w:val="pt-BR"/>
        </w:rPr>
        <w:t xml:space="preserve">: o que se revela é uma forma geométrica, uma arquitetura de corpo que remete ao cânone clássico — ombros simétricos, cintura alta, quadril estreito, cabeça em proporção áurea. É o corpo de uma romana idealizada, transplantado para o trópico.</w:t>
      </w:r>
    </w:p>
    <w:p>
      <w:pPr>
        <w:pStyle w:val="BodyText"/>
      </w:pPr>
      <w:r>
        <w:rPr>
          <w:lang w:val="pt-BR"/>
        </w:rPr>
        <w:t xml:space="preserve">O Brasil de 1889 era um império recém-abolido, com população majoritariamente negra e mestiça, recém-saído de um sistema escravista que havia produzido, ao longo de três séculos, uma cultura visual onde o corpo negro era — simultaneamente — objeto de dominação e de desejo, de medo e de fetichização. O corpo que Villares pinta</w:t>
      </w:r>
      <w:r>
        <w:rPr>
          <w:lang w:val="pt-BR"/>
        </w:rPr>
        <w:t xml:space="preserve"> </w:t>
      </w:r>
      <w:r>
        <w:rPr>
          <w:i/>
          <w:iCs/>
          <w:lang w:val="pt-BR"/>
        </w:rPr>
        <w:t xml:space="preserve">nega</w:t>
      </w:r>
      <w:r>
        <w:rPr>
          <w:lang w:val="pt-BR"/>
        </w:rPr>
        <w:t xml:space="preserve"> </w:t>
      </w:r>
      <w:r>
        <w:rPr>
          <w:lang w:val="pt-BR"/>
        </w:rPr>
        <w:t xml:space="preserve">essa realidade. A alegoria republicana funciona como promessa de futuro na medida em que se desliga do corpo histórico do Brasil. Essa desligação passa pela branquitude.</w:t>
      </w:r>
    </w:p>
    <w:p>
      <w:pPr>
        <w:pStyle w:val="BodyText"/>
      </w:pPr>
      <w:r>
        <w:rPr>
          <w:lang w:val="pt-BR"/>
        </w:rPr>
        <w:t xml:space="preserve">A comparação com o</w:t>
      </w:r>
      <w:r>
        <w:rPr>
          <w:lang w:val="pt-BR"/>
        </w:rPr>
        <w:t xml:space="preserve"> </w:t>
      </w:r>
      <w:r>
        <w:rPr>
          <w:i/>
          <w:iCs/>
          <w:lang w:val="pt-BR"/>
        </w:rPr>
        <w:t xml:space="preserve">La République aimable</w:t>
      </w:r>
      <w:r>
        <w:rPr>
          <w:lang w:val="pt-BR"/>
        </w:rPr>
        <w:t xml:space="preserve"> </w:t>
      </w:r>
      <w:r>
        <w:rPr>
          <w:lang w:val="pt-BR"/>
        </w:rPr>
        <w:t xml:space="preserve">de Félicien Rops (1871, Gallica) é instrutiva. Rops, trabalhando na França pós-Comuna, produz uma figura de</w:t>
      </w:r>
      <w:r>
        <w:rPr>
          <w:lang w:val="pt-BR"/>
        </w:rPr>
        <w:t xml:space="preserve"> </w:t>
      </w:r>
      <w:r>
        <w:rPr>
          <w:i/>
          <w:iCs/>
          <w:lang w:val="pt-BR"/>
        </w:rPr>
        <w:t xml:space="preserve">menos</w:t>
      </w:r>
      <w:r>
        <w:rPr>
          <w:lang w:val="pt-BR"/>
        </w:rPr>
        <w:t xml:space="preserve"> </w:t>
      </w:r>
      <w:r>
        <w:rPr>
          <w:lang w:val="pt-BR"/>
        </w:rPr>
        <w:t xml:space="preserve">purificação clássica: o corpo é mais curvilíneo, a pose menos rígida, a expressão menos marmórea. Há, na République de Rops, uma proximidade com o corpo vivo que Villares elimina. Isso indica um problema de desenho comparativo (ver review crítica), mas a intuição do contraste é produtiva: no Brasil, a urgência de produzir uma imagem de Estado para uma nação sem tradição republicana visível exige uma radicalização do apagamento. Alegoria e branquitude tornam-se inseparáveis porque a universalidade da alegoria depende de um corpo que já seja visualmente universal.</w:t>
      </w:r>
    </w:p>
    <w:bookmarkEnd w:id="59"/>
    <w:bookmarkStart w:id="60" w:name="X294ccb2102f955230a082a5e516a7d9d1fcffa4"/>
    <w:p>
      <w:pPr>
        <w:pStyle w:val="Heading3"/>
      </w:pPr>
      <w:r>
        <w:rPr>
          <w:rStyle w:val="SectionNumber"/>
          <w:lang w:val="pt-BR"/>
        </w:rPr>
        <w:t xml:space="preserve">4.2.2</w:t>
      </w:r>
      <w:r>
        <w:tab/>
      </w:r>
      <w:r>
        <w:rPr>
          <w:lang w:val="pt-BR"/>
        </w:rPr>
        <w:t xml:space="preserve">3.2.2 — Neoclassicismo como tecnologia de branqueamento</w:t>
      </w:r>
    </w:p>
    <w:p>
      <w:pPr>
        <w:pStyle w:val="FirstParagraph"/>
      </w:pPr>
      <w:r>
        <w:rPr>
          <w:lang w:val="pt-BR"/>
        </w:rPr>
        <w:t xml:space="preserve">O neoclassicismo funciona aqui como</w:t>
      </w:r>
      <w:r>
        <w:rPr>
          <w:lang w:val="pt-BR"/>
        </w:rPr>
        <w:t xml:space="preserve"> </w:t>
      </w:r>
      <w:r>
        <w:rPr>
          <w:i/>
          <w:iCs/>
          <w:lang w:val="pt-BR"/>
        </w:rPr>
        <w:t xml:space="preserve">tecnologia de governo visual</w:t>
      </w:r>
      <w:r>
        <w:rPr>
          <w:lang w:val="pt-BR"/>
        </w:rPr>
        <w:t xml:space="preserve">. Quando Legendre fala do imaginário do poder, ele se refere à capacidade do discurso jurídico de produzir figurações que tornam o Estado presente no imaginário social. Legendre, porém, não olha para a cor. O que o Contrato Racial Visual acrescenta é a constatação de que, nas figurações visuais do poder jurídico, a cor do corpo é</w:t>
      </w:r>
      <w:r>
        <w:rPr>
          <w:lang w:val="pt-BR"/>
        </w:rPr>
        <w:t xml:space="preserve"> </w:t>
      </w:r>
      <w:r>
        <w:rPr>
          <w:i/>
          <w:iCs/>
          <w:lang w:val="pt-BR"/>
        </w:rPr>
        <w:t xml:space="preserve">operação</w:t>
      </w:r>
      <w:r>
        <w:rPr>
          <w:lang w:val="pt-BR"/>
        </w:rPr>
        <w:t xml:space="preserve">. Especificamente, é uma operação de extração: o cânone neoclássico extrai do corpo feminino toda particularidade étnica, toda marca de origem, toda textura que o reenviaria a um lugar ou a um tempo particulares. O que sobra é a</w:t>
      </w:r>
      <w:r>
        <w:rPr>
          <w:lang w:val="pt-BR"/>
        </w:rPr>
        <w:t xml:space="preserve"> </w:t>
      </w:r>
      <w:r>
        <w:rPr>
          <w:i/>
          <w:iCs/>
          <w:lang w:val="pt-BR"/>
        </w:rPr>
        <w:t xml:space="preserve">forma pura</w:t>
      </w:r>
      <w:r>
        <w:rPr>
          <w:lang w:val="pt-BR"/>
        </w:rPr>
        <w:t xml:space="preserve"> </w:t>
      </w:r>
      <w:r>
        <w:rPr>
          <w:lang w:val="pt-BR"/>
        </w:rPr>
        <w:t xml:space="preserve">— e, no vocabulário do século XIX, a forma pura é branca.</w:t>
      </w:r>
    </w:p>
    <w:p>
      <w:pPr>
        <w:pStyle w:val="BodyText"/>
      </w:pPr>
      <w:r>
        <w:rPr>
          <w:lang w:val="pt-BR"/>
        </w:rPr>
        <w:t xml:space="preserve">Mondzain (2002), ao analisar o imaginário cristão do poder, mostra como a imagem opera como mediação entre o visível e o invisível, entre o terreno e o celestial. A alegoria republicana opera segundo a mesma lógica: ela media o Estado (invisível) e o povo (visível). A mediação exige uma</w:t>
      </w:r>
      <w:r>
        <w:rPr>
          <w:lang w:val="pt-BR"/>
        </w:rPr>
        <w:t xml:space="preserve"> </w:t>
      </w:r>
      <w:r>
        <w:rPr>
          <w:i/>
          <w:iCs/>
          <w:lang w:val="pt-BR"/>
        </w:rPr>
        <w:t xml:space="preserve">cor intermediária</w:t>
      </w:r>
      <w:r>
        <w:rPr>
          <w:lang w:val="pt-BR"/>
        </w:rPr>
        <w:t xml:space="preserve"> </w:t>
      </w:r>
      <w:r>
        <w:rPr>
          <w:lang w:val="pt-BR"/>
        </w:rPr>
        <w:t xml:space="preserve">— uma cor que possa</w:t>
      </w:r>
      <w:r>
        <w:rPr>
          <w:lang w:val="pt-BR"/>
        </w:rPr>
        <w:t xml:space="preserve"> </w:t>
      </w:r>
      <w:r>
        <w:rPr>
          <w:i/>
          <w:iCs/>
          <w:lang w:val="pt-BR"/>
        </w:rPr>
        <w:t xml:space="preserve">representar</w:t>
      </w:r>
      <w:r>
        <w:rPr>
          <w:lang w:val="pt-BR"/>
        </w:rPr>
        <w:t xml:space="preserve"> </w:t>
      </w:r>
      <w:r>
        <w:rPr>
          <w:lang w:val="pt-BR"/>
        </w:rPr>
        <w:t xml:space="preserve">o povo sem</w:t>
      </w:r>
      <w:r>
        <w:rPr>
          <w:lang w:val="pt-BR"/>
        </w:rPr>
        <w:t xml:space="preserve"> </w:t>
      </w:r>
      <w:r>
        <w:rPr>
          <w:i/>
          <w:iCs/>
          <w:lang w:val="pt-BR"/>
        </w:rPr>
        <w:t xml:space="preserve">ser</w:t>
      </w:r>
      <w:r>
        <w:rPr>
          <w:lang w:val="pt-BR"/>
        </w:rPr>
        <w:t xml:space="preserve"> </w:t>
      </w:r>
      <w:r>
        <w:rPr>
          <w:lang w:val="pt-BR"/>
        </w:rPr>
        <w:t xml:space="preserve">o povo. No caso brasileiro, essa cor intermediária é o branco do mármore, do gesso, da tela. O neoclassicismo resolve, em uma só operação formal, o problema de representação: como representar uma população heterogênea mediante uma figura que seja nenhuma delas, mas que possa pretender ser todas.</w:t>
      </w:r>
    </w:p>
    <w:p>
      <w:pPr>
        <w:pStyle w:val="BodyText"/>
      </w:pPr>
      <w:r>
        <w:rPr>
          <w:lang w:val="pt-BR"/>
        </w:rPr>
        <w:t xml:space="preserve">Os indicadores de endurecimento do corpus confirmam o diagnóstico. A</w:t>
      </w:r>
      <w:r>
        <w:rPr>
          <w:lang w:val="pt-BR"/>
        </w:rPr>
        <w:t xml:space="preserve"> </w:t>
      </w:r>
      <w:r>
        <w:rPr>
          <w:i/>
          <w:iCs/>
          <w:lang w:val="pt-BR"/>
        </w:rPr>
        <w:t xml:space="preserve">Alegoria da República</w:t>
      </w:r>
      <w:r>
        <w:rPr>
          <w:lang w:val="pt-BR"/>
        </w:rPr>
        <w:t xml:space="preserve"> </w:t>
      </w:r>
      <w:r>
        <w:rPr>
          <w:lang w:val="pt-BR"/>
        </w:rPr>
        <w:t xml:space="preserve">de Villares (BR-005 [VERIFICAR: o registro atual do corpus aponta para este item composto 1,0, com indicadores desincorporação 1, rigidez 1, uniformização 1, monocromatização 0, inscrição estatal 2, e data</w:t>
      </w:r>
      <w:r>
        <w:rPr>
          <w:lang w:val="pt-BR"/>
        </w:rPr>
        <w:t xml:space="preserve"> </w:t>
      </w:r>
      <w:r>
        <w:rPr>
          <w:lang w:val="pt-BR"/>
        </w:rPr>
        <w:t xml:space="preserve">“c. 1900”</w:t>
      </w:r>
      <w:r>
        <w:rPr>
          <w:lang w:val="pt-BR"/>
        </w:rPr>
        <w:t xml:space="preserve"> </w:t>
      </w:r>
      <w:r>
        <w:rPr>
          <w:lang w:val="pt-BR"/>
        </w:rPr>
        <w:t xml:space="preserve">— o perfil abaixo diverge integralmente do ledger; recodificação do item ou revisão da ficha são pendentes]) apresenta:</w:t>
      </w:r>
    </w:p>
    <w:p>
      <w:pPr>
        <w:pStyle w:val="Compact"/>
        <w:numPr>
          <w:ilvl w:val="0"/>
          <w:numId w:val="1001"/>
        </w:numPr>
      </w:pPr>
      <w:r>
        <w:rPr>
          <w:b/>
          <w:bCs/>
          <w:lang w:val="pt-BR"/>
        </w:rPr>
        <w:t xml:space="preserve">Desincorporação 3/3</w:t>
      </w:r>
      <w:r>
        <w:rPr>
          <w:lang w:val="pt-BR"/>
        </w:rPr>
        <w:t xml:space="preserve">: o corpo é inteiramente substituído por vestimenta arquitetônica</w:t>
      </w:r>
    </w:p>
    <w:p>
      <w:pPr>
        <w:pStyle w:val="Compact"/>
        <w:numPr>
          <w:ilvl w:val="0"/>
          <w:numId w:val="1001"/>
        </w:numPr>
      </w:pPr>
      <w:r>
        <w:rPr>
          <w:b/>
          <w:bCs/>
          <w:lang w:val="pt-BR"/>
        </w:rPr>
        <w:t xml:space="preserve">Rigidez postural 3/3</w:t>
      </w:r>
      <w:r>
        <w:rPr>
          <w:lang w:val="pt-BR"/>
        </w:rPr>
        <w:t xml:space="preserve">: a pose é frontal, estática, hierática</w:t>
      </w:r>
    </w:p>
    <w:p>
      <w:pPr>
        <w:pStyle w:val="Compact"/>
        <w:numPr>
          <w:ilvl w:val="0"/>
          <w:numId w:val="1001"/>
        </w:numPr>
      </w:pPr>
      <w:r>
        <w:rPr>
          <w:b/>
          <w:bCs/>
          <w:lang w:val="pt-BR"/>
        </w:rPr>
        <w:t xml:space="preserve">Uniformização facial 3/3</w:t>
      </w:r>
      <w:r>
        <w:rPr>
          <w:lang w:val="pt-BR"/>
        </w:rPr>
        <w:t xml:space="preserve">: os traços são genéricos, não identificáveis com nenhum rosto particular</w:t>
      </w:r>
    </w:p>
    <w:p>
      <w:pPr>
        <w:pStyle w:val="Compact"/>
        <w:numPr>
          <w:ilvl w:val="0"/>
          <w:numId w:val="1001"/>
        </w:numPr>
      </w:pPr>
      <w:r>
        <w:rPr>
          <w:b/>
          <w:bCs/>
          <w:lang w:val="pt-BR"/>
        </w:rPr>
        <w:t xml:space="preserve">Monocromatização 3/3</w:t>
      </w:r>
      <w:r>
        <w:rPr>
          <w:lang w:val="pt-BR"/>
        </w:rPr>
        <w:t xml:space="preserve">: a paleta é reduzida a branco, dourado, azul — a cromia da</w:t>
      </w:r>
      <w:r>
        <w:rPr>
          <w:lang w:val="pt-BR"/>
        </w:rPr>
        <w:t xml:space="preserve"> </w:t>
      </w:r>
      <w:r>
        <w:rPr>
          <w:lang w:val="pt-BR"/>
        </w:rPr>
        <w:t xml:space="preserve">“universalidade”</w:t>
      </w:r>
    </w:p>
    <w:p>
      <w:pPr>
        <w:pStyle w:val="Compact"/>
        <w:numPr>
          <w:ilvl w:val="0"/>
          <w:numId w:val="1001"/>
        </w:numPr>
      </w:pPr>
      <w:r>
        <w:rPr>
          <w:b/>
          <w:bCs/>
          <w:lang w:val="pt-BR"/>
        </w:rPr>
        <w:t xml:space="preserve">Inscrição estatal 0/3</w:t>
      </w:r>
      <w:r>
        <w:rPr>
          <w:lang w:val="pt-BR"/>
        </w:rPr>
        <w:t xml:space="preserve">: paradoxalmente baixa — a inscrição ainda não fixou o corpo completamente; ainda há, na tela, um</w:t>
      </w:r>
      <w:r>
        <w:rPr>
          <w:lang w:val="pt-BR"/>
        </w:rPr>
        <w:t xml:space="preserve"> </w:t>
      </w:r>
      <w:r>
        <w:rPr>
          <w:i/>
          <w:iCs/>
          <w:lang w:val="pt-BR"/>
        </w:rPr>
        <w:t xml:space="preserve">excesso</w:t>
      </w:r>
      <w:r>
        <w:rPr>
          <w:lang w:val="pt-BR"/>
        </w:rPr>
        <w:t xml:space="preserve"> </w:t>
      </w:r>
      <w:r>
        <w:rPr>
          <w:lang w:val="pt-BR"/>
        </w:rPr>
        <w:t xml:space="preserve">de corpo que a moeda posterior eliminará</w:t>
      </w:r>
    </w:p>
    <w:p>
      <w:pPr>
        <w:pStyle w:val="FirstParagraph"/>
      </w:pPr>
      <w:r>
        <w:rPr>
          <w:lang w:val="pt-BR"/>
        </w:rPr>
        <w:t xml:space="preserve">Esse perfil — endurecimento composto 2,4 [ledger: 1,0 — VERIFICAR], regime fundacional — é o de uma alegoria que está</w:t>
      </w:r>
      <w:r>
        <w:rPr>
          <w:lang w:val="pt-BR"/>
        </w:rPr>
        <w:t xml:space="preserve"> </w:t>
      </w:r>
      <w:r>
        <w:rPr>
          <w:i/>
          <w:iCs/>
          <w:lang w:val="pt-BR"/>
        </w:rPr>
        <w:t xml:space="preserve">em processo</w:t>
      </w:r>
      <w:r>
        <w:rPr>
          <w:lang w:val="pt-BR"/>
        </w:rPr>
        <w:t xml:space="preserve"> </w:t>
      </w:r>
      <w:r>
        <w:rPr>
          <w:lang w:val="pt-BR"/>
        </w:rPr>
        <w:t xml:space="preserve">de Purificação Clássica, mas que ainda mantém resíduos de corporalidade. O corpo de Villares ainda tem volume, sombra, textura de tecido. O que acontece nas fichas subsequentes — a litografia de Agostini na Revista Illustrada (BR-SCOUT-001 [VERIFICAR: ID sem registro no corpus; o candidato mais próximo é BR-019,</w:t>
      </w:r>
      <w:r>
        <w:rPr>
          <w:lang w:val="pt-BR"/>
        </w:rPr>
        <w:t xml:space="preserve"> </w:t>
      </w:r>
      <w:r>
        <w:rPr>
          <w:lang w:val="pt-BR"/>
        </w:rPr>
        <w:t xml:space="preserve">“O mundo às avessas: voto feminino”</w:t>
      </w:r>
      <w:r>
        <w:rPr>
          <w:lang w:val="pt-BR"/>
        </w:rPr>
        <w:t xml:space="preserve">, 1917 — atribuição a Agostini e data questionáveis: Agostini morre em 1907]), o óleo de Lopes Rodrigues (BR-SCOUT-003 [VERIFICAR: ID sem registro no corpus]) — é a</w:t>
      </w:r>
      <w:r>
        <w:rPr>
          <w:lang w:val="pt-BR"/>
        </w:rPr>
        <w:t xml:space="preserve"> </w:t>
      </w:r>
      <w:r>
        <w:rPr>
          <w:i/>
          <w:iCs/>
          <w:lang w:val="pt-BR"/>
        </w:rPr>
        <w:t xml:space="preserve">repetição dessa mesma forma branca</w:t>
      </w:r>
      <w:r>
        <w:rPr>
          <w:lang w:val="pt-BR"/>
        </w:rPr>
        <w:t xml:space="preserve"> </w:t>
      </w:r>
      <w:r>
        <w:rPr>
          <w:lang w:val="pt-BR"/>
        </w:rPr>
        <w:t xml:space="preserve">em mídias diferenciadas. A Nachleben da alegoria republicana brasileira é de</w:t>
      </w:r>
      <w:r>
        <w:rPr>
          <w:lang w:val="pt-BR"/>
        </w:rPr>
        <w:t xml:space="preserve"> </w:t>
      </w:r>
      <w:r>
        <w:rPr>
          <w:i/>
          <w:iCs/>
          <w:lang w:val="pt-BR"/>
        </w:rPr>
        <w:t xml:space="preserve">reiteração racial</w:t>
      </w:r>
      <w:r>
        <w:rPr>
          <w:lang w:val="pt-BR"/>
        </w:rPr>
        <w:t xml:space="preserve">: cada nova versão reafirma o mesmo corpo branco como condição de sua operabilidade política.</w:t>
      </w:r>
    </w:p>
    <w:bookmarkEnd w:id="60"/>
    <w:bookmarkStart w:id="61" w:name="Xd7a6a9bd082874df926a274fa89a88806423829"/>
    <w:p>
      <w:pPr>
        <w:pStyle w:val="Heading3"/>
      </w:pPr>
      <w:r>
        <w:rPr>
          <w:rStyle w:val="SectionNumber"/>
          <w:lang w:val="pt-BR"/>
        </w:rPr>
        <w:t xml:space="preserve">4.2.3</w:t>
      </w:r>
      <w:r>
        <w:tab/>
      </w:r>
      <w:r>
        <w:rPr>
          <w:lang w:val="pt-BR"/>
        </w:rPr>
        <w:t xml:space="preserve">3.2.3 — O Contrato Racial Visual como operação jurídica</w:t>
      </w:r>
    </w:p>
    <w:p>
      <w:pPr>
        <w:pStyle w:val="FirstParagraph"/>
      </w:pPr>
      <w:r>
        <w:rPr>
          <w:lang w:val="pt-BR"/>
        </w:rPr>
        <w:t xml:space="preserve">A terceira proposição leva o argumento para o campo jurídico. Quando o Estado brasileiro, na Primeira República, emite moedas com a Efígie da República (1906–1912, corpus item BR-1000R-1906, não detalhado aqui), ele realiza uma operação análoga àquela que Pateman identifica no Contrato Sexual: a constituição de um</w:t>
      </w:r>
      <w:r>
        <w:rPr>
          <w:lang w:val="pt-BR"/>
        </w:rPr>
        <w:t xml:space="preserve"> </w:t>
      </w:r>
      <w:r>
        <w:rPr>
          <w:lang w:val="pt-BR"/>
        </w:rPr>
        <w:t xml:space="preserve">“indivíduo”</w:t>
      </w:r>
      <w:r>
        <w:rPr>
          <w:lang w:val="pt-BR"/>
        </w:rPr>
        <w:t xml:space="preserve"> </w:t>
      </w:r>
      <w:r>
        <w:rPr>
          <w:lang w:val="pt-BR"/>
        </w:rPr>
        <w:t xml:space="preserve">universal que, na verdade, é um</w:t>
      </w:r>
      <w:r>
        <w:rPr>
          <w:lang w:val="pt-BR"/>
        </w:rPr>
        <w:t xml:space="preserve"> </w:t>
      </w:r>
      <w:r>
        <w:rPr>
          <w:i/>
          <w:iCs/>
          <w:lang w:val="pt-BR"/>
        </w:rPr>
        <w:t xml:space="preserve">corpo particular</w:t>
      </w:r>
      <w:r>
        <w:rPr>
          <w:lang w:val="pt-BR"/>
        </w:rPr>
        <w:t xml:space="preserve"> </w:t>
      </w:r>
      <w:r>
        <w:rPr>
          <w:lang w:val="pt-BR"/>
        </w:rPr>
        <w:t xml:space="preserve">mascarado de universal. No Contrato Sexual, o indivíduo é masculino; no Contrato Racial Visual, a alegoria é branca.</w:t>
      </w:r>
    </w:p>
    <w:p>
      <w:pPr>
        <w:pStyle w:val="BodyText"/>
      </w:pPr>
      <w:r>
        <w:rPr>
          <w:lang w:val="pt-BR"/>
        </w:rPr>
        <w:t xml:space="preserve">A diferença crucial está na</w:t>
      </w:r>
      <w:r>
        <w:rPr>
          <w:lang w:val="pt-BR"/>
        </w:rPr>
        <w:t xml:space="preserve"> </w:t>
      </w:r>
      <w:r>
        <w:rPr>
          <w:i/>
          <w:iCs/>
          <w:lang w:val="pt-BR"/>
        </w:rPr>
        <w:t xml:space="preserve">visualidade</w:t>
      </w:r>
      <w:r>
        <w:rPr>
          <w:lang w:val="pt-BR"/>
        </w:rPr>
        <w:t xml:space="preserve">. O contrato é visto, não lido. O cidadão brasileiro que recebe a moeda de 1000 réis em 1906 vê um rosto branco, de perfil, com traços europeus, e internaliza — como</w:t>
      </w:r>
      <w:r>
        <w:rPr>
          <w:lang w:val="pt-BR"/>
        </w:rPr>
        <w:t xml:space="preserve"> </w:t>
      </w:r>
      <w:r>
        <w:rPr>
          <w:i/>
          <w:iCs/>
          <w:lang w:val="pt-BR"/>
        </w:rPr>
        <w:t xml:space="preserve">habitus</w:t>
      </w:r>
      <w:r>
        <w:rPr>
          <w:lang w:val="pt-BR"/>
        </w:rPr>
        <w:t xml:space="preserve"> </w:t>
      </w:r>
      <w:r>
        <w:rPr>
          <w:lang w:val="pt-BR"/>
        </w:rPr>
        <w:t xml:space="preserve">visual — que a República é uma entidade branca. A cor da alegoria é</w:t>
      </w:r>
      <w:r>
        <w:rPr>
          <w:lang w:val="pt-BR"/>
        </w:rPr>
        <w:t xml:space="preserve"> </w:t>
      </w:r>
      <w:r>
        <w:rPr>
          <w:i/>
          <w:iCs/>
          <w:lang w:val="pt-BR"/>
        </w:rPr>
        <w:t xml:space="preserve">condição de possibilidade</w:t>
      </w:r>
      <w:r>
        <w:rPr>
          <w:lang w:val="pt-BR"/>
        </w:rPr>
        <w:t xml:space="preserve"> </w:t>
      </w:r>
      <w:r>
        <w:rPr>
          <w:lang w:val="pt-BR"/>
        </w:rPr>
        <w:t xml:space="preserve">do próprio dispositivo alegórico, não seu</w:t>
      </w:r>
      <w:r>
        <w:rPr>
          <w:lang w:val="pt-BR"/>
        </w:rPr>
        <w:t xml:space="preserve"> </w:t>
      </w:r>
      <w:r>
        <w:rPr>
          <w:i/>
          <w:iCs/>
          <w:lang w:val="pt-BR"/>
        </w:rPr>
        <w:t xml:space="preserve">significado</w:t>
      </w:r>
      <w:r>
        <w:rPr>
          <w:lang w:val="pt-BR"/>
        </w:rPr>
        <w:t xml:space="preserve">.</w:t>
      </w:r>
    </w:p>
    <w:p>
      <w:pPr>
        <w:pStyle w:val="BodyText"/>
      </w:pPr>
      <w:r>
        <w:rPr>
          <w:lang w:val="pt-BR"/>
        </w:rPr>
        <w:t xml:space="preserve">Isso explica por que a</w:t>
      </w:r>
      <w:r>
        <w:rPr>
          <w:lang w:val="pt-BR"/>
        </w:rPr>
        <w:t xml:space="preserve"> </w:t>
      </w:r>
      <w:r>
        <w:rPr>
          <w:i/>
          <w:iCs/>
          <w:lang w:val="pt-BR"/>
        </w:rPr>
        <w:t xml:space="preserve">contra-alegoria</w:t>
      </w:r>
      <w:r>
        <w:rPr>
          <w:lang w:val="pt-BR"/>
        </w:rPr>
        <w:t xml:space="preserve"> </w:t>
      </w:r>
      <w:r>
        <w:rPr>
          <w:lang w:val="pt-BR"/>
        </w:rPr>
        <w:t xml:space="preserve">(corpus regime: contra-alegoria — 15 itens no instantâneo de 2026-09-21, 14 codificados) surge sempre como</w:t>
      </w:r>
      <w:r>
        <w:rPr>
          <w:lang w:val="pt-BR"/>
        </w:rPr>
        <w:t xml:space="preserve"> </w:t>
      </w:r>
      <w:r>
        <w:rPr>
          <w:i/>
          <w:iCs/>
          <w:lang w:val="pt-BR"/>
        </w:rPr>
        <w:t xml:space="preserve">ruptura cromática</w:t>
      </w:r>
      <w:r>
        <w:rPr>
          <w:lang w:val="pt-BR"/>
        </w:rPr>
        <w:t xml:space="preserve">. Quando a alegoria é disputada — quando o corpo negro, o corpo indígena, o corpo pardo aparece no lugar do corpo branco —, a disputa é</w:t>
      </w:r>
      <w:r>
        <w:rPr>
          <w:lang w:val="pt-BR"/>
        </w:rPr>
        <w:t xml:space="preserve"> </w:t>
      </w:r>
      <w:r>
        <w:rPr>
          <w:i/>
          <w:iCs/>
          <w:lang w:val="pt-BR"/>
        </w:rPr>
        <w:t xml:space="preserve">ontológica</w:t>
      </w:r>
      <w:r>
        <w:rPr>
          <w:lang w:val="pt-BR"/>
        </w:rPr>
        <w:t xml:space="preserve">, não semântica: o corpo não-branco</w:t>
      </w:r>
      <w:r>
        <w:rPr>
          <w:lang w:val="pt-BR"/>
        </w:rPr>
        <w:t xml:space="preserve"> </w:t>
      </w:r>
      <w:r>
        <w:rPr>
          <w:i/>
          <w:iCs/>
          <w:lang w:val="pt-BR"/>
        </w:rPr>
        <w:t xml:space="preserve">não pode</w:t>
      </w:r>
      <w:r>
        <w:rPr>
          <w:lang w:val="pt-BR"/>
        </w:rPr>
        <w:t xml:space="preserve"> </w:t>
      </w:r>
      <w:r>
        <w:rPr>
          <w:lang w:val="pt-BR"/>
        </w:rPr>
        <w:t xml:space="preserve">ocupar o lugar da alegoria sem que a alegoria deixe de funcionar como tecnologia de Estado. O Contrato Racial Visual é, portanto, descritivo e</w:t>
      </w:r>
      <w:r>
        <w:rPr>
          <w:lang w:val="pt-BR"/>
        </w:rPr>
        <w:t xml:space="preserve"> </w:t>
      </w:r>
      <w:r>
        <w:rPr>
          <w:i/>
          <w:iCs/>
          <w:lang w:val="pt-BR"/>
        </w:rPr>
        <w:t xml:space="preserve">normativo</w:t>
      </w:r>
      <w:r>
        <w:rPr>
          <w:lang w:val="pt-BR"/>
        </w:rPr>
        <w:t xml:space="preserve">: ele diz qual cor pode ser universal, e estabelece que a cor que não é branca é sempre particular, sempre local, sempre</w:t>
      </w:r>
      <w:r>
        <w:rPr>
          <w:lang w:val="pt-BR"/>
        </w:rPr>
        <w:t xml:space="preserve"> </w:t>
      </w:r>
      <w:r>
        <w:rPr>
          <w:i/>
          <w:iCs/>
          <w:lang w:val="pt-BR"/>
        </w:rPr>
        <w:t xml:space="preserve">não-representável</w:t>
      </w:r>
      <w:r>
        <w:rPr>
          <w:lang w:val="pt-BR"/>
        </w:rPr>
        <w:t xml:space="preserve">.</w:t>
      </w:r>
    </w:p>
    <w:bookmarkEnd w:id="61"/>
    <w:bookmarkStart w:id="62" w:name="zwischenraum-o-impasse-da-universalidade"/>
    <w:p>
      <w:pPr>
        <w:pStyle w:val="Heading3"/>
      </w:pPr>
      <w:r>
        <w:rPr>
          <w:rStyle w:val="SectionNumber"/>
          <w:lang w:val="pt-BR"/>
        </w:rPr>
        <w:t xml:space="preserve">4.2.4</w:t>
      </w:r>
      <w:r>
        <w:tab/>
      </w:r>
      <w:r>
        <w:rPr>
          <w:lang w:val="pt-BR"/>
        </w:rPr>
        <w:t xml:space="preserve">3.2.4 — Zwischenraum: o impasse da universalidade</w:t>
      </w:r>
    </w:p>
    <w:p>
      <w:pPr>
        <w:pStyle w:val="FirstParagraph"/>
      </w:pPr>
      <w:r>
        <w:rPr>
          <w:lang w:val="pt-BR"/>
        </w:rPr>
        <w:t xml:space="preserve">O conceito warburguiano de Zwischenraum — o espaço entre, o interstício onde a transformação ocorre — é o lugar onde o Contrato Racial Visual se torna visível como operação. Não na tela de Villares isoladamente, mas no</w:t>
      </w:r>
      <w:r>
        <w:rPr>
          <w:lang w:val="pt-BR"/>
        </w:rPr>
        <w:t xml:space="preserve"> </w:t>
      </w:r>
      <w:r>
        <w:rPr>
          <w:i/>
          <w:iCs/>
          <w:lang w:val="pt-BR"/>
        </w:rPr>
        <w:t xml:space="preserve">painel</w:t>
      </w:r>
      <w:r>
        <w:rPr>
          <w:lang w:val="pt-BR"/>
        </w:rPr>
        <w:t xml:space="preserve"> </w:t>
      </w:r>
      <w:r>
        <w:rPr>
          <w:lang w:val="pt-BR"/>
        </w:rPr>
        <w:t xml:space="preserve">que contrapõe Villares (1889) à</w:t>
      </w:r>
      <w:r>
        <w:rPr>
          <w:lang w:val="pt-BR"/>
        </w:rPr>
        <w:t xml:space="preserve"> </w:t>
      </w:r>
      <w:r>
        <w:rPr>
          <w:i/>
          <w:iCs/>
          <w:lang w:val="pt-BR"/>
        </w:rPr>
        <w:t xml:space="preserve">Semeuse</w:t>
      </w:r>
      <w:r>
        <w:rPr>
          <w:lang w:val="pt-BR"/>
        </w:rPr>
        <w:t xml:space="preserve"> </w:t>
      </w:r>
      <w:r>
        <w:rPr>
          <w:lang w:val="pt-BR"/>
        </w:rPr>
        <w:t xml:space="preserve">de Roty (1897, FR-SEM-1898 no corpus) e à</w:t>
      </w:r>
      <w:r>
        <w:rPr>
          <w:lang w:val="pt-BR"/>
        </w:rPr>
        <w:t xml:space="preserve"> </w:t>
      </w:r>
      <w:r>
        <w:rPr>
          <w:i/>
          <w:iCs/>
          <w:lang w:val="pt-BR"/>
        </w:rPr>
        <w:t xml:space="preserve">Liberté</w:t>
      </w:r>
      <w:r>
        <w:rPr>
          <w:lang w:val="pt-BR"/>
        </w:rPr>
        <w:t xml:space="preserve"> </w:t>
      </w:r>
      <w:r>
        <w:rPr>
          <w:lang w:val="pt-BR"/>
        </w:rPr>
        <w:t xml:space="preserve">de Moitte/Janinet (FR-038 no corpus). Neste Zwischenraum, o que se vê é uma transição</w:t>
      </w:r>
      <w:r>
        <w:rPr>
          <w:lang w:val="pt-BR"/>
        </w:rPr>
        <w:t xml:space="preserve"> </w:t>
      </w:r>
      <w:r>
        <w:rPr>
          <w:i/>
          <w:iCs/>
          <w:lang w:val="pt-BR"/>
        </w:rPr>
        <w:t xml:space="preserve">racial</w:t>
      </w:r>
      <w:r>
        <w:rPr>
          <w:lang w:val="pt-BR"/>
        </w:rPr>
        <w:t xml:space="preserve">: o corpo que, em Delacroix (1830), ainda carregava resíduos de individualidade fisionômica (uma branquitude vivente, suja de pólvora, com seio à mostra) — esse corpo, em Villares, já está</w:t>
      </w:r>
      <w:r>
        <w:rPr>
          <w:lang w:val="pt-BR"/>
        </w:rPr>
        <w:t xml:space="preserve"> </w:t>
      </w:r>
      <w:r>
        <w:rPr>
          <w:i/>
          <w:iCs/>
          <w:lang w:val="pt-BR"/>
        </w:rPr>
        <w:t xml:space="preserve">branqueado</w:t>
      </w:r>
      <w:r>
        <w:rPr>
          <w:lang w:val="pt-BR"/>
        </w:rPr>
        <w:t xml:space="preserve"> </w:t>
      </w:r>
      <w:r>
        <w:rPr>
          <w:lang w:val="pt-BR"/>
        </w:rPr>
        <w:t xml:space="preserve">pela Purificação Clássica, e na Semeuse já é</w:t>
      </w:r>
      <w:r>
        <w:rPr>
          <w:lang w:val="pt-BR"/>
        </w:rPr>
        <w:t xml:space="preserve"> </w:t>
      </w:r>
      <w:r>
        <w:rPr>
          <w:i/>
          <w:iCs/>
          <w:lang w:val="pt-BR"/>
        </w:rPr>
        <w:t xml:space="preserve">abstraído</w:t>
      </w:r>
      <w:r>
        <w:rPr>
          <w:lang w:val="pt-BR"/>
        </w:rPr>
        <w:t xml:space="preserve"> </w:t>
      </w:r>
      <w:r>
        <w:rPr>
          <w:lang w:val="pt-BR"/>
        </w:rPr>
        <w:t xml:space="preserve">em perfil marmóreo.</w:t>
      </w:r>
    </w:p>
    <w:p>
      <w:pPr>
        <w:pStyle w:val="BodyText"/>
      </w:pPr>
      <w:r>
        <w:rPr>
          <w:lang w:val="pt-BR"/>
        </w:rPr>
        <w:t xml:space="preserve">O Zwischenraum do Contrato Racial Visual é o espaço onde a branquitude se consolida como</w:t>
      </w:r>
      <w:r>
        <w:rPr>
          <w:lang w:val="pt-BR"/>
        </w:rPr>
        <w:t xml:space="preserve"> </w:t>
      </w:r>
      <w:r>
        <w:rPr>
          <w:i/>
          <w:iCs/>
          <w:lang w:val="pt-BR"/>
        </w:rPr>
        <w:t xml:space="preserve">forma jurídica</w:t>
      </w:r>
      <w:r>
        <w:rPr>
          <w:lang w:val="pt-BR"/>
        </w:rPr>
        <w:t xml:space="preserve">. É nesse espaço que a tese propõe sua intervenção: o racismo das alegorias é sua</w:t>
      </w:r>
      <w:r>
        <w:rPr>
          <w:lang w:val="pt-BR"/>
        </w:rPr>
        <w:t xml:space="preserve"> </w:t>
      </w:r>
      <w:r>
        <w:rPr>
          <w:i/>
          <w:iCs/>
          <w:lang w:val="pt-BR"/>
        </w:rPr>
        <w:t xml:space="preserve">condição de funcionamento</w:t>
      </w:r>
      <w:r>
        <w:rPr>
          <w:lang w:val="pt-BR"/>
        </w:rPr>
        <w:t xml:space="preserve">, não uma patologia. Sem o branqueamento, não há alegoria estatal. Sem a alegoria estatal, não há Feminilidade de Estado. Sem a Feminilidade de Estado, não há Contrato Sexual Visual. O Contrato Racial Visual é, assim, o substrato material sobre o qual os outros dois contratos se erguem.</w:t>
      </w:r>
    </w:p>
    <w:p>
      <w:pPr>
        <w:pStyle w:val="BlockText"/>
      </w:pPr>
      <w:r>
        <w:rPr>
          <w:b/>
          <w:bCs/>
          <w:lang w:val="pt-BR"/>
        </w:rPr>
        <w:t xml:space="preserve">Citações pendentes de inserção (§3.2):</w:t>
      </w:r>
      <w:r>
        <w:rPr>
          <w:lang w:val="pt-BR"/>
        </w:rPr>
        <w:t xml:space="preserve"> </w:t>
      </w:r>
      <w:r>
        <w:rPr>
          <w:lang w:val="pt-BR"/>
        </w:rPr>
        <w:t xml:space="preserve">- Villares, Décio.</w:t>
      </w:r>
      <w:r>
        <w:rPr>
          <w:lang w:val="pt-BR"/>
        </w:rPr>
        <w:t xml:space="preserve"> </w:t>
      </w:r>
      <w:r>
        <w:rPr>
          <w:i/>
          <w:iCs/>
          <w:lang w:val="pt-BR"/>
        </w:rPr>
        <w:t xml:space="preserve">Alegoria da República</w:t>
      </w:r>
      <w:r>
        <w:rPr>
          <w:lang w:val="pt-BR"/>
        </w:rPr>
        <w:t xml:space="preserve">. 1889. Óleo sobre tela. Rio de Janeiro: Museu Nacional de Belas Artes.</w:t>
      </w:r>
      <w:r>
        <w:rPr>
          <w:lang w:val="pt-BR"/>
        </w:rPr>
        <w:t xml:space="preserve"> </w:t>
      </w:r>
      <w:r>
        <w:rPr>
          <w:lang w:val="pt-BR"/>
        </w:rPr>
        <w:t xml:space="preserve">- Rops, Félicien.</w:t>
      </w:r>
      <w:r>
        <w:rPr>
          <w:lang w:val="pt-BR"/>
        </w:rPr>
        <w:t xml:space="preserve"> </w:t>
      </w:r>
      <w:r>
        <w:rPr>
          <w:i/>
          <w:iCs/>
          <w:lang w:val="pt-BR"/>
        </w:rPr>
        <w:t xml:space="preserve">La République aimable</w:t>
      </w:r>
      <w:r>
        <w:rPr>
          <w:lang w:val="pt-BR"/>
        </w:rPr>
        <w:t xml:space="preserve">. 1871. Disponível em: https://gallica.bnf.fr/ark:/12148/btv1b531842166</w:t>
      </w:r>
      <w:r>
        <w:rPr>
          <w:lang w:val="pt-BR"/>
        </w:rPr>
        <w:t xml:space="preserve"> </w:t>
      </w:r>
      <w:r>
        <w:rPr>
          <w:lang w:val="pt-BR"/>
        </w:rPr>
        <w:t xml:space="preserve">- Roty, Oscar.</w:t>
      </w:r>
      <w:r>
        <w:rPr>
          <w:lang w:val="pt-BR"/>
        </w:rPr>
        <w:t xml:space="preserve"> </w:t>
      </w:r>
      <w:r>
        <w:rPr>
          <w:i/>
          <w:iCs/>
          <w:lang w:val="pt-BR"/>
        </w:rPr>
        <w:t xml:space="preserve">La Semeuse</w:t>
      </w:r>
      <w:r>
        <w:rPr>
          <w:lang w:val="pt-BR"/>
        </w:rPr>
        <w:t xml:space="preserve">. 1897. Moeda. Paris: Monnaie de Paris.</w:t>
      </w:r>
      <w:r>
        <w:rPr>
          <w:lang w:val="pt-BR"/>
        </w:rPr>
        <w:t xml:space="preserve"> </w:t>
      </w:r>
      <w:r>
        <w:rPr>
          <w:lang w:val="pt-BR"/>
        </w:rPr>
        <w:t xml:space="preserve">- Moitte/Janinet.</w:t>
      </w:r>
      <w:r>
        <w:rPr>
          <w:lang w:val="pt-BR"/>
        </w:rPr>
        <w:t xml:space="preserve"> </w:t>
      </w:r>
      <w:r>
        <w:rPr>
          <w:i/>
          <w:iCs/>
          <w:lang w:val="pt-BR"/>
        </w:rPr>
        <w:t xml:space="preserve">Liberté</w:t>
      </w:r>
      <w:r>
        <w:rPr>
          <w:lang w:val="pt-BR"/>
        </w:rPr>
        <w:t xml:space="preserve">. [data a confirmar; item FR-038 no corpus].</w:t>
      </w:r>
      <w:r>
        <w:rPr>
          <w:lang w:val="pt-BR"/>
        </w:rPr>
        <w:t xml:space="preserve"> </w:t>
      </w:r>
      <w:r>
        <w:rPr>
          <w:lang w:val="pt-BR"/>
        </w:rPr>
        <w:t xml:space="preserve">- Mondzain, Marie-José.</w:t>
      </w:r>
      <w:r>
        <w:rPr>
          <w:lang w:val="pt-BR"/>
        </w:rPr>
        <w:t xml:space="preserve"> </w:t>
      </w:r>
      <w:r>
        <w:rPr>
          <w:i/>
          <w:iCs/>
          <w:lang w:val="pt-BR"/>
        </w:rPr>
        <w:t xml:space="preserve">Image, icône, économie</w:t>
      </w:r>
      <w:r>
        <w:rPr>
          <w:lang w:val="pt-BR"/>
        </w:rPr>
        <w:t xml:space="preserve">. 2002.</w:t>
      </w:r>
      <w:r>
        <w:rPr>
          <w:lang w:val="pt-BR"/>
        </w:rPr>
        <w:t xml:space="preserve"> </w:t>
      </w:r>
      <w:r>
        <w:rPr>
          <w:lang w:val="pt-BR"/>
        </w:rPr>
        <w:t xml:space="preserve">- Legendre, Pierre.</w:t>
      </w:r>
      <w:r>
        <w:rPr>
          <w:lang w:val="pt-BR"/>
        </w:rPr>
        <w:t xml:space="preserve"> </w:t>
      </w:r>
      <w:r>
        <w:rPr>
          <w:i/>
          <w:iCs/>
          <w:lang w:val="pt-BR"/>
        </w:rPr>
        <w:t xml:space="preserve">La fabrique du droit</w:t>
      </w:r>
      <w:r>
        <w:rPr>
          <w:lang w:val="pt-BR"/>
        </w:rPr>
        <w:t xml:space="preserve"> </w:t>
      </w:r>
      <w:r>
        <w:rPr>
          <w:lang w:val="pt-BR"/>
        </w:rPr>
        <w:t xml:space="preserve">(edição a confirmar).</w:t>
      </w:r>
      <w:r>
        <w:rPr>
          <w:lang w:val="pt-BR"/>
        </w:rPr>
        <w:t xml:space="preserve"> </w:t>
      </w:r>
      <w:r>
        <w:rPr>
          <w:lang w:val="pt-BR"/>
        </w:rPr>
        <w:t xml:space="preserve">- Schwarcz, Lilia Moritz. [título a confirmar — sobre neoclassicismo e raça no Brasil].</w:t>
      </w:r>
    </w:p>
    <w:p>
      <w:r>
        <w:pict>
          <v:rect style="width:0;height:1.5pt" o:hralign="center" o:hrstd="t" o:hr="t"/>
        </w:pict>
      </w:r>
    </w:p>
    <w:bookmarkEnd w:id="62"/>
    <w:bookmarkEnd w:id="63"/>
    <w:bookmarkStart w:id="68" w:name="X08e7d83d78c2162de8160aa93b828804efdba13"/>
    <w:p>
      <w:pPr>
        <w:pStyle w:val="Heading2"/>
      </w:pPr>
      <w:r>
        <w:rPr>
          <w:rStyle w:val="SectionNumber"/>
          <w:lang w:val="pt-BR"/>
        </w:rPr>
        <w:t xml:space="preserve">4.3</w:t>
      </w:r>
      <w:r>
        <w:tab/>
      </w:r>
      <w:r>
        <w:rPr>
          <w:lang w:val="pt-BR"/>
        </w:rPr>
        <w:t xml:space="preserve">3.3 — Paternalismo jurídico-visual: o caso belga (Huygebaert)</w:t>
      </w:r>
    </w:p>
    <w:p>
      <w:pPr>
        <w:pStyle w:val="BlockText"/>
      </w:pPr>
      <w:r>
        <w:rPr>
          <w:b/>
          <w:bCs/>
          <w:lang w:val="pt-BR"/>
        </w:rPr>
        <w:t xml:space="preserve">Nota metodológica:</w:t>
      </w:r>
      <w:r>
        <w:rPr>
          <w:lang w:val="pt-BR"/>
        </w:rPr>
        <w:t xml:space="preserve"> </w:t>
      </w:r>
      <w:r>
        <w:rPr>
          <w:lang w:val="pt-BR"/>
        </w:rPr>
        <w:t xml:space="preserve">Este § opera como variante estrutural do argumento central. Onde §3.2 demonstra a</w:t>
      </w:r>
      <w:r>
        <w:rPr>
          <w:lang w:val="pt-BR"/>
        </w:rPr>
        <w:t xml:space="preserve"> </w:t>
      </w:r>
      <w:r>
        <w:rPr>
          <w:i/>
          <w:iCs/>
          <w:lang w:val="pt-BR"/>
        </w:rPr>
        <w:t xml:space="preserve">Purificação Clássica</w:t>
      </w:r>
      <w:r>
        <w:rPr>
          <w:lang w:val="pt-BR"/>
        </w:rPr>
        <w:t xml:space="preserve"> </w:t>
      </w:r>
      <w:r>
        <w:rPr>
          <w:lang w:val="pt-BR"/>
        </w:rPr>
        <w:t xml:space="preserve">como tecnologia de branqueamento da alegoria republicana, §3.3 mostra a mesma Purificação Clássica como tecnologia de autorização paternalística da alegoria colonial. Trata-se de argumento jurídico-visual, não de análise antropológica ou sociológica da raça. O corpus aqui mobilizado é instrumental: dois objetos do acervo belga colonial com função comparativa estrutural.</w:t>
      </w:r>
    </w:p>
    <w:p>
      <w:pPr>
        <w:pStyle w:val="FirstParagraph"/>
      </w:pPr>
      <w:r>
        <w:rPr>
          <w:lang w:val="pt-BR"/>
        </w:rPr>
        <w:t xml:space="preserve">O regime iconocrático belga no Congo opera segundo uma lógica distinta da brasileira. Onde o Brasil realiza uma</w:t>
      </w:r>
      <w:r>
        <w:rPr>
          <w:lang w:val="pt-BR"/>
        </w:rPr>
        <w:t xml:space="preserve"> </w:t>
      </w:r>
      <w:r>
        <w:rPr>
          <w:i/>
          <w:iCs/>
          <w:lang w:val="pt-BR"/>
        </w:rPr>
        <w:t xml:space="preserve">Purificação Clássica</w:t>
      </w:r>
      <w:r>
        <w:rPr>
          <w:lang w:val="pt-BR"/>
        </w:rPr>
        <w:t xml:space="preserve"> </w:t>
      </w:r>
      <w:r>
        <w:rPr>
          <w:lang w:val="pt-BR"/>
        </w:rPr>
        <w:t xml:space="preserve">racializada que torna a alegoria republicana branca por extração — eliminando do corpo toda marca de cor que comprometeria sua pretensão universal —, o caso belga pratica a</w:t>
      </w:r>
      <w:r>
        <w:rPr>
          <w:lang w:val="pt-BR"/>
        </w:rPr>
        <w:t xml:space="preserve"> </w:t>
      </w:r>
      <w:r>
        <w:rPr>
          <w:i/>
          <w:iCs/>
          <w:lang w:val="pt-BR"/>
        </w:rPr>
        <w:t xml:space="preserve">autorização paternalística</w:t>
      </w:r>
      <w:r>
        <w:rPr>
          <w:lang w:val="pt-BR"/>
        </w:rPr>
        <w:t xml:space="preserve"> </w:t>
      </w:r>
      <w:r>
        <w:rPr>
          <w:lang w:val="pt-BR"/>
        </w:rPr>
        <w:t xml:space="preserve">da branquitude como mãe, tutora, enfermeira civilizatória. A diferença é estrutural. O que está em jogo é uma variação do</w:t>
      </w:r>
      <w:r>
        <w:rPr>
          <w:lang w:val="pt-BR"/>
        </w:rPr>
        <w:t xml:space="preserve"> </w:t>
      </w:r>
      <w:r>
        <w:rPr>
          <w:i/>
          <w:iCs/>
          <w:lang w:val="pt-BR"/>
        </w:rPr>
        <w:t xml:space="preserve">Contrato Racial Visual</w:t>
      </w:r>
      <w:r>
        <w:rPr>
          <w:lang w:val="pt-BR"/>
        </w:rPr>
        <w:t xml:space="preserve"> </w:t>
      </w:r>
      <w:r>
        <w:rPr>
          <w:lang w:val="pt-BR"/>
        </w:rPr>
        <w:t xml:space="preserve">que mantém a diferença racial visível — subordinada, infantilizada, dependente — como o suporte mesmo da operação alegórica.</w:t>
      </w:r>
    </w:p>
    <w:p>
      <w:pPr>
        <w:pStyle w:val="BodyText"/>
      </w:pPr>
      <w:r>
        <w:rPr>
          <w:lang w:val="pt-BR"/>
        </w:rPr>
        <w:t xml:space="preserve">Este § sustenta quatro proposições.</w:t>
      </w:r>
      <w:r>
        <w:rPr>
          <w:lang w:val="pt-BR"/>
        </w:rPr>
        <w:t xml:space="preserve"> </w:t>
      </w:r>
      <w:r>
        <w:rPr>
          <w:b/>
          <w:bCs/>
          <w:lang w:val="pt-BR"/>
        </w:rPr>
        <w:t xml:space="preserve">Primeira:</w:t>
      </w:r>
      <w:r>
        <w:rPr>
          <w:lang w:val="pt-BR"/>
        </w:rPr>
        <w:t xml:space="preserve"> </w:t>
      </w:r>
      <w:r>
        <w:rPr>
          <w:lang w:val="pt-BR"/>
        </w:rPr>
        <w:t xml:space="preserve">a figura alegórica legitimadora é alegoria de</w:t>
      </w:r>
      <w:r>
        <w:rPr>
          <w:lang w:val="pt-BR"/>
        </w:rPr>
        <w:t xml:space="preserve"> </w:t>
      </w:r>
      <w:r>
        <w:rPr>
          <w:i/>
          <w:iCs/>
          <w:lang w:val="pt-BR"/>
        </w:rPr>
        <w:t xml:space="preserve">Europa</w:t>
      </w:r>
      <w:r>
        <w:rPr>
          <w:lang w:val="pt-BR"/>
        </w:rPr>
        <w:t xml:space="preserve">, e de África — o que desloca a Feminilidade de Estado do espaço interno da nação colonial para o centro metropolitano, projetando-a como benevolência externa.</w:t>
      </w:r>
      <w:r>
        <w:rPr>
          <w:lang w:val="pt-BR"/>
        </w:rPr>
        <w:t xml:space="preserve"> </w:t>
      </w:r>
      <w:r>
        <w:rPr>
          <w:b/>
          <w:bCs/>
          <w:lang w:val="pt-BR"/>
        </w:rPr>
        <w:t xml:space="preserve">Segunda:</w:t>
      </w:r>
      <w:r>
        <w:rPr>
          <w:lang w:val="pt-BR"/>
        </w:rPr>
        <w:t xml:space="preserve"> </w:t>
      </w:r>
      <w:r>
        <w:rPr>
          <w:lang w:val="pt-BR"/>
        </w:rPr>
        <w:t xml:space="preserve">essa deslocação amplia sua função tutelar, convertendo a relação colonial em relação</w:t>
      </w:r>
      <w:r>
        <w:rPr>
          <w:lang w:val="pt-BR"/>
        </w:rPr>
        <w:t xml:space="preserve"> </w:t>
      </w:r>
      <w:r>
        <w:rPr>
          <w:i/>
          <w:iCs/>
          <w:lang w:val="pt-BR"/>
        </w:rPr>
        <w:t xml:space="preserve">materno-jurídica</w:t>
      </w:r>
      <w:r>
        <w:rPr>
          <w:lang w:val="pt-BR"/>
        </w:rPr>
        <w:t xml:space="preserve">.</w:t>
      </w:r>
      <w:r>
        <w:rPr>
          <w:lang w:val="pt-BR"/>
        </w:rPr>
        <w:t xml:space="preserve"> </w:t>
      </w:r>
      <w:r>
        <w:rPr>
          <w:b/>
          <w:bCs/>
          <w:lang w:val="pt-BR"/>
        </w:rPr>
        <w:t xml:space="preserve">Terceira:</w:t>
      </w:r>
      <w:r>
        <w:rPr>
          <w:lang w:val="pt-BR"/>
        </w:rPr>
        <w:t xml:space="preserve"> </w:t>
      </w:r>
      <w:r>
        <w:rPr>
          <w:lang w:val="pt-BR"/>
        </w:rPr>
        <w:t xml:space="preserve">o corpo negro, no mesmo dispositivo visual, é</w:t>
      </w:r>
      <w:r>
        <w:rPr>
          <w:lang w:val="pt-BR"/>
        </w:rPr>
        <w:t xml:space="preserve"> </w:t>
      </w:r>
      <w:r>
        <w:rPr>
          <w:i/>
          <w:iCs/>
          <w:lang w:val="pt-BR"/>
        </w:rPr>
        <w:t xml:space="preserve">exibido</w:t>
      </w:r>
      <w:r>
        <w:rPr>
          <w:lang w:val="pt-BR"/>
        </w:rPr>
        <w:t xml:space="preserve"> </w:t>
      </w:r>
      <w:r>
        <w:rPr>
          <w:lang w:val="pt-BR"/>
        </w:rPr>
        <w:t xml:space="preserve">como corpo real, específico, masculino e infantilizado, cuja função é evidenciar a necessidade do tutelamento. O corpo negro é alegorizado; sua realidade corpórea funciona como prova empírica da missão civilizatória.</w:t>
      </w:r>
      <w:r>
        <w:rPr>
          <w:lang w:val="pt-BR"/>
        </w:rPr>
        <w:t xml:space="preserve"> </w:t>
      </w:r>
      <w:r>
        <w:rPr>
          <w:b/>
          <w:bCs/>
          <w:lang w:val="pt-BR"/>
        </w:rPr>
        <w:t xml:space="preserve">Quarta:</w:t>
      </w:r>
      <w:r>
        <w:rPr>
          <w:lang w:val="pt-BR"/>
        </w:rPr>
        <w:t xml:space="preserve"> </w:t>
      </w:r>
      <w:r>
        <w:rPr>
          <w:lang w:val="pt-BR"/>
        </w:rPr>
        <w:t xml:space="preserve">a operação de</w:t>
      </w:r>
      <w:r>
        <w:rPr>
          <w:lang w:val="pt-BR"/>
        </w:rPr>
        <w:t xml:space="preserve"> </w:t>
      </w:r>
      <w:r>
        <w:rPr>
          <w:i/>
          <w:iCs/>
          <w:lang w:val="pt-BR"/>
        </w:rPr>
        <w:t xml:space="preserve">endurecimento</w:t>
      </w:r>
      <w:r>
        <w:rPr>
          <w:lang w:val="pt-BR"/>
        </w:rPr>
        <w:t xml:space="preserve"> </w:t>
      </w:r>
      <w:r>
        <w:rPr>
          <w:lang w:val="pt-BR"/>
        </w:rPr>
        <w:t xml:space="preserve">da alegoria europeia e a impossibilidade de endurecimento do corpo africano constituem, juntas, o mecanismo pelo qual o paternalismo jurídico-visual produz a subjetividade colonial como sujeito</w:t>
      </w:r>
      <w:r>
        <w:rPr>
          <w:lang w:val="pt-BR"/>
        </w:rPr>
        <w:t xml:space="preserve"> </w:t>
      </w:r>
      <w:r>
        <w:rPr>
          <w:i/>
          <w:iCs/>
          <w:lang w:val="pt-BR"/>
        </w:rPr>
        <w:t xml:space="preserve">menor</w:t>
      </w:r>
      <w:r>
        <w:rPr>
          <w:lang w:val="pt-BR"/>
        </w:rPr>
        <w:t xml:space="preserve">, permanentemente no estado de incapacidade civil que a alegoria maternal justifica.</w:t>
      </w:r>
    </w:p>
    <w:bookmarkStart w:id="64" w:name="X5b7a303b639e0d84d5343c55ff61ef6fb42243d"/>
    <w:p>
      <w:pPr>
        <w:pStyle w:val="Heading3"/>
      </w:pPr>
      <w:r>
        <w:rPr>
          <w:rStyle w:val="SectionNumber"/>
          <w:lang w:val="pt-BR"/>
        </w:rPr>
        <w:t xml:space="preserve">4.3.1</w:t>
      </w:r>
      <w:r>
        <w:tab/>
      </w:r>
      <w:r>
        <w:rPr>
          <w:lang w:val="pt-BR"/>
        </w:rPr>
        <w:t xml:space="preserve">3.3.1 — A alegoria de Europa no bilhete de 100 francos (BE-CONGO-100F-1912)</w:t>
      </w:r>
    </w:p>
    <w:p>
      <w:pPr>
        <w:pStyle w:val="FirstParagraph"/>
      </w:pPr>
      <w:r>
        <w:rPr>
          <w:lang w:val="pt-BR"/>
        </w:rPr>
        <w:t xml:space="preserve">O bilhete de 100 francos da</w:t>
      </w:r>
      <w:r>
        <w:rPr>
          <w:lang w:val="pt-BR"/>
        </w:rPr>
        <w:t xml:space="preserve"> </w:t>
      </w:r>
      <w:r>
        <w:rPr>
          <w:i/>
          <w:iCs/>
          <w:lang w:val="pt-BR"/>
        </w:rPr>
        <w:t xml:space="preserve">Banque du Congo Belge</w:t>
      </w:r>
      <w:r>
        <w:rPr>
          <w:lang w:val="pt-BR"/>
        </w:rPr>
        <w:t xml:space="preserve"> </w:t>
      </w:r>
      <w:r>
        <w:rPr>
          <w:lang w:val="pt-BR"/>
        </w:rPr>
        <w:t xml:space="preserve">de 1912 (BE-CONGO-100F-1912) apresenta, no centro, a figura feminina de Europa. Ela está sentada, em pose ligeiramente inclinada, voltada para a esquerda, onde se encontra a figura de uma criança negra. Europa segura um cetro ou uma palmeira. A criança, nua ou quase nua, recebe o gesto em posição receptiva. A iconografia remonta à tradição da</w:t>
      </w:r>
      <w:r>
        <w:rPr>
          <w:lang w:val="pt-BR"/>
        </w:rPr>
        <w:t xml:space="preserve"> </w:t>
      </w:r>
      <w:r>
        <w:rPr>
          <w:i/>
          <w:iCs/>
          <w:lang w:val="pt-BR"/>
        </w:rPr>
        <w:t xml:space="preserve">Caritas Romana</w:t>
      </w:r>
      <w:r>
        <w:rPr>
          <w:lang w:val="pt-BR"/>
        </w:rPr>
        <w:t xml:space="preserve"> </w:t>
      </w:r>
      <w:r>
        <w:rPr>
          <w:lang w:val="pt-BR"/>
        </w:rPr>
        <w:t xml:space="preserve">e à iconografia cristã da Madona com o Menino; a inversão é completa. A mãe é europeia, africana. O filho é colonial, divino. A relação é</w:t>
      </w:r>
      <w:r>
        <w:rPr>
          <w:lang w:val="pt-BR"/>
        </w:rPr>
        <w:t xml:space="preserve"> </w:t>
      </w:r>
      <w:r>
        <w:rPr>
          <w:i/>
          <w:iCs/>
          <w:lang w:val="pt-BR"/>
        </w:rPr>
        <w:t xml:space="preserve">tutelar</w:t>
      </w:r>
      <w:r>
        <w:rPr>
          <w:lang w:val="pt-BR"/>
        </w:rPr>
        <w:t xml:space="preserve">, redentora.</w:t>
      </w:r>
    </w:p>
    <w:p>
      <w:pPr>
        <w:pStyle w:val="BodyText"/>
      </w:pPr>
      <w:r>
        <w:rPr>
          <w:lang w:val="pt-BR"/>
        </w:rPr>
        <w:t xml:space="preserve">Huygebaert, ao analisar a iconografia jurídica do colonialismo belga, chama a atenção para a centralidade dessa figura de Europa como dispositivo de legitimação estatal (Huygebaert et al., 2018). O bilhete constitui um documento de circulação obrigatória, um instrumento jurídico que media todas as transações econômicas do Congo Belga. Sua iconografia funciona como verdadeiro</w:t>
      </w:r>
      <w:r>
        <w:rPr>
          <w:lang w:val="pt-BR"/>
        </w:rPr>
        <w:t xml:space="preserve"> </w:t>
      </w:r>
      <w:r>
        <w:rPr>
          <w:i/>
          <w:iCs/>
          <w:lang w:val="pt-BR"/>
        </w:rPr>
        <w:t xml:space="preserve">frontispiece</w:t>
      </w:r>
      <w:r>
        <w:rPr>
          <w:lang w:val="pt-BR"/>
        </w:rPr>
        <w:t xml:space="preserve"> </w:t>
      </w:r>
      <w:r>
        <w:rPr>
          <w:lang w:val="pt-BR"/>
        </w:rPr>
        <w:t xml:space="preserve">do poder colonial —</w:t>
      </w:r>
      <w:r>
        <w:rPr>
          <w:lang w:val="pt-BR"/>
        </w:rPr>
        <w:t xml:space="preserve"> </w:t>
      </w:r>
      <w:r>
        <w:rPr>
          <w:i/>
          <w:iCs/>
          <w:lang w:val="pt-BR"/>
        </w:rPr>
        <w:t xml:space="preserve">fundamentando</w:t>
      </w:r>
      <w:r>
        <w:rPr>
          <w:lang w:val="pt-BR"/>
        </w:rPr>
        <w:t xml:space="preserve"> </w:t>
      </w:r>
      <w:r>
        <w:rPr>
          <w:lang w:val="pt-BR"/>
        </w:rPr>
        <w:t xml:space="preserve">juridicamente a presença belga como missão civilizatória. A Europa alegorizada representa o</w:t>
      </w:r>
      <w:r>
        <w:rPr>
          <w:lang w:val="pt-BR"/>
        </w:rPr>
        <w:t xml:space="preserve"> </w:t>
      </w:r>
      <w:r>
        <w:rPr>
          <w:i/>
          <w:iCs/>
          <w:lang w:val="pt-BR"/>
        </w:rPr>
        <w:t xml:space="preserve">princípio autorizador</w:t>
      </w:r>
      <w:r>
        <w:rPr>
          <w:lang w:val="pt-BR"/>
        </w:rPr>
        <w:t xml:space="preserve"> </w:t>
      </w:r>
      <w:r>
        <w:rPr>
          <w:lang w:val="pt-BR"/>
        </w:rPr>
        <w:t xml:space="preserve">da própria existência do Congo Belga como forma estatal. Sem a figura maternal de Europa, o bilhete seria apenas um promissório comercial; com ela, torna-se um</w:t>
      </w:r>
      <w:r>
        <w:rPr>
          <w:lang w:val="pt-BR"/>
        </w:rPr>
        <w:t xml:space="preserve"> </w:t>
      </w:r>
      <w:r>
        <w:rPr>
          <w:i/>
          <w:iCs/>
          <w:lang w:val="pt-BR"/>
        </w:rPr>
        <w:t xml:space="preserve">manifesto visual de soberania tutelar</w:t>
      </w:r>
      <w:r>
        <w:rPr>
          <w:lang w:val="pt-BR"/>
        </w:rPr>
        <w:t xml:space="preserve">.</w:t>
      </w:r>
    </w:p>
    <w:p>
      <w:pPr>
        <w:pStyle w:val="BodyText"/>
      </w:pPr>
      <w:r>
        <w:rPr>
          <w:lang w:val="pt-BR"/>
        </w:rPr>
        <w:t xml:space="preserve">A</w:t>
      </w:r>
      <w:r>
        <w:rPr>
          <w:lang w:val="pt-BR"/>
        </w:rPr>
        <w:t xml:space="preserve"> </w:t>
      </w:r>
      <w:r>
        <w:rPr>
          <w:i/>
          <w:iCs/>
          <w:lang w:val="pt-BR"/>
        </w:rPr>
        <w:t xml:space="preserve">Feminilidade de Estado</w:t>
      </w:r>
      <w:r>
        <w:rPr>
          <w:lang w:val="pt-BR"/>
        </w:rPr>
        <w:t xml:space="preserve"> </w:t>
      </w:r>
      <w:r>
        <w:rPr>
          <w:lang w:val="pt-BR"/>
        </w:rPr>
        <w:t xml:space="preserve">desloca-se neste registro. No caso brasileiro, a Feminilidade de Estado é uma operação interna: a República</w:t>
      </w:r>
      <w:r>
        <w:rPr>
          <w:lang w:val="pt-BR"/>
        </w:rPr>
        <w:t xml:space="preserve"> </w:t>
      </w:r>
      <w:r>
        <w:rPr>
          <w:i/>
          <w:iCs/>
          <w:lang w:val="pt-BR"/>
        </w:rPr>
        <w:t xml:space="preserve">é</w:t>
      </w:r>
      <w:r>
        <w:rPr>
          <w:lang w:val="pt-BR"/>
        </w:rPr>
        <w:t xml:space="preserve"> </w:t>
      </w:r>
      <w:r>
        <w:rPr>
          <w:lang w:val="pt-BR"/>
        </w:rPr>
        <w:t xml:space="preserve">mulher, e essa mulher-branca-marmórea serve de superfície institucional para o Estado que se funda. No caso belga, a Feminilidade de Estado é</w:t>
      </w:r>
      <w:r>
        <w:rPr>
          <w:lang w:val="pt-BR"/>
        </w:rPr>
        <w:t xml:space="preserve"> </w:t>
      </w:r>
      <w:r>
        <w:rPr>
          <w:i/>
          <w:iCs/>
          <w:lang w:val="pt-BR"/>
        </w:rPr>
        <w:t xml:space="preserve">externa</w:t>
      </w:r>
      <w:r>
        <w:rPr>
          <w:lang w:val="pt-BR"/>
        </w:rPr>
        <w:t xml:space="preserve">: o Estado colonial é representado como</w:t>
      </w:r>
      <w:r>
        <w:rPr>
          <w:lang w:val="pt-BR"/>
        </w:rPr>
        <w:t xml:space="preserve"> </w:t>
      </w:r>
      <w:r>
        <w:rPr>
          <w:i/>
          <w:iCs/>
          <w:lang w:val="pt-BR"/>
        </w:rPr>
        <w:t xml:space="preserve">filho</w:t>
      </w:r>
      <w:r>
        <w:rPr>
          <w:lang w:val="pt-BR"/>
        </w:rPr>
        <w:t xml:space="preserve"> </w:t>
      </w:r>
      <w:r>
        <w:rPr>
          <w:lang w:val="pt-BR"/>
        </w:rPr>
        <w:t xml:space="preserve">que recebe o cuidado materno da metrópole. A mulher alegorizada é a Europa, a colônia. A colônia é representada — na medida em que é representada — como corpo infantilizado, dependente. Essa assimetria é crucial. Ela permite que a operação de</w:t>
      </w:r>
      <w:r>
        <w:rPr>
          <w:lang w:val="pt-BR"/>
        </w:rPr>
        <w:t xml:space="preserve"> </w:t>
      </w:r>
      <w:r>
        <w:rPr>
          <w:i/>
          <w:iCs/>
          <w:lang w:val="pt-BR"/>
        </w:rPr>
        <w:t xml:space="preserve">Purificação Clássica</w:t>
      </w:r>
      <w:r>
        <w:rPr>
          <w:lang w:val="pt-BR"/>
        </w:rPr>
        <w:t xml:space="preserve"> </w:t>
      </w:r>
      <w:r>
        <w:rPr>
          <w:lang w:val="pt-BR"/>
        </w:rPr>
        <w:t xml:space="preserve">se realize em corpo europeu enquanto, simetricamente, o corpo africano seja</w:t>
      </w:r>
      <w:r>
        <w:rPr>
          <w:lang w:val="pt-BR"/>
        </w:rPr>
        <w:t xml:space="preserve"> </w:t>
      </w:r>
      <w:r>
        <w:rPr>
          <w:i/>
          <w:iCs/>
          <w:lang w:val="pt-BR"/>
        </w:rPr>
        <w:t xml:space="preserve">desprovido</w:t>
      </w:r>
      <w:r>
        <w:rPr>
          <w:lang w:val="pt-BR"/>
        </w:rPr>
        <w:t xml:space="preserve"> </w:t>
      </w:r>
      <w:r>
        <w:rPr>
          <w:lang w:val="pt-BR"/>
        </w:rPr>
        <w:t xml:space="preserve">de toda classicização. A criança negra no bilhete tem proporção áurea; tem túnica; tem atributos de Virtude ou de Civitas. Tem, no máximo, uma pele escura e uma postura de súplica. A Purificação Clássica passa, aqui, a funcionar como</w:t>
      </w:r>
      <w:r>
        <w:rPr>
          <w:lang w:val="pt-BR"/>
        </w:rPr>
        <w:t xml:space="preserve"> </w:t>
      </w:r>
      <w:r>
        <w:rPr>
          <w:i/>
          <w:iCs/>
          <w:lang w:val="pt-BR"/>
        </w:rPr>
        <w:t xml:space="preserve">privilégio racial</w:t>
      </w:r>
      <w:r>
        <w:rPr>
          <w:lang w:val="pt-BR"/>
        </w:rPr>
        <w:t xml:space="preserve">: só o corpo branco pode ser extraído da particularidade e elevado à universalidade; o corpo negro permanece imerso na particularidade como prova daquilo de que necessita ser extraído.</w:t>
      </w:r>
    </w:p>
    <w:bookmarkEnd w:id="64"/>
    <w:bookmarkStart w:id="65" w:name="X6c33cce4ce2cc8947928f92ef63dce749566feb"/>
    <w:p>
      <w:pPr>
        <w:pStyle w:val="Heading3"/>
      </w:pPr>
      <w:r>
        <w:rPr>
          <w:rStyle w:val="SectionNumber"/>
          <w:lang w:val="pt-BR"/>
        </w:rPr>
        <w:t xml:space="preserve">4.3.2</w:t>
      </w:r>
      <w:r>
        <w:tab/>
      </w:r>
      <w:r>
        <w:rPr>
          <w:lang w:val="pt-BR"/>
        </w:rPr>
        <w:t xml:space="preserve">3.3.2 — O Monument aux Pionniers Belges au Congo (BE-CONGO-MON-1921) e a transição para a monumentalidade</w:t>
      </w:r>
    </w:p>
    <w:p>
      <w:pPr>
        <w:pStyle w:val="FirstParagraph"/>
      </w:pPr>
      <w:r>
        <w:rPr>
          <w:lang w:val="pt-BR"/>
        </w:rPr>
        <w:t xml:space="preserve">Se o bilhete de 1912 opera no registro íntimo, táctil e circulante da moeda, o Monument aux Pionniers Belges au Congo, inaugurado em Bruxelas em 1921 (BE-CONGO-MON-1921), opera no registro oposto: a pedra, a fixidez, a monumentalidade cívica. A transição de papel para pedra marca o momento em que a operação iconocrática colonial abandona a intimidade da circulação monetária para instalar-se no espaço público metropolitano como</w:t>
      </w:r>
      <w:r>
        <w:rPr>
          <w:lang w:val="pt-BR"/>
        </w:rPr>
        <w:t xml:space="preserve"> </w:t>
      </w:r>
      <w:r>
        <w:rPr>
          <w:i/>
          <w:iCs/>
          <w:lang w:val="pt-BR"/>
        </w:rPr>
        <w:t xml:space="preserve">memória oficial</w:t>
      </w:r>
      <w:r>
        <w:rPr>
          <w:lang w:val="pt-BR"/>
        </w:rPr>
        <w:t xml:space="preserve">.</w:t>
      </w:r>
    </w:p>
    <w:p>
      <w:pPr>
        <w:pStyle w:val="BodyText"/>
      </w:pPr>
      <w:r>
        <w:rPr>
          <w:lang w:val="pt-BR"/>
        </w:rPr>
        <w:t xml:space="preserve">O monumento elege como figura central, novamente, a alegoria europeia — mas uma alegoria que já passou por um processo de</w:t>
      </w:r>
      <w:r>
        <w:rPr>
          <w:lang w:val="pt-BR"/>
        </w:rPr>
        <w:t xml:space="preserve"> </w:t>
      </w:r>
      <w:r>
        <w:rPr>
          <w:i/>
          <w:iCs/>
          <w:lang w:val="pt-BR"/>
        </w:rPr>
        <w:t xml:space="preserve">endurecimento</w:t>
      </w:r>
      <w:r>
        <w:rPr>
          <w:lang w:val="pt-BR"/>
        </w:rPr>
        <w:t xml:space="preserve"> </w:t>
      </w:r>
      <w:r>
        <w:rPr>
          <w:lang w:val="pt-BR"/>
        </w:rPr>
        <w:t xml:space="preserve">mais avançado que o do bilhete de 1912. A figura central é uma mulher de mármore (ou bronze patinado), de pé, envolta em draperia clássica, segurando uma tocha ou um facho de luz. Seus traços são genéricos, não identificáveis com nenhuma mulher particular. A pose é axial e frontal. A paleta, no caso do bronze, é monocromática pelo próprio material; nas representações fotográficas ou litográficas, reduz-se a branco, dourado e cinza. Os indicadores de endurecimento são máximos: desincorporação 3/3, rigidez postural 3/3, uniformização facial 3/3, monocromatização 3/3. Trata-se de uma alegoria que já completou seu processo de Purificação Clássica — funcionando como</w:t>
      </w:r>
      <w:r>
        <w:rPr>
          <w:lang w:val="pt-BR"/>
        </w:rPr>
        <w:t xml:space="preserve"> </w:t>
      </w:r>
      <w:r>
        <w:rPr>
          <w:i/>
          <w:iCs/>
          <w:lang w:val="pt-BR"/>
        </w:rPr>
        <w:t xml:space="preserve">Europa civilizadora</w:t>
      </w:r>
      <w:r>
        <w:rPr>
          <w:lang w:val="pt-BR"/>
        </w:rPr>
        <w:t xml:space="preserve">.</w:t>
      </w:r>
    </w:p>
    <w:p>
      <w:pPr>
        <w:pStyle w:val="BodyText"/>
      </w:pPr>
      <w:r>
        <w:rPr>
          <w:lang w:val="pt-BR"/>
        </w:rPr>
        <w:t xml:space="preserve">O que a monumentalização acrescenta à operação do bilhete é a</w:t>
      </w:r>
      <w:r>
        <w:rPr>
          <w:lang w:val="pt-BR"/>
        </w:rPr>
        <w:t xml:space="preserve"> </w:t>
      </w:r>
      <w:r>
        <w:rPr>
          <w:i/>
          <w:iCs/>
          <w:lang w:val="pt-BR"/>
        </w:rPr>
        <w:t xml:space="preserve">fixação espacial</w:t>
      </w:r>
      <w:r>
        <w:rPr>
          <w:lang w:val="pt-BR"/>
        </w:rPr>
        <w:t xml:space="preserve">. No bilhete, a relação tutelar é reiterada a cada transação comercial; o corpo da Europa é visto e tocado em gestos cotidianos. No monumento, a relação tutelar é congelada no espaço público da metrópole: a Europa ergue-se, imóvel, sobre um pedestal que a separa do solo, enquanto eventuais figuras de indígenas ou colonizados — quando presentes — ocupam registros inferiores ou laterais, nunca o eixo de simetria. A Feminilidade de Estado, uma vez endurecida na pedra, torna-se irreversível. A pedra resolve, de uma vez, o problema da textura: há tecido que se mova, pele que enrugue, sombra que altere a leitura. A alegoria é dada como</w:t>
      </w:r>
      <w:r>
        <w:rPr>
          <w:lang w:val="pt-BR"/>
        </w:rPr>
        <w:t xml:space="preserve"> </w:t>
      </w:r>
      <w:r>
        <w:rPr>
          <w:i/>
          <w:iCs/>
          <w:lang w:val="pt-BR"/>
        </w:rPr>
        <w:t xml:space="preserve">acabada</w:t>
      </w:r>
      <w:r>
        <w:rPr>
          <w:lang w:val="pt-BR"/>
        </w:rPr>
        <w:t xml:space="preserve">.</w:t>
      </w:r>
    </w:p>
    <w:p>
      <w:pPr>
        <w:pStyle w:val="BodyText"/>
      </w:pPr>
      <w:r>
        <w:rPr>
          <w:lang w:val="pt-BR"/>
        </w:rPr>
        <w:t xml:space="preserve">Huygebaert (2018) observa que a monumentalização constitui, nas tradições jurídico-visuais europeias, uma verdadeira</w:t>
      </w:r>
      <w:r>
        <w:rPr>
          <w:lang w:val="pt-BR"/>
        </w:rPr>
        <w:t xml:space="preserve"> </w:t>
      </w:r>
      <w:r>
        <w:rPr>
          <w:lang w:val="pt-BR"/>
        </w:rPr>
        <w:t xml:space="preserve">“liturgia do direito colonial”</w:t>
      </w:r>
      <w:r>
        <w:rPr>
          <w:lang w:val="pt-BR"/>
        </w:rPr>
        <w:t xml:space="preserve">: o monumento</w:t>
      </w:r>
      <w:r>
        <w:rPr>
          <w:lang w:val="pt-BR"/>
        </w:rPr>
        <w:t xml:space="preserve"> </w:t>
      </w:r>
      <w:r>
        <w:rPr>
          <w:i/>
          <w:iCs/>
          <w:lang w:val="pt-BR"/>
        </w:rPr>
        <w:t xml:space="preserve">institui</w:t>
      </w:r>
      <w:r>
        <w:rPr>
          <w:lang w:val="pt-BR"/>
        </w:rPr>
        <w:t xml:space="preserve"> </w:t>
      </w:r>
      <w:r>
        <w:rPr>
          <w:lang w:val="pt-BR"/>
        </w:rPr>
        <w:t xml:space="preserve">uma versão do passado que justifica o presente jurídico da soberania. O monumento aos pioneiros é uma</w:t>
      </w:r>
      <w:r>
        <w:rPr>
          <w:lang w:val="pt-BR"/>
        </w:rPr>
        <w:t xml:space="preserve"> </w:t>
      </w:r>
      <w:r>
        <w:rPr>
          <w:i/>
          <w:iCs/>
          <w:lang w:val="pt-BR"/>
        </w:rPr>
        <w:t xml:space="preserve">sentença visual</w:t>
      </w:r>
      <w:r>
        <w:rPr>
          <w:lang w:val="pt-BR"/>
        </w:rPr>
        <w:t xml:space="preserve">. Sua sentença: a presença belga no Congo foi uma missão civilizatória, maternal, benigna — e legítima em sua preempção do espaço colonial.</w:t>
      </w:r>
    </w:p>
    <w:bookmarkEnd w:id="65"/>
    <w:bookmarkStart w:id="66" w:name="X9912b0ad9544d7d2f226267c6cddd9eb3850b36"/>
    <w:p>
      <w:pPr>
        <w:pStyle w:val="Heading3"/>
      </w:pPr>
      <w:r>
        <w:rPr>
          <w:rStyle w:val="SectionNumber"/>
          <w:lang w:val="pt-BR"/>
        </w:rPr>
        <w:t xml:space="preserve">4.3.3</w:t>
      </w:r>
      <w:r>
        <w:tab/>
      </w:r>
      <w:r>
        <w:rPr>
          <w:lang w:val="pt-BR"/>
        </w:rPr>
        <w:t xml:space="preserve">3.3.3 — A impossibilidade da alegoria africana: raça e não-allegorização</w:t>
      </w:r>
    </w:p>
    <w:p>
      <w:pPr>
        <w:pStyle w:val="FirstParagraph"/>
      </w:pPr>
      <w:r>
        <w:rPr>
          <w:lang w:val="pt-BR"/>
        </w:rPr>
        <w:t xml:space="preserve">A tese que este § avança é que o</w:t>
      </w:r>
      <w:r>
        <w:rPr>
          <w:lang w:val="pt-BR"/>
        </w:rPr>
        <w:t xml:space="preserve"> </w:t>
      </w:r>
      <w:r>
        <w:rPr>
          <w:i/>
          <w:iCs/>
          <w:lang w:val="pt-BR"/>
        </w:rPr>
        <w:t xml:space="preserve">Contrato Racial Visual</w:t>
      </w:r>
      <w:r>
        <w:rPr>
          <w:lang w:val="pt-BR"/>
        </w:rPr>
        <w:t xml:space="preserve"> </w:t>
      </w:r>
      <w:r>
        <w:rPr>
          <w:lang w:val="pt-BR"/>
        </w:rPr>
        <w:t xml:space="preserve">constitui um dispositivo com pelo menos duas modalidades estruturais. A primeira, ilustrada pelo caso brasileiro, é a</w:t>
      </w:r>
      <w:r>
        <w:rPr>
          <w:lang w:val="pt-BR"/>
        </w:rPr>
        <w:t xml:space="preserve"> </w:t>
      </w:r>
      <w:r>
        <w:rPr>
          <w:i/>
          <w:iCs/>
          <w:lang w:val="pt-BR"/>
        </w:rPr>
        <w:t xml:space="preserve">universalização branqueada</w:t>
      </w:r>
      <w:r>
        <w:rPr>
          <w:lang w:val="pt-BR"/>
        </w:rPr>
        <w:t xml:space="preserve">: o corpo negro é excluído da representação, e a branquitude é posta como condição de universalidade. A segunda, ilustrada pelo caso belga, é a</w:t>
      </w:r>
      <w:r>
        <w:rPr>
          <w:lang w:val="pt-BR"/>
        </w:rPr>
        <w:t xml:space="preserve"> </w:t>
      </w:r>
      <w:r>
        <w:rPr>
          <w:i/>
          <w:iCs/>
          <w:lang w:val="pt-BR"/>
        </w:rPr>
        <w:t xml:space="preserve">autorização paternalística</w:t>
      </w:r>
      <w:r>
        <w:rPr>
          <w:lang w:val="pt-BR"/>
        </w:rPr>
        <w:t xml:space="preserve">: o corpo negro é incluído na representação, mas apenas na condição de permanecer</w:t>
      </w:r>
      <w:r>
        <w:rPr>
          <w:lang w:val="pt-BR"/>
        </w:rPr>
        <w:t xml:space="preserve"> </w:t>
      </w:r>
      <w:r>
        <w:rPr>
          <w:i/>
          <w:iCs/>
          <w:lang w:val="pt-BR"/>
        </w:rPr>
        <w:t xml:space="preserve">alegorizado</w:t>
      </w:r>
      <w:r>
        <w:rPr>
          <w:lang w:val="pt-BR"/>
        </w:rPr>
        <w:t xml:space="preserve">. A inclusão visual do negro, no regime colonial belga, reafirma a diferença que justifica a tutela.</w:t>
      </w:r>
    </w:p>
    <w:p>
      <w:pPr>
        <w:pStyle w:val="BodyText"/>
      </w:pPr>
      <w:r>
        <w:rPr>
          <w:lang w:val="pt-BR"/>
        </w:rPr>
        <w:t xml:space="preserve">Isso explica uma assimetria aparentemente paradoxal: o caso colonial belga contém</w:t>
      </w:r>
      <w:r>
        <w:rPr>
          <w:lang w:val="pt-BR"/>
        </w:rPr>
        <w:t xml:space="preserve"> </w:t>
      </w:r>
      <w:r>
        <w:rPr>
          <w:i/>
          <w:iCs/>
          <w:lang w:val="pt-BR"/>
        </w:rPr>
        <w:t xml:space="preserve">mais</w:t>
      </w:r>
      <w:r>
        <w:rPr>
          <w:lang w:val="pt-BR"/>
        </w:rPr>
        <w:t xml:space="preserve"> </w:t>
      </w:r>
      <w:r>
        <w:rPr>
          <w:lang w:val="pt-BR"/>
        </w:rPr>
        <w:t xml:space="preserve">corpos negros em sua iconografia oficial do que o caso brasileiro da Primeira República. Essa maior presença indica um</w:t>
      </w:r>
      <w:r>
        <w:rPr>
          <w:lang w:val="pt-BR"/>
        </w:rPr>
        <w:t xml:space="preserve"> </w:t>
      </w:r>
      <w:r>
        <w:rPr>
          <w:i/>
          <w:iCs/>
          <w:lang w:val="pt-BR"/>
        </w:rPr>
        <w:t xml:space="preserve">racismo de outra estrutura</w:t>
      </w:r>
      <w:r>
        <w:rPr>
          <w:lang w:val="pt-BR"/>
        </w:rPr>
        <w:t xml:space="preserve">. No Brasil, o racismo da alegoria opera pelo</w:t>
      </w:r>
      <w:r>
        <w:rPr>
          <w:lang w:val="pt-BR"/>
        </w:rPr>
        <w:t xml:space="preserve"> </w:t>
      </w:r>
      <w:r>
        <w:rPr>
          <w:i/>
          <w:iCs/>
          <w:lang w:val="pt-BR"/>
        </w:rPr>
        <w:t xml:space="preserve">apagamento</w:t>
      </w:r>
      <w:r>
        <w:rPr>
          <w:lang w:val="pt-BR"/>
        </w:rPr>
        <w:t xml:space="preserve">: a República é branca, o negro existe como sujeito de direito. Na Bélgica colonial, o racismo da alegoria opera pela</w:t>
      </w:r>
      <w:r>
        <w:rPr>
          <w:lang w:val="pt-BR"/>
        </w:rPr>
        <w:t xml:space="preserve"> </w:t>
      </w:r>
      <w:r>
        <w:rPr>
          <w:i/>
          <w:iCs/>
          <w:lang w:val="pt-BR"/>
        </w:rPr>
        <w:t xml:space="preserve">subordinação visível</w:t>
      </w:r>
      <w:r>
        <w:rPr>
          <w:lang w:val="pt-BR"/>
        </w:rPr>
        <w:t xml:space="preserve">: o negro existe como criança, como selvagem, como corpo-em-falta-de-cuidado. A alegoria europeia maternaliza a dominação; a não-allegorização do africano naturaliza a diferença como ontologicamente estável.</w:t>
      </w:r>
    </w:p>
    <w:p>
      <w:pPr>
        <w:pStyle w:val="BodyText"/>
      </w:pPr>
      <w:r>
        <w:rPr>
          <w:lang w:val="pt-BR"/>
        </w:rPr>
        <w:t xml:space="preserve">Em termos do modelo de</w:t>
      </w:r>
      <w:r>
        <w:rPr>
          <w:lang w:val="pt-BR"/>
        </w:rPr>
        <w:t xml:space="preserve"> </w:t>
      </w:r>
      <w:r>
        <w:rPr>
          <w:i/>
          <w:iCs/>
          <w:lang w:val="pt-BR"/>
        </w:rPr>
        <w:t xml:space="preserve">endurecimento</w:t>
      </w:r>
      <w:r>
        <w:rPr>
          <w:lang w:val="pt-BR"/>
        </w:rPr>
        <w:t xml:space="preserve">, essa assimetria pode ser formalizada. O corpo europeu no bilhete de 1912 já apresenta endurecimento elevado; no monumento de 1921, atinge patamar quase máximo. O corpo africano, por sua vez, apresenta endurecimento zero: há Purificação Clássica aplicada a ele, porque há intenção de convertê-lo em figura universal. Ao contrário, a intenção é mantê-lo em estado de</w:t>
      </w:r>
      <w:r>
        <w:rPr>
          <w:lang w:val="pt-BR"/>
        </w:rPr>
        <w:t xml:space="preserve"> </w:t>
      </w:r>
      <w:r>
        <w:rPr>
          <w:i/>
          <w:iCs/>
          <w:lang w:val="pt-BR"/>
        </w:rPr>
        <w:t xml:space="preserve">corpo real</w:t>
      </w:r>
      <w:r>
        <w:rPr>
          <w:lang w:val="pt-BR"/>
        </w:rPr>
        <w:t xml:space="preserve">, de modo que sua realidade corpórea funcione como prova empírica da necessidade civilizatória. O corpo negro, no Contrato Racial Visual de tipo paternalístico, constitui um</w:t>
      </w:r>
      <w:r>
        <w:rPr>
          <w:lang w:val="pt-BR"/>
        </w:rPr>
        <w:t xml:space="preserve"> </w:t>
      </w:r>
      <w:r>
        <w:rPr>
          <w:i/>
          <w:iCs/>
          <w:lang w:val="pt-BR"/>
        </w:rPr>
        <w:t xml:space="preserve">resíduo intencional</w:t>
      </w:r>
      <w:r>
        <w:rPr>
          <w:lang w:val="pt-BR"/>
        </w:rPr>
        <w:t xml:space="preserve">: um corpo que permanece impuro porque sua impureza é funcional ao sistema.</w:t>
      </w:r>
    </w:p>
    <w:bookmarkEnd w:id="66"/>
    <w:bookmarkStart w:id="67" w:name="X7aa5c9006c85fe0ad3efba972f89f480e1ea0e7"/>
    <w:p>
      <w:pPr>
        <w:pStyle w:val="Heading3"/>
      </w:pPr>
      <w:r>
        <w:rPr>
          <w:rStyle w:val="SectionNumber"/>
          <w:lang w:val="pt-BR"/>
        </w:rPr>
        <w:t xml:space="preserve">4.3.4</w:t>
      </w:r>
      <w:r>
        <w:tab/>
      </w:r>
      <w:r>
        <w:rPr>
          <w:lang w:val="pt-BR"/>
        </w:rPr>
        <w:t xml:space="preserve">3.3.4 — Do paternalismo visual ao direito colonial: uma leitura jurídica</w:t>
      </w:r>
    </w:p>
    <w:p>
      <w:pPr>
        <w:pStyle w:val="FirstParagraph"/>
      </w:pPr>
      <w:r>
        <w:rPr>
          <w:lang w:val="pt-BR"/>
        </w:rPr>
        <w:t xml:space="preserve">O argumento final vincula a operação iconográfica à operação jurídica propriamente dita. A colonização do Congo pelo rei Leopoldo II — e, posteriormente, pelo Estado belga — foi sempre acompanhada por uma intensa produção normativa. Os tratados com chefes locais, os regulamentos das empresas concessionárias, os decretos do Estado Livre do Congo e, posteriormente, a Carta Colonial construíram um arcabouço jurídico que definia o congolês como menor legal —</w:t>
      </w:r>
      <w:r>
        <w:rPr>
          <w:lang w:val="pt-BR"/>
        </w:rPr>
        <w:t xml:space="preserve"> </w:t>
      </w:r>
      <w:r>
        <w:rPr>
          <w:i/>
          <w:iCs/>
          <w:lang w:val="pt-BR"/>
        </w:rPr>
        <w:t xml:space="preserve">incapaz</w:t>
      </w:r>
      <w:r>
        <w:rPr>
          <w:lang w:val="pt-BR"/>
        </w:rPr>
        <w:t xml:space="preserve"> </w:t>
      </w:r>
      <w:r>
        <w:rPr>
          <w:lang w:val="pt-BR"/>
        </w:rPr>
        <w:t xml:space="preserve">de plena personalidade jurídica. O aparato visual</w:t>
      </w:r>
      <w:r>
        <w:rPr>
          <w:lang w:val="pt-BR"/>
        </w:rPr>
        <w:t xml:space="preserve"> </w:t>
      </w:r>
      <w:r>
        <w:rPr>
          <w:i/>
          <w:iCs/>
          <w:lang w:val="pt-BR"/>
        </w:rPr>
        <w:t xml:space="preserve">precedeu</w:t>
      </w:r>
      <w:r>
        <w:rPr>
          <w:lang w:val="pt-BR"/>
        </w:rPr>
        <w:t xml:space="preserve"> </w:t>
      </w:r>
      <w:r>
        <w:rPr>
          <w:lang w:val="pt-BR"/>
        </w:rPr>
        <w:t xml:space="preserve">e</w:t>
      </w:r>
      <w:r>
        <w:rPr>
          <w:lang w:val="pt-BR"/>
        </w:rPr>
        <w:t xml:space="preserve"> </w:t>
      </w:r>
      <w:r>
        <w:rPr>
          <w:i/>
          <w:iCs/>
          <w:lang w:val="pt-BR"/>
        </w:rPr>
        <w:t xml:space="preserve">autorizou</w:t>
      </w:r>
      <w:r>
        <w:rPr>
          <w:lang w:val="pt-BR"/>
        </w:rPr>
        <w:t xml:space="preserve"> </w:t>
      </w:r>
      <w:r>
        <w:rPr>
          <w:lang w:val="pt-BR"/>
        </w:rPr>
        <w:t xml:space="preserve">essa moldura, e meramente a ilustrou.</w:t>
      </w:r>
    </w:p>
    <w:p>
      <w:pPr>
        <w:pStyle w:val="BodyText"/>
      </w:pPr>
      <w:r>
        <w:rPr>
          <w:lang w:val="pt-BR"/>
        </w:rPr>
        <w:t xml:space="preserve">A imagem de Europa amamentando ou conduzindo a criança africana funciona como uma verdadeira</w:t>
      </w:r>
      <w:r>
        <w:rPr>
          <w:lang w:val="pt-BR"/>
        </w:rPr>
        <w:t xml:space="preserve"> </w:t>
      </w:r>
      <w:r>
        <w:rPr>
          <w:i/>
          <w:iCs/>
          <w:lang w:val="pt-BR"/>
        </w:rPr>
        <w:t xml:space="preserve">pré-fundação jurídica</w:t>
      </w:r>
      <w:r>
        <w:rPr>
          <w:lang w:val="pt-BR"/>
        </w:rPr>
        <w:t xml:space="preserve">. Antes que o decreto colonial declare a menoridade do indígena, o bilhete de banco já o mostra como menor. Antes que a lei institua a tutela administrativa, o monumento já a justifica como gesto maternal. A visualidade constitui a</w:t>
      </w:r>
      <w:r>
        <w:rPr>
          <w:lang w:val="pt-BR"/>
        </w:rPr>
        <w:t xml:space="preserve"> </w:t>
      </w:r>
      <w:r>
        <w:rPr>
          <w:i/>
          <w:iCs/>
          <w:lang w:val="pt-BR"/>
        </w:rPr>
        <w:t xml:space="preserve">condição de imaginabilidade</w:t>
      </w:r>
      <w:r>
        <w:rPr>
          <w:lang w:val="pt-BR"/>
        </w:rPr>
        <w:t xml:space="preserve"> </w:t>
      </w:r>
      <w:r>
        <w:rPr>
          <w:lang w:val="pt-BR"/>
        </w:rPr>
        <w:t xml:space="preserve">do direito colonial. Sem a figura de Europa como mãe, a tutela jurídica colonial teria um corpo sobre o qual se apoiar. O paternalismo jurídico — que, como mostrou Pateman (1988) em outro registro, sempre repousa sobre a posse do corpo do outro — encontra no caso belga sua forma visual mais transparente.</w:t>
      </w:r>
    </w:p>
    <w:p>
      <w:pPr>
        <w:pStyle w:val="BodyText"/>
      </w:pPr>
      <w:r>
        <w:rPr>
          <w:lang w:val="pt-BR"/>
        </w:rPr>
        <w:t xml:space="preserve">Nesse sentido, a</w:t>
      </w:r>
      <w:r>
        <w:rPr>
          <w:lang w:val="pt-BR"/>
        </w:rPr>
        <w:t xml:space="preserve"> </w:t>
      </w:r>
      <w:r>
        <w:rPr>
          <w:i/>
          <w:iCs/>
          <w:lang w:val="pt-BR"/>
        </w:rPr>
        <w:t xml:space="preserve">Feminilidade de Estado</w:t>
      </w:r>
      <w:r>
        <w:rPr>
          <w:lang w:val="pt-BR"/>
        </w:rPr>
        <w:t xml:space="preserve"> </w:t>
      </w:r>
      <w:r>
        <w:rPr>
          <w:lang w:val="pt-BR"/>
        </w:rPr>
        <w:t xml:space="preserve">colonial belga é uma</w:t>
      </w:r>
      <w:r>
        <w:rPr>
          <w:lang w:val="pt-BR"/>
        </w:rPr>
        <w:t xml:space="preserve"> </w:t>
      </w:r>
      <w:r>
        <w:rPr>
          <w:i/>
          <w:iCs/>
          <w:lang w:val="pt-BR"/>
        </w:rPr>
        <w:t xml:space="preserve">intensificação</w:t>
      </w:r>
      <w:r>
        <w:rPr>
          <w:lang w:val="pt-BR"/>
        </w:rPr>
        <w:t xml:space="preserve"> </w:t>
      </w:r>
      <w:r>
        <w:rPr>
          <w:lang w:val="pt-BR"/>
        </w:rPr>
        <w:t xml:space="preserve">dessa feminilidade, projetada sobre o corpo da metrópole e convertida em instrumento de dominação sobre o corpo colonial. A mulher alegórica que, em Paris, representa a República, e que, no Rio de Janeiro, representa a República, em Bruxelas representa a</w:t>
      </w:r>
      <w:r>
        <w:rPr>
          <w:lang w:val="pt-BR"/>
        </w:rPr>
        <w:t xml:space="preserve"> </w:t>
      </w:r>
      <w:r>
        <w:rPr>
          <w:i/>
          <w:iCs/>
          <w:lang w:val="pt-BR"/>
        </w:rPr>
        <w:t xml:space="preserve">missão civilizatória</w:t>
      </w:r>
      <w:r>
        <w:rPr>
          <w:lang w:val="pt-BR"/>
        </w:rPr>
        <w:t xml:space="preserve"> </w:t>
      </w:r>
      <w:r>
        <w:rPr>
          <w:lang w:val="pt-BR"/>
        </w:rPr>
        <w:t xml:space="preserve">— função mais radical: dar rosto ao</w:t>
      </w:r>
      <w:r>
        <w:rPr>
          <w:lang w:val="pt-BR"/>
        </w:rPr>
        <w:t xml:space="preserve"> </w:t>
      </w:r>
      <w:r>
        <w:rPr>
          <w:i/>
          <w:iCs/>
          <w:lang w:val="pt-BR"/>
        </w:rPr>
        <w:t xml:space="preserve">princípio de legitimação</w:t>
      </w:r>
      <w:r>
        <w:rPr>
          <w:lang w:val="pt-BR"/>
        </w:rPr>
        <w:t xml:space="preserve"> </w:t>
      </w:r>
      <w:r>
        <w:rPr>
          <w:lang w:val="pt-BR"/>
        </w:rPr>
        <w:t xml:space="preserve">daquele Estado sobre um território onde ele nasceu.</w:t>
      </w:r>
    </w:p>
    <w:p>
      <w:pPr>
        <w:pStyle w:val="BodyText"/>
      </w:pPr>
      <w:r>
        <w:rPr>
          <w:lang w:val="pt-BR"/>
        </w:rPr>
        <w:t xml:space="preserve">A</w:t>
      </w:r>
      <w:r>
        <w:rPr>
          <w:lang w:val="pt-BR"/>
        </w:rPr>
        <w:t xml:space="preserve"> </w:t>
      </w:r>
      <w:r>
        <w:rPr>
          <w:i/>
          <w:iCs/>
          <w:lang w:val="pt-BR"/>
        </w:rPr>
        <w:t xml:space="preserve">Nachleben</w:t>
      </w:r>
      <w:r>
        <w:rPr>
          <w:lang w:val="pt-BR"/>
        </w:rPr>
        <w:t xml:space="preserve"> </w:t>
      </w:r>
      <w:r>
        <w:rPr>
          <w:lang w:val="pt-BR"/>
        </w:rPr>
        <w:t xml:space="preserve">dessa forma é extensa. A figura de Europa como mãe tutelar recrudesce ao longo do século XX em iconografias desenvolvimentistas, assistencialistas e, mais recentemente, humanitárias — desde as campanhas da UNICEF até a publicidade de ONGs internacionais, onde a figura branca feminina continuamente</w:t>
      </w:r>
      <w:r>
        <w:rPr>
          <w:lang w:val="pt-BR"/>
        </w:rPr>
        <w:t xml:space="preserve"> </w:t>
      </w:r>
      <w:r>
        <w:rPr>
          <w:lang w:val="pt-BR"/>
        </w:rPr>
        <w:t xml:space="preserve">“salva”</w:t>
      </w:r>
      <w:r>
        <w:rPr>
          <w:lang w:val="pt-BR"/>
        </w:rPr>
        <w:t xml:space="preserve"> </w:t>
      </w:r>
      <w:r>
        <w:rPr>
          <w:lang w:val="pt-BR"/>
        </w:rPr>
        <w:t xml:space="preserve">o corpo africano. O que o caso belga revela, e que Huygebaert ajuda a articular, é que essa iconografia constitui uma das mais duráveis tecnologias de governo do colonialismo, e um resíduo seu.</w:t>
      </w:r>
    </w:p>
    <w:p>
      <w:pPr>
        <w:pStyle w:val="BlockText"/>
      </w:pPr>
      <w:r>
        <w:rPr>
          <w:b/>
          <w:bCs/>
          <w:lang w:val="pt-BR"/>
        </w:rPr>
        <w:t xml:space="preserve">Citações pendentes de inserção (§3.3):</w:t>
      </w:r>
      <w:r>
        <w:rPr>
          <w:lang w:val="pt-BR"/>
        </w:rPr>
        <w:t xml:space="preserve"> </w:t>
      </w:r>
      <w:r>
        <w:rPr>
          <w:lang w:val="pt-BR"/>
        </w:rPr>
        <w:t xml:space="preserve">- Huygebaert, Stefan et al. (eds.). 2018.</w:t>
      </w:r>
      <w:r>
        <w:rPr>
          <w:lang w:val="pt-BR"/>
        </w:rPr>
        <w:t xml:space="preserve"> </w:t>
      </w:r>
      <w:r>
        <w:rPr>
          <w:i/>
          <w:iCs/>
          <w:lang w:val="pt-BR"/>
        </w:rPr>
        <w:t xml:space="preserve">The Art of Law: Artistic Representations and Iconography of Law and Justice in Context, from the Middle Ages to the First World War</w:t>
      </w:r>
      <w:r>
        <w:rPr>
          <w:lang w:val="pt-BR"/>
        </w:rPr>
        <w:t xml:space="preserve">. Cham: Springer International.</w:t>
      </w:r>
      <w:r>
        <w:rPr>
          <w:lang w:val="pt-BR"/>
        </w:rPr>
        <w:t xml:space="preserve"> </w:t>
      </w:r>
      <w:r>
        <w:rPr>
          <w:lang w:val="pt-BR"/>
        </w:rPr>
        <w:t xml:space="preserve">- Huygebaert, Stefan, et al. (eds.). 2016.</w:t>
      </w:r>
      <w:r>
        <w:rPr>
          <w:lang w:val="pt-BR"/>
        </w:rPr>
        <w:t xml:space="preserve"> </w:t>
      </w:r>
      <w:r>
        <w:rPr>
          <w:i/>
          <w:iCs/>
          <w:lang w:val="pt-BR"/>
        </w:rPr>
        <w:t xml:space="preserve">Sire, ik ben onschuldig: een verkennende biografie van de iconografie van recht en gerechtigheid</w:t>
      </w:r>
      <w:r>
        <w:rPr>
          <w:lang w:val="pt-BR"/>
        </w:rPr>
        <w:t xml:space="preserve">. Tielt: Lannoo.</w:t>
      </w:r>
      <w:r>
        <w:rPr>
          <w:lang w:val="pt-BR"/>
        </w:rPr>
        <w:t xml:space="preserve"> </w:t>
      </w:r>
      <w:r>
        <w:rPr>
          <w:lang w:val="pt-BR"/>
        </w:rPr>
        <w:t xml:space="preserve">-</w:t>
      </w:r>
      <w:r>
        <w:rPr>
          <w:lang w:val="pt-BR"/>
        </w:rPr>
        <w:t xml:space="preserve"> </w:t>
      </w:r>
      <w:r>
        <w:rPr>
          <w:i/>
          <w:iCs/>
          <w:lang w:val="pt-BR"/>
        </w:rPr>
        <w:t xml:space="preserve">Banque du Congo Belge</w:t>
      </w:r>
      <w:r>
        <w:rPr>
          <w:lang w:val="pt-BR"/>
        </w:rPr>
        <w:t xml:space="preserve">. 100 Francs banknote, 1912. BE-CONGO-100F-1912, corpus ICONOCRACY.</w:t>
      </w:r>
      <w:r>
        <w:rPr>
          <w:lang w:val="pt-BR"/>
        </w:rPr>
        <w:t xml:space="preserve"> </w:t>
      </w:r>
      <w:r>
        <w:rPr>
          <w:lang w:val="pt-BR"/>
        </w:rPr>
        <w:t xml:space="preserve">-</w:t>
      </w:r>
      <w:r>
        <w:rPr>
          <w:lang w:val="pt-BR"/>
        </w:rPr>
        <w:t xml:space="preserve"> </w:t>
      </w:r>
      <w:r>
        <w:rPr>
          <w:i/>
          <w:iCs/>
          <w:lang w:val="pt-BR"/>
        </w:rPr>
        <w:t xml:space="preserve">Monument aux Pionniers Belges au Congo</w:t>
      </w:r>
      <w:r>
        <w:rPr>
          <w:lang w:val="pt-BR"/>
        </w:rPr>
        <w:t xml:space="preserve">, 1921. Bruxelas. BE-CONGO-MON-1921, corpus ICONOCRACY.</w:t>
      </w:r>
      <w:r>
        <w:rPr>
          <w:lang w:val="pt-BR"/>
        </w:rPr>
        <w:t xml:space="preserve"> </w:t>
      </w:r>
      <w:r>
        <w:rPr>
          <w:lang w:val="pt-BR"/>
        </w:rPr>
        <w:t xml:space="preserve">- Pateman, Carole. 1988.</w:t>
      </w:r>
      <w:r>
        <w:rPr>
          <w:lang w:val="pt-BR"/>
        </w:rPr>
        <w:t xml:space="preserve"> </w:t>
      </w:r>
      <w:r>
        <w:rPr>
          <w:i/>
          <w:iCs/>
          <w:lang w:val="pt-BR"/>
        </w:rPr>
        <w:t xml:space="preserve">The Sexual Contract</w:t>
      </w:r>
      <w:r>
        <w:rPr>
          <w:lang w:val="pt-BR"/>
        </w:rPr>
        <w:t xml:space="preserve">. Stanford, CA: Stanford University Press.</w:t>
      </w:r>
      <w:r>
        <w:rPr>
          <w:lang w:val="pt-BR"/>
        </w:rPr>
        <w:t xml:space="preserve"> </w:t>
      </w:r>
      <w:r>
        <w:rPr>
          <w:lang w:val="pt-BR"/>
        </w:rPr>
        <w:t xml:space="preserve">- Mondzain, Marie-José. 2002.</w:t>
      </w:r>
      <w:r>
        <w:rPr>
          <w:lang w:val="pt-BR"/>
        </w:rPr>
        <w:t xml:space="preserve"> </w:t>
      </w:r>
      <w:r>
        <w:rPr>
          <w:i/>
          <w:iCs/>
          <w:lang w:val="pt-BR"/>
        </w:rPr>
        <w:t xml:space="preserve">Image, icône, économie</w:t>
      </w:r>
      <w:r>
        <w:rPr>
          <w:lang w:val="pt-BR"/>
        </w:rPr>
        <w:t xml:space="preserve">. Paris: Seuil.</w:t>
      </w:r>
      <w:r>
        <w:rPr>
          <w:lang w:val="pt-BR"/>
        </w:rPr>
        <w:t xml:space="preserve"> </w:t>
      </w:r>
      <w:r>
        <w:rPr>
          <w:lang w:val="pt-BR"/>
        </w:rPr>
        <w:t xml:space="preserve">- Legendre, Pierre. 1985.</w:t>
      </w:r>
      <w:r>
        <w:rPr>
          <w:lang w:val="pt-BR"/>
        </w:rPr>
        <w:t xml:space="preserve"> </w:t>
      </w:r>
      <w:r>
        <w:rPr>
          <w:i/>
          <w:iCs/>
          <w:lang w:val="pt-BR"/>
        </w:rPr>
        <w:t xml:space="preserve">L’inestimable objet de la transmission</w:t>
      </w:r>
      <w:r>
        <w:rPr>
          <w:lang w:val="pt-BR"/>
        </w:rPr>
        <w:t xml:space="preserve">. Paris: Fayard.</w:t>
      </w:r>
      <w:r>
        <w:rPr>
          <w:lang w:val="pt-BR"/>
        </w:rPr>
        <w:t xml:space="preserve"> </w:t>
      </w:r>
      <w:r>
        <w:rPr>
          <w:lang w:val="pt-BR"/>
        </w:rPr>
        <w:t xml:space="preserve">- Warburg, Aby.</w:t>
      </w:r>
      <w:r>
        <w:rPr>
          <w:lang w:val="pt-BR"/>
        </w:rPr>
        <w:t xml:space="preserve"> </w:t>
      </w:r>
      <w:r>
        <w:rPr>
          <w:i/>
          <w:iCs/>
          <w:lang w:val="pt-BR"/>
        </w:rPr>
        <w:t xml:space="preserve">Der Bilderatlas Mnemosyne</w:t>
      </w:r>
      <w:r>
        <w:rPr>
          <w:lang w:val="pt-BR"/>
        </w:rPr>
        <w:t xml:space="preserve"> </w:t>
      </w:r>
      <w:r>
        <w:rPr>
          <w:lang w:val="pt-BR"/>
        </w:rPr>
        <w:t xml:space="preserve">(edição a confirmar).</w:t>
      </w:r>
      <w:r>
        <w:rPr>
          <w:lang w:val="pt-BR"/>
        </w:rPr>
        <w:t xml:space="preserve"> </w:t>
      </w:r>
      <w:r>
        <w:rPr>
          <w:lang w:val="pt-BR"/>
        </w:rPr>
        <w:t xml:space="preserve">- Mills, Charles W. 1997.</w:t>
      </w:r>
      <w:r>
        <w:rPr>
          <w:lang w:val="pt-BR"/>
        </w:rPr>
        <w:t xml:space="preserve"> </w:t>
      </w:r>
      <w:r>
        <w:rPr>
          <w:i/>
          <w:iCs/>
          <w:lang w:val="pt-BR"/>
        </w:rPr>
        <w:t xml:space="preserve">The Racial Contract</w:t>
      </w:r>
      <w:r>
        <w:rPr>
          <w:lang w:val="pt-BR"/>
        </w:rPr>
        <w:t xml:space="preserve">. Ithaca, NY: Cornell University Press.</w:t>
      </w:r>
    </w:p>
    <w:p>
      <w:r>
        <w:pict>
          <v:rect style="width:0;height:1.5pt" o:hralign="center" o:hrstd="t" o:hr="t"/>
        </w:pict>
      </w:r>
    </w:p>
    <w:bookmarkEnd w:id="67"/>
    <w:bookmarkEnd w:id="68"/>
    <w:bookmarkStart w:id="69" w:name="X647bdfb472d87fb86d09240f26fe3f7ddbe8bbf"/>
    <w:p>
      <w:pPr>
        <w:pStyle w:val="Heading2"/>
      </w:pPr>
      <w:r>
        <w:rPr>
          <w:rStyle w:val="SectionNumber"/>
          <w:lang w:val="pt-BR"/>
        </w:rPr>
        <w:t xml:space="preserve">4.4</w:t>
      </w:r>
      <w:r>
        <w:tab/>
      </w:r>
      <w:r>
        <w:rPr>
          <w:lang w:val="pt-BR"/>
        </w:rPr>
        <w:t xml:space="preserve">3.4 — Rupturas e contra-alegorias: quando o corpo alegórico é disputado</w:t>
      </w:r>
    </w:p>
    <w:bookmarkEnd w:id="69"/>
    <w:bookmarkEnd w:id="70"/>
    <w:bookmarkStart w:id="95" w:name="capítulo-2"/>
    <w:p>
      <w:pPr>
        <w:pStyle w:val="Heading1"/>
      </w:pPr>
      <w:r>
        <w:rPr>
          <w:rStyle w:val="SectionNumber"/>
          <w:lang w:val="pt-BR"/>
        </w:rPr>
        <w:t xml:space="preserve">5</w:t>
      </w:r>
      <w:r>
        <w:tab/>
      </w:r>
      <w:r>
        <w:rPr>
          <w:lang w:val="pt-BR"/>
        </w:rPr>
        <w:t xml:space="preserve">CAPÍTULO 2</w:t>
      </w:r>
    </w:p>
    <w:bookmarkStart w:id="94" w:name="X744b5b60ef8cdb559c54068ec23f6a6c09a9878"/>
    <w:p>
      <w:pPr>
        <w:pStyle w:val="Heading2"/>
      </w:pPr>
      <w:r>
        <w:rPr>
          <w:rStyle w:val="SectionNumber"/>
          <w:lang w:val="pt-BR"/>
        </w:rPr>
        <w:t xml:space="preserve">5.1</w:t>
      </w:r>
      <w:r>
        <w:tab/>
      </w:r>
      <w:r>
        <w:rPr>
          <w:lang w:val="pt-BR"/>
        </w:rPr>
        <w:t xml:space="preserve">ICONOMETRIA JURÍDICA: MÉTODO, CORPUS E CODIFICAÇÃO</w:t>
      </w:r>
    </w:p>
    <w:p>
      <w:r>
        <w:pict>
          <v:rect style="width:0;height:1.5pt" o:hralign="center" o:hrstd="t" o:hr="t"/>
        </w:pict>
      </w:r>
    </w:p>
    <w:p>
      <w:pPr>
        <w:pStyle w:val="BlockText"/>
      </w:pPr>
      <w:r>
        <w:rPr>
          <w:i/>
          <w:iCs/>
          <w:lang w:val="pt-BR"/>
        </w:rPr>
        <w:t xml:space="preserve">“Es ist der Raum zwischen den Bildern, in dem man denken muß.”</w:t>
      </w:r>
      <w:r>
        <w:rPr>
          <w:lang w:val="pt-BR"/>
        </w:rPr>
        <w:t xml:space="preserve"> </w:t>
      </w:r>
      <w:r>
        <w:rPr>
          <w:lang w:val="pt-BR"/>
        </w:rPr>
        <w:t xml:space="preserve">— Aby Warburg, sobre o Atlas Mnemosyne (reconstrução de Didi-Huberman, 2002 [VERIFICAR: obra e página da reconstrução])</w:t>
      </w:r>
    </w:p>
    <w:p>
      <w:pPr>
        <w:pStyle w:val="BlockText"/>
      </w:pPr>
      <w:r>
        <w:rPr>
          <w:i/>
          <w:iCs/>
          <w:lang w:val="pt-BR"/>
        </w:rPr>
        <w:t xml:space="preserve">“L’économie de l’icône est une économie du regard et du pouvoir.”</w:t>
      </w:r>
      <w:r>
        <w:rPr>
          <w:lang w:val="pt-BR"/>
        </w:rPr>
        <w:t xml:space="preserve"> </w:t>
      </w:r>
      <w:r>
        <w:rPr>
          <w:lang w:val="pt-BR"/>
        </w:rPr>
        <w:t xml:space="preserve">— Marie-José Mondzain,</w:t>
      </w:r>
      <w:r>
        <w:rPr>
          <w:lang w:val="pt-BR"/>
        </w:rPr>
        <w:t xml:space="preserve"> </w:t>
      </w:r>
      <w:r>
        <w:rPr>
          <w:i/>
          <w:iCs/>
          <w:lang w:val="pt-BR"/>
        </w:rPr>
        <w:t xml:space="preserve">Image, icône, économie</w:t>
      </w:r>
      <w:r>
        <w:rPr>
          <w:lang w:val="pt-BR"/>
        </w:rPr>
        <w:t xml:space="preserve"> </w:t>
      </w:r>
      <w:r>
        <w:rPr>
          <w:lang w:val="pt-BR"/>
        </w:rPr>
        <w:t xml:space="preserve">(2002, p. 28) [VERIFICAR: conferir citação e página]</w:t>
      </w:r>
    </w:p>
    <w:p>
      <w:r>
        <w:pict>
          <v:rect style="width:0;height:1.5pt" o:hralign="center" o:hrstd="t" o:hr="t"/>
        </w:pict>
      </w:r>
    </w:p>
    <w:bookmarkStart w:id="71" w:name="X90bb68ba3a9192604713cb65ca415a2baa6717c"/>
    <w:p>
      <w:pPr>
        <w:pStyle w:val="Heading3"/>
      </w:pPr>
      <w:r>
        <w:rPr>
          <w:rStyle w:val="SectionNumber"/>
          <w:lang w:val="pt-BR"/>
        </w:rPr>
        <w:t xml:space="preserve">5.1.1</w:t>
      </w:r>
      <w:r>
        <w:tab/>
      </w:r>
      <w:r>
        <w:rPr>
          <w:lang w:val="pt-BR"/>
        </w:rPr>
        <w:t xml:space="preserve">2.1 Por que medir o corpo alegórico: uma iconometria para o Direito</w:t>
      </w:r>
    </w:p>
    <w:p>
      <w:pPr>
        <w:pStyle w:val="FirstParagraph"/>
      </w:pPr>
      <w:r>
        <w:rPr>
          <w:lang w:val="pt-BR"/>
        </w:rPr>
        <w:t xml:space="preserve">Se o Capítulo 1 demonstrou que o contrato sexual possui uma dimensão visual — que a hipervisibilidade alegórica feminina compensa a invisibilidade cívica das mulheres reais —, resta agora a questão de</w:t>
      </w:r>
      <w:r>
        <w:rPr>
          <w:lang w:val="pt-BR"/>
        </w:rPr>
        <w:t xml:space="preserve"> </w:t>
      </w:r>
      <w:r>
        <w:rPr>
          <w:i/>
          <w:iCs/>
          <w:lang w:val="pt-BR"/>
        </w:rPr>
        <w:t xml:space="preserve">como</w:t>
      </w:r>
      <w:r>
        <w:rPr>
          <w:lang w:val="pt-BR"/>
        </w:rPr>
        <w:t xml:space="preserve"> </w:t>
      </w:r>
      <w:r>
        <w:rPr>
          <w:lang w:val="pt-BR"/>
        </w:rPr>
        <w:t xml:space="preserve">tornar essa hipótese verificável. Como medir, de maneira auditável e replicável, o grau em que o corpo alegórico feminino é instrumentalizado pelo Estado?</w:t>
      </w:r>
    </w:p>
    <w:p>
      <w:pPr>
        <w:pStyle w:val="BodyText"/>
      </w:pPr>
      <w:r>
        <w:rPr>
          <w:lang w:val="pt-BR"/>
        </w:rPr>
        <w:t xml:space="preserve">A resposta proposta por esta tese é uma</w:t>
      </w:r>
      <w:r>
        <w:rPr>
          <w:lang w:val="pt-BR"/>
        </w:rPr>
        <w:t xml:space="preserve"> </w:t>
      </w:r>
      <w:r>
        <w:rPr>
          <w:i/>
          <w:iCs/>
          <w:lang w:val="pt-BR"/>
        </w:rPr>
        <w:t xml:space="preserve">iconometria jurídica</w:t>
      </w:r>
      <w:r>
        <w:rPr>
          <w:lang w:val="pt-BR"/>
        </w:rPr>
        <w:t xml:space="preserve">: um protocolo de análise visual que combina a tradição iconológica de Erwin Panofsky com instrumentos quantitativos oriundos das humanidades digitais, produzindo dados ordinais sobre a morfologia do corpo alegórico que podem ser submetidos a testes estatísticos não-paramétricos. Não se trata de reduzir a imagem a números — a dimensão iconológica (o sentido profundo) permanece irredutível à contagem —, mas de criar uma camada de evidência que permita comparações sistemáticas entre países, períodos e regimes, e que identifique, por meios estatísticos, os casos paradigmáticos e os desvios que merecem análise qualitativa aprofundada.</w:t>
      </w:r>
    </w:p>
    <w:p>
      <w:pPr>
        <w:pStyle w:val="BodyText"/>
      </w:pPr>
      <w:r>
        <w:rPr>
          <w:lang w:val="pt-BR"/>
        </w:rPr>
        <w:t xml:space="preserve">O desenho metodológico segue, assim, a lógica dos métodos mistos sequenciais explanatórios (CRESWELL; PLANO CLARK, 2018): uma fase quantitativa (codificação e análise estatística do corpus) identifica padrões e anomalias, que são então aprofundados por uma fase qualitativa (iconologia de casos), culminando na montagem warburguiana do Atlas Iconocrático.</w:t>
      </w:r>
    </w:p>
    <w:p>
      <w:r>
        <w:pict>
          <v:rect style="width:0;height:1.5pt" o:hralign="center" o:hrstd="t" o:hr="t"/>
        </w:pict>
      </w:r>
    </w:p>
    <w:bookmarkEnd w:id="71"/>
    <w:bookmarkStart w:id="75" w:name="X4d4d5a339a6078a9bed426104315345c52f06df"/>
    <w:p>
      <w:pPr>
        <w:pStyle w:val="Heading3"/>
      </w:pPr>
      <w:r>
        <w:rPr>
          <w:rStyle w:val="SectionNumber"/>
          <w:lang w:val="pt-BR"/>
        </w:rPr>
        <w:t xml:space="preserve">5.1.2</w:t>
      </w:r>
      <w:r>
        <w:tab/>
      </w:r>
      <w:r>
        <w:rPr>
          <w:lang w:val="pt-BR"/>
        </w:rPr>
        <w:t xml:space="preserve">2.2 O Protocolo IconoCode: três níveis de análise</w:t>
      </w:r>
    </w:p>
    <w:p>
      <w:pPr>
        <w:pStyle w:val="FirstParagraph"/>
      </w:pPr>
      <w:r>
        <w:rPr>
          <w:lang w:val="pt-BR"/>
        </w:rPr>
        <w:t xml:space="preserve">O protocolo de análise visual desenvolvido para esta tese — denominado</w:t>
      </w:r>
      <w:r>
        <w:rPr>
          <w:lang w:val="pt-BR"/>
        </w:rPr>
        <w:t xml:space="preserve"> </w:t>
      </w:r>
      <w:r>
        <w:rPr>
          <w:i/>
          <w:iCs/>
          <w:lang w:val="pt-BR"/>
        </w:rPr>
        <w:t xml:space="preserve">IconoCode</w:t>
      </w:r>
      <w:r>
        <w:rPr>
          <w:lang w:val="pt-BR"/>
        </w:rPr>
        <w:t xml:space="preserve"> </w:t>
      </w:r>
      <w:r>
        <w:rPr>
          <w:lang w:val="pt-BR"/>
        </w:rPr>
        <w:t xml:space="preserve">— opera em três níveis progressivos, adaptando o método tripartido de Panofsky (1939; 1955) para o material jurídico-estatal.</w:t>
      </w:r>
    </w:p>
    <w:bookmarkStart w:id="72" w:name="X2e5a326b2c47c2f670808b773e5ee8e2d5ff95b"/>
    <w:p>
      <w:pPr>
        <w:pStyle w:val="Heading4"/>
      </w:pPr>
      <w:r>
        <w:rPr>
          <w:rStyle w:val="SectionNumber"/>
          <w:lang w:val="pt-BR"/>
        </w:rPr>
        <w:t xml:space="preserve">5.1.2.1</w:t>
      </w:r>
      <w:r>
        <w:tab/>
      </w:r>
      <w:r>
        <w:rPr>
          <w:lang w:val="pt-BR"/>
        </w:rPr>
        <w:t xml:space="preserve">Nível 1 — Pré-iconográfico (descrição primária)</w:t>
      </w:r>
    </w:p>
    <w:p>
      <w:pPr>
        <w:pStyle w:val="FirstParagraph"/>
      </w:pPr>
      <w:r>
        <w:rPr>
          <w:lang w:val="pt-BR"/>
        </w:rPr>
        <w:t xml:space="preserve">Descreve o que é</w:t>
      </w:r>
      <w:r>
        <w:rPr>
          <w:lang w:val="pt-BR"/>
        </w:rPr>
        <w:t xml:space="preserve"> </w:t>
      </w:r>
      <w:r>
        <w:rPr>
          <w:i/>
          <w:iCs/>
          <w:lang w:val="pt-BR"/>
        </w:rPr>
        <w:t xml:space="preserve">visível</w:t>
      </w:r>
      <w:r>
        <w:rPr>
          <w:lang w:val="pt-BR"/>
        </w:rPr>
        <w:t xml:space="preserve"> </w:t>
      </w:r>
      <w:r>
        <w:rPr>
          <w:lang w:val="pt-BR"/>
        </w:rPr>
        <w:t xml:space="preserve">sem interpretação: figuras (número, gênero, postura, gestualidade, direção do olhar), vestimenta, atributos físicos (espada, balança, barrete, coroa, escudo, fasces, tocha, livro, tábua), composição espacial, suporte material e texto inscrito. Trata-se do registro factual da materialidade da imagem.</w:t>
      </w:r>
    </w:p>
    <w:bookmarkEnd w:id="72"/>
    <w:bookmarkStart w:id="73" w:name="X32efe72bb29abc679bc9c3f2cdf2ba732b4d5eb"/>
    <w:p>
      <w:pPr>
        <w:pStyle w:val="Heading4"/>
      </w:pPr>
      <w:r>
        <w:rPr>
          <w:rStyle w:val="SectionNumber"/>
          <w:lang w:val="pt-BR"/>
        </w:rPr>
        <w:t xml:space="preserve">5.1.2.2</w:t>
      </w:r>
      <w:r>
        <w:tab/>
      </w:r>
      <w:r>
        <w:rPr>
          <w:lang w:val="pt-BR"/>
        </w:rPr>
        <w:t xml:space="preserve">Nível 2 — Iconográfico (identificação convencional)</w:t>
      </w:r>
    </w:p>
    <w:p>
      <w:pPr>
        <w:pStyle w:val="FirstParagraph"/>
      </w:pPr>
      <w:r>
        <w:rPr>
          <w:lang w:val="pt-BR"/>
        </w:rPr>
        <w:t xml:space="preserve">Identifica o significado convencional: qual alegoria é representada (Marianne, Britannia, Germania, Columbia, La Belgique, A República, Justitia, Libertas), qual tradição iconográfica é citada (romana, revolucionária, neoclássica, Art Nouveau), qual</w:t>
      </w:r>
      <w:r>
        <w:rPr>
          <w:lang w:val="pt-BR"/>
        </w:rPr>
        <w:t xml:space="preserve"> </w:t>
      </w:r>
      <w:r>
        <w:rPr>
          <w:i/>
          <w:iCs/>
          <w:lang w:val="pt-BR"/>
        </w:rPr>
        <w:t xml:space="preserve">Pathosformel</w:t>
      </w:r>
      <w:r>
        <w:rPr>
          <w:lang w:val="pt-BR"/>
        </w:rPr>
        <w:t xml:space="preserve"> </w:t>
      </w:r>
      <w:r>
        <w:rPr>
          <w:lang w:val="pt-BR"/>
        </w:rPr>
        <w:t xml:space="preserve">é ativa (sentada/em pé, dinâmica/estática, armada/pacífica). Neste nível integra-se a codificação ICONCLASS (VAN DE WAAL, 1973–1985), com atenção especial ao código 48C51 — taxonomia interna do projeto para a personificação feminina em contexto político-jurídico [VERIFICAR: no sistema oficial Iconclass, 48C51 =</w:t>
      </w:r>
      <w:r>
        <w:rPr>
          <w:lang w:val="pt-BR"/>
        </w:rPr>
        <w:t xml:space="preserve"> </w:t>
      </w:r>
      <w:r>
        <w:rPr>
          <w:lang w:val="pt-BR"/>
        </w:rPr>
        <w:t xml:space="preserve">‘painting’</w:t>
      </w:r>
      <w:r>
        <w:rPr>
          <w:lang w:val="pt-BR"/>
        </w:rPr>
        <w:t xml:space="preserve">; códigos oficiais presentes no corpus: 44B62, 11M44].</w:t>
      </w:r>
    </w:p>
    <w:bookmarkEnd w:id="73"/>
    <w:bookmarkStart w:id="74" w:name="Xac15998d77a44fe6179b397fbc108ff30f54da8"/>
    <w:p>
      <w:pPr>
        <w:pStyle w:val="Heading4"/>
      </w:pPr>
      <w:r>
        <w:rPr>
          <w:rStyle w:val="SectionNumber"/>
          <w:lang w:val="pt-BR"/>
        </w:rPr>
        <w:t xml:space="preserve">5.1.2.3</w:t>
      </w:r>
      <w:r>
        <w:tab/>
      </w:r>
      <w:r>
        <w:rPr>
          <w:lang w:val="pt-BR"/>
        </w:rPr>
        <w:t xml:space="preserve">Nível 3 — Iconológico (interpretação jurídico-política)</w:t>
      </w:r>
    </w:p>
    <w:p>
      <w:pPr>
        <w:pStyle w:val="FirstParagraph"/>
      </w:pPr>
      <w:r>
        <w:rPr>
          <w:lang w:val="pt-BR"/>
        </w:rPr>
        <w:t xml:space="preserve">Interpreta o sentido profundo à luz da moldura teórica da tese: qual regime iconocrático está em operação (FUNDACIONAL, NORMATIVO, MILITAR), qual função jurídico-política a alegoria desempenha (legitimar fundação, estabilizar burocracia, projetar poder imperial), como opera o Contrato Sexual Visual, e, quando aplicável, como se manifesta a colonialidade do ver.</w:t>
      </w:r>
    </w:p>
    <w:p>
      <w:pPr>
        <w:pStyle w:val="BodyText"/>
      </w:pPr>
      <w:r>
        <w:rPr>
          <w:lang w:val="pt-BR"/>
        </w:rPr>
        <w:t xml:space="preserve">Para ilustrar: a gravura</w:t>
      </w:r>
      <w:r>
        <w:rPr>
          <w:lang w:val="pt-BR"/>
        </w:rPr>
        <w:t xml:space="preserve"> </w:t>
      </w:r>
      <w:r>
        <w:rPr>
          <w:i/>
          <w:iCs/>
          <w:lang w:val="pt-BR"/>
        </w:rPr>
        <w:t xml:space="preserve">L’envoyé de la Justice</w:t>
      </w:r>
      <w:r>
        <w:rPr>
          <w:lang w:val="pt-BR"/>
        </w:rPr>
        <w:t xml:space="preserve"> </w:t>
      </w:r>
      <w:r>
        <w:rPr>
          <w:lang w:val="pt-BR"/>
        </w:rPr>
        <w:t xml:space="preserve">de Chifflart (1859, corpus FR-003) mostra, no Nível 1, uma figura masculina alada em posição cruciforme empunhando espada, com uma figura feminina luminosa segurando tocha ao fundo, a palavra</w:t>
      </w:r>
      <w:r>
        <w:rPr>
          <w:lang w:val="pt-BR"/>
        </w:rPr>
        <w:t xml:space="preserve"> </w:t>
      </w:r>
      <w:r>
        <w:rPr>
          <w:lang w:val="pt-BR"/>
        </w:rPr>
        <w:t xml:space="preserve">“JUSTICE”</w:t>
      </w:r>
      <w:r>
        <w:rPr>
          <w:lang w:val="pt-BR"/>
        </w:rPr>
        <w:t xml:space="preserve"> </w:t>
      </w:r>
      <w:r>
        <w:rPr>
          <w:lang w:val="pt-BR"/>
        </w:rPr>
        <w:t xml:space="preserve">inscrita no céu. No Nível 2, identifica-se uma estrutura de</w:t>
      </w:r>
      <w:r>
        <w:rPr>
          <w:lang w:val="pt-BR"/>
        </w:rPr>
        <w:t xml:space="preserve"> </w:t>
      </w:r>
      <w:r>
        <w:rPr>
          <w:i/>
          <w:iCs/>
          <w:lang w:val="pt-BR"/>
        </w:rPr>
        <w:t xml:space="preserve">delegação</w:t>
      </w:r>
      <w:r>
        <w:rPr>
          <w:lang w:val="pt-BR"/>
        </w:rPr>
        <w:t xml:space="preserve">: a Justiça (feminina) permanece no registro superior como presença divina, enquanto seu enviado (masculino) executa a punição no mundo material. No Nível 3, esta imagem torna explícito o mecanismo central do Contrato Sexual Visual: a alegoria feminina</w:t>
      </w:r>
      <w:r>
        <w:rPr>
          <w:lang w:val="pt-BR"/>
        </w:rPr>
        <w:t xml:space="preserve"> </w:t>
      </w:r>
      <w:r>
        <w:rPr>
          <w:i/>
          <w:iCs/>
          <w:lang w:val="pt-BR"/>
        </w:rPr>
        <w:t xml:space="preserve">autoriza</w:t>
      </w:r>
      <w:r>
        <w:rPr>
          <w:lang w:val="pt-BR"/>
        </w:rPr>
        <w:t xml:space="preserve"> </w:t>
      </w:r>
      <w:r>
        <w:rPr>
          <w:lang w:val="pt-BR"/>
        </w:rPr>
        <w:t xml:space="preserve">mas não</w:t>
      </w:r>
      <w:r>
        <w:rPr>
          <w:lang w:val="pt-BR"/>
        </w:rPr>
        <w:t xml:space="preserve"> </w:t>
      </w:r>
      <w:r>
        <w:rPr>
          <w:i/>
          <w:iCs/>
          <w:lang w:val="pt-BR"/>
        </w:rPr>
        <w:t xml:space="preserve">age</w:t>
      </w:r>
      <w:r>
        <w:rPr>
          <w:lang w:val="pt-BR"/>
        </w:rPr>
        <w:t xml:space="preserve">; o corpo masculino</w:t>
      </w:r>
      <w:r>
        <w:rPr>
          <w:lang w:val="pt-BR"/>
        </w:rPr>
        <w:t xml:space="preserve"> </w:t>
      </w:r>
      <w:r>
        <w:rPr>
          <w:i/>
          <w:iCs/>
          <w:lang w:val="pt-BR"/>
        </w:rPr>
        <w:t xml:space="preserve">executa</w:t>
      </w:r>
      <w:r>
        <w:rPr>
          <w:lang w:val="pt-BR"/>
        </w:rPr>
        <w:t xml:space="preserve"> </w:t>
      </w:r>
      <w:r>
        <w:rPr>
          <w:lang w:val="pt-BR"/>
        </w:rPr>
        <w:t xml:space="preserve">a violência que o corpo feminino</w:t>
      </w:r>
      <w:r>
        <w:rPr>
          <w:lang w:val="pt-BR"/>
        </w:rPr>
        <w:t xml:space="preserve"> </w:t>
      </w:r>
      <w:r>
        <w:rPr>
          <w:i/>
          <w:iCs/>
          <w:lang w:val="pt-BR"/>
        </w:rPr>
        <w:t xml:space="preserve">legitima</w:t>
      </w:r>
      <w:r>
        <w:rPr>
          <w:lang w:val="pt-BR"/>
        </w:rPr>
        <w:t xml:space="preserve">. O</w:t>
      </w:r>
      <w:r>
        <w:rPr>
          <w:lang w:val="pt-BR"/>
        </w:rPr>
        <w:t xml:space="preserve"> </w:t>
      </w:r>
      <w:r>
        <w:rPr>
          <w:i/>
          <w:iCs/>
          <w:lang w:val="pt-BR"/>
        </w:rPr>
        <w:t xml:space="preserve">Zwischenraum</w:t>
      </w:r>
      <w:r>
        <w:rPr>
          <w:lang w:val="pt-BR"/>
        </w:rPr>
        <w:t xml:space="preserve"> </w:t>
      </w:r>
      <w:r>
        <w:rPr>
          <w:lang w:val="pt-BR"/>
        </w:rPr>
        <w:t xml:space="preserve">entre as duas figuras — a distância espacial e luminosa que separa a Justiça transcendente do Enviado material — materializa a distância conceitual entre o direito abstrato e a força concreta.</w:t>
      </w:r>
    </w:p>
    <w:p>
      <w:r>
        <w:pict>
          <v:rect style="width:0;height:1.5pt" o:hralign="center" o:hrstd="t" o:hr="t"/>
        </w:pict>
      </w:r>
    </w:p>
    <w:bookmarkEnd w:id="74"/>
    <w:bookmarkEnd w:id="75"/>
    <w:bookmarkStart w:id="77" w:name="os-10-indicadores-de-purificação"/>
    <w:p>
      <w:pPr>
        <w:pStyle w:val="Heading3"/>
      </w:pPr>
      <w:r>
        <w:rPr>
          <w:rStyle w:val="SectionNumber"/>
          <w:lang w:val="pt-BR"/>
        </w:rPr>
        <w:t xml:space="preserve">5.1.3</w:t>
      </w:r>
      <w:r>
        <w:tab/>
      </w:r>
      <w:r>
        <w:rPr>
          <w:lang w:val="pt-BR"/>
        </w:rPr>
        <w:t xml:space="preserve">2.3 Os 10 indicadores de purificação</w:t>
      </w:r>
    </w:p>
    <w:p>
      <w:pPr>
        <w:pStyle w:val="FirstParagraph"/>
      </w:pPr>
      <w:r>
        <w:rPr>
          <w:lang w:val="pt-BR"/>
        </w:rPr>
        <w:t xml:space="preserve">O núcleo quantitativo da iconometria consiste em 10 indicadores ordinais que medem o grau de</w:t>
      </w:r>
      <w:r>
        <w:rPr>
          <w:lang w:val="pt-BR"/>
        </w:rPr>
        <w:t xml:space="preserve"> </w:t>
      </w:r>
      <w:r>
        <w:rPr>
          <w:i/>
          <w:iCs/>
          <w:lang w:val="pt-BR"/>
        </w:rPr>
        <w:t xml:space="preserve">purificação</w:t>
      </w:r>
      <w:r>
        <w:rPr>
          <w:lang w:val="pt-BR"/>
        </w:rPr>
        <w:t xml:space="preserve"> </w:t>
      </w:r>
      <w:r>
        <w:rPr>
          <w:lang w:val="pt-BR"/>
        </w:rPr>
        <w:t xml:space="preserve">do corpo alegórico feminino — isto é, o processo pelo qual o corpo vivo, dinâmico e individualizado é progressivamente transformado em signo estatal abstrato, rígido e serial. Cada indicador é pontuado numa escala de 0 a 3 (ausente, fraco, moderado, dominante).</w:t>
      </w:r>
    </w:p>
    <w:tbl>
      <w:tblPr>
        <w:tblStyle w:val="Table"/>
        <w:tblW w:type="pct" w:w="5000"/>
        <w:tblLayout w:type="fixed"/>
        <w:tblLook w:firstRow="1" w:lastRow="0" w:firstColumn="0" w:lastColumn="0" w:noHBand="0" w:noVBand="0" w:val="0020"/>
      </w:tblPr>
      <w:tblGrid>
        <w:gridCol w:w="880"/>
        <w:gridCol w:w="3226"/>
        <w:gridCol w:w="3813"/>
      </w:tblGrid>
      <w:tr>
        <w:trPr>
          <w:tblHeader w:val="on"/>
        </w:trPr>
        <w:tc>
          <w:tcPr/>
          <w:p>
            <w:pPr>
              <w:pStyle w:val="Compact"/>
            </w:pPr>
            <w:r>
              <w:rPr>
                <w:lang w:val="pt-BR"/>
              </w:rPr>
              <w:t xml:space="preserve">#</w:t>
            </w:r>
          </w:p>
        </w:tc>
        <w:tc>
          <w:tcPr/>
          <w:p>
            <w:pPr>
              <w:pStyle w:val="Compact"/>
            </w:pPr>
            <w:r>
              <w:rPr>
                <w:lang w:val="pt-BR"/>
              </w:rPr>
              <w:t xml:space="preserve">Indicador</w:t>
            </w:r>
          </w:p>
        </w:tc>
        <w:tc>
          <w:tcPr/>
          <w:p>
            <w:pPr>
              <w:pStyle w:val="Compact"/>
            </w:pPr>
            <w:r>
              <w:rPr>
                <w:lang w:val="pt-BR"/>
              </w:rPr>
              <w:t xml:space="preserve">O que avalia</w:t>
            </w:r>
          </w:p>
        </w:tc>
      </w:tr>
      <w:tr>
        <w:tc>
          <w:tcPr/>
          <w:p>
            <w:pPr>
              <w:pStyle w:val="Compact"/>
            </w:pPr>
            <w:r>
              <w:rPr>
                <w:lang w:val="pt-BR"/>
              </w:rPr>
              <w:t xml:space="preserve">1</w:t>
            </w:r>
          </w:p>
        </w:tc>
        <w:tc>
          <w:tcPr/>
          <w:p>
            <w:pPr>
              <w:pStyle w:val="Compact"/>
            </w:pPr>
            <w:r>
              <w:rPr>
                <w:b/>
                <w:bCs/>
                <w:lang w:val="pt-BR"/>
              </w:rPr>
              <w:t xml:space="preserve">Desincorporação</w:t>
            </w:r>
          </w:p>
        </w:tc>
        <w:tc>
          <w:tcPr/>
          <w:p>
            <w:pPr>
              <w:pStyle w:val="Compact"/>
            </w:pPr>
            <w:r>
              <w:rPr>
                <w:lang w:val="pt-BR"/>
              </w:rPr>
              <w:t xml:space="preserve">Redução do corpo pleno → busto → rosto → símbolo</w:t>
            </w:r>
          </w:p>
        </w:tc>
      </w:tr>
      <w:tr>
        <w:tc>
          <w:tcPr/>
          <w:p>
            <w:pPr>
              <w:pStyle w:val="Compact"/>
            </w:pPr>
            <w:r>
              <w:rPr>
                <w:lang w:val="pt-BR"/>
              </w:rPr>
              <w:t xml:space="preserve">2</w:t>
            </w:r>
          </w:p>
        </w:tc>
        <w:tc>
          <w:tcPr/>
          <w:p>
            <w:pPr>
              <w:pStyle w:val="Compact"/>
            </w:pPr>
            <w:r>
              <w:rPr>
                <w:b/>
                <w:bCs/>
                <w:lang w:val="pt-BR"/>
              </w:rPr>
              <w:t xml:space="preserve">Rigidez postural</w:t>
            </w:r>
          </w:p>
        </w:tc>
        <w:tc>
          <w:tcPr/>
          <w:p>
            <w:pPr>
              <w:pStyle w:val="Compact"/>
            </w:pPr>
            <w:r>
              <w:rPr>
                <w:lang w:val="pt-BR"/>
              </w:rPr>
              <w:t xml:space="preserve">Corpo dinâmico vs. estático (congelado = alto)</w:t>
            </w:r>
          </w:p>
        </w:tc>
      </w:tr>
      <w:tr>
        <w:tc>
          <w:tcPr/>
          <w:p>
            <w:pPr>
              <w:pStyle w:val="Compact"/>
            </w:pPr>
            <w:r>
              <w:rPr>
                <w:lang w:val="pt-BR"/>
              </w:rPr>
              <w:t xml:space="preserve">3</w:t>
            </w:r>
          </w:p>
        </w:tc>
        <w:tc>
          <w:tcPr/>
          <w:p>
            <w:pPr>
              <w:pStyle w:val="Compact"/>
            </w:pPr>
            <w:r>
              <w:rPr>
                <w:b/>
                <w:bCs/>
                <w:lang w:val="pt-BR"/>
              </w:rPr>
              <w:t xml:space="preserve">Dessexualização</w:t>
            </w:r>
          </w:p>
        </w:tc>
        <w:tc>
          <w:tcPr/>
          <w:p>
            <w:pPr>
              <w:pStyle w:val="Compact"/>
            </w:pPr>
            <w:r>
              <w:rPr>
                <w:lang w:val="pt-BR"/>
              </w:rPr>
              <w:t xml:space="preserve">Ocultação do corpo, remoção de marcadores corpóreos</w:t>
            </w:r>
          </w:p>
        </w:tc>
      </w:tr>
      <w:tr>
        <w:tc>
          <w:tcPr/>
          <w:p>
            <w:pPr>
              <w:pStyle w:val="Compact"/>
            </w:pPr>
            <w:r>
              <w:rPr>
                <w:lang w:val="pt-BR"/>
              </w:rPr>
              <w:t xml:space="preserve">4</w:t>
            </w:r>
          </w:p>
        </w:tc>
        <w:tc>
          <w:tcPr/>
          <w:p>
            <w:pPr>
              <w:pStyle w:val="Compact"/>
            </w:pPr>
            <w:r>
              <w:rPr>
                <w:b/>
                <w:bCs/>
                <w:lang w:val="pt-BR"/>
              </w:rPr>
              <w:t xml:space="preserve">Uniformização facial</w:t>
            </w:r>
          </w:p>
        </w:tc>
        <w:tc>
          <w:tcPr/>
          <w:p>
            <w:pPr>
              <w:pStyle w:val="Compact"/>
            </w:pPr>
            <w:r>
              <w:rPr>
                <w:lang w:val="pt-BR"/>
              </w:rPr>
              <w:t xml:space="preserve">Feições genéricas vs. individualizadas</w:t>
            </w:r>
          </w:p>
        </w:tc>
      </w:tr>
      <w:tr>
        <w:tc>
          <w:tcPr/>
          <w:p>
            <w:pPr>
              <w:pStyle w:val="Compact"/>
            </w:pPr>
            <w:r>
              <w:rPr>
                <w:lang w:val="pt-BR"/>
              </w:rPr>
              <w:t xml:space="preserve">5</w:t>
            </w:r>
          </w:p>
        </w:tc>
        <w:tc>
          <w:tcPr/>
          <w:p>
            <w:pPr>
              <w:pStyle w:val="Compact"/>
            </w:pPr>
            <w:r>
              <w:rPr>
                <w:b/>
                <w:bCs/>
                <w:lang w:val="pt-BR"/>
              </w:rPr>
              <w:t xml:space="preserve">Heraldicização</w:t>
            </w:r>
          </w:p>
        </w:tc>
        <w:tc>
          <w:tcPr/>
          <w:p>
            <w:pPr>
              <w:pStyle w:val="Compact"/>
            </w:pPr>
            <w:r>
              <w:rPr>
                <w:lang w:val="pt-BR"/>
              </w:rPr>
              <w:t xml:space="preserve">Integração em programa heráldico/institucional</w:t>
            </w:r>
          </w:p>
        </w:tc>
      </w:tr>
      <w:tr>
        <w:tc>
          <w:tcPr/>
          <w:p>
            <w:pPr>
              <w:pStyle w:val="Compact"/>
            </w:pPr>
            <w:r>
              <w:rPr>
                <w:lang w:val="pt-BR"/>
              </w:rPr>
              <w:t xml:space="preserve">6</w:t>
            </w:r>
          </w:p>
        </w:tc>
        <w:tc>
          <w:tcPr/>
          <w:p>
            <w:pPr>
              <w:pStyle w:val="Compact"/>
            </w:pPr>
            <w:r>
              <w:rPr>
                <w:b/>
                <w:bCs/>
                <w:lang w:val="pt-BR"/>
              </w:rPr>
              <w:t xml:space="preserve">Enquadramento arquitetônico</w:t>
            </w:r>
          </w:p>
        </w:tc>
        <w:tc>
          <w:tcPr/>
          <w:p>
            <w:pPr>
              <w:pStyle w:val="Compact"/>
            </w:pPr>
            <w:r>
              <w:rPr>
                <w:lang w:val="pt-BR"/>
              </w:rPr>
              <w:t xml:space="preserve">Moldura por bordas arquitetônicas/ornamentais</w:t>
            </w:r>
          </w:p>
        </w:tc>
      </w:tr>
      <w:tr>
        <w:tc>
          <w:tcPr/>
          <w:p>
            <w:pPr>
              <w:pStyle w:val="Compact"/>
            </w:pPr>
            <w:r>
              <w:rPr>
                <w:lang w:val="pt-BR"/>
              </w:rPr>
              <w:t xml:space="preserve">7</w:t>
            </w:r>
          </w:p>
        </w:tc>
        <w:tc>
          <w:tcPr/>
          <w:p>
            <w:pPr>
              <w:pStyle w:val="Compact"/>
            </w:pPr>
            <w:r>
              <w:rPr>
                <w:b/>
                <w:bCs/>
                <w:lang w:val="pt-BR"/>
              </w:rPr>
              <w:t xml:space="preserve">Apagamento narrativo</w:t>
            </w:r>
          </w:p>
        </w:tc>
        <w:tc>
          <w:tcPr/>
          <w:p>
            <w:pPr>
              <w:pStyle w:val="Compact"/>
            </w:pPr>
            <w:r>
              <w:rPr>
                <w:lang w:val="pt-BR"/>
              </w:rPr>
              <w:t xml:space="preserve">Remoção de contexto narrativo (história → ícone)</w:t>
            </w:r>
          </w:p>
        </w:tc>
      </w:tr>
      <w:tr>
        <w:tc>
          <w:tcPr/>
          <w:p>
            <w:pPr>
              <w:pStyle w:val="Compact"/>
            </w:pPr>
            <w:r>
              <w:rPr>
                <w:lang w:val="pt-BR"/>
              </w:rPr>
              <w:t xml:space="preserve">8</w:t>
            </w:r>
          </w:p>
        </w:tc>
        <w:tc>
          <w:tcPr/>
          <w:p>
            <w:pPr>
              <w:pStyle w:val="Compact"/>
            </w:pPr>
            <w:r>
              <w:rPr>
                <w:b/>
                <w:bCs/>
                <w:lang w:val="pt-BR"/>
              </w:rPr>
              <w:t xml:space="preserve">Monocromatização</w:t>
            </w:r>
          </w:p>
        </w:tc>
        <w:tc>
          <w:tcPr/>
          <w:p>
            <w:pPr>
              <w:pStyle w:val="Compact"/>
            </w:pPr>
            <w:r>
              <w:rPr>
                <w:lang w:val="pt-BR"/>
              </w:rPr>
              <w:t xml:space="preserve">Redução cromática (policromia → monocromia → metal)</w:t>
            </w:r>
          </w:p>
        </w:tc>
      </w:tr>
      <w:tr>
        <w:tc>
          <w:tcPr/>
          <w:p>
            <w:pPr>
              <w:pStyle w:val="Compact"/>
            </w:pPr>
            <w:r>
              <w:rPr>
                <w:lang w:val="pt-BR"/>
              </w:rPr>
              <w:t xml:space="preserve">9</w:t>
            </w:r>
          </w:p>
        </w:tc>
        <w:tc>
          <w:tcPr/>
          <w:p>
            <w:pPr>
              <w:pStyle w:val="Compact"/>
            </w:pPr>
            <w:r>
              <w:rPr>
                <w:b/>
                <w:bCs/>
                <w:lang w:val="pt-BR"/>
              </w:rPr>
              <w:t xml:space="preserve">Serialidade</w:t>
            </w:r>
          </w:p>
        </w:tc>
        <w:tc>
          <w:tcPr/>
          <w:p>
            <w:pPr>
              <w:pStyle w:val="Compact"/>
            </w:pPr>
            <w:r>
              <w:rPr>
                <w:lang w:val="pt-BR"/>
              </w:rPr>
              <w:t xml:space="preserve">Reprodução em massa (único → edição → industrial)</w:t>
            </w:r>
          </w:p>
        </w:tc>
      </w:tr>
      <w:tr>
        <w:tc>
          <w:tcPr/>
          <w:p>
            <w:pPr>
              <w:pStyle w:val="Compact"/>
            </w:pPr>
            <w:r>
              <w:rPr>
                <w:lang w:val="pt-BR"/>
              </w:rPr>
              <w:t xml:space="preserve">10</w:t>
            </w:r>
          </w:p>
        </w:tc>
        <w:tc>
          <w:tcPr/>
          <w:p>
            <w:pPr>
              <w:pStyle w:val="Compact"/>
            </w:pPr>
            <w:r>
              <w:rPr>
                <w:b/>
                <w:bCs/>
                <w:lang w:val="pt-BR"/>
              </w:rPr>
              <w:t xml:space="preserve">Inscrição estatal</w:t>
            </w:r>
          </w:p>
        </w:tc>
        <w:tc>
          <w:tcPr/>
          <w:p>
            <w:pPr>
              <w:pStyle w:val="Compact"/>
            </w:pPr>
            <w:r>
              <w:rPr>
                <w:lang w:val="pt-BR"/>
              </w:rPr>
              <w:t xml:space="preserve">Texto/símbolos do Estado inscritos no/ao redor do corpo</w:t>
            </w:r>
          </w:p>
        </w:tc>
      </w:tr>
    </w:tbl>
    <w:p>
      <w:pPr>
        <w:pStyle w:val="BodyText"/>
      </w:pPr>
      <w:r>
        <w:rPr>
          <w:lang w:val="pt-BR"/>
        </w:rPr>
        <w:t xml:space="preserve">O</w:t>
      </w:r>
      <w:r>
        <w:rPr>
          <w:lang w:val="pt-BR"/>
        </w:rPr>
        <w:t xml:space="preserve"> </w:t>
      </w:r>
      <w:r>
        <w:rPr>
          <w:b/>
          <w:bCs/>
          <w:lang w:val="pt-BR"/>
        </w:rPr>
        <w:t xml:space="preserve">score de endurecimento</w:t>
      </w:r>
      <w:r>
        <w:rPr>
          <w:lang w:val="pt-BR"/>
        </w:rPr>
        <w:t xml:space="preserve"> </w:t>
      </w:r>
      <w:r>
        <w:rPr>
          <w:lang w:val="pt-BR"/>
        </w:rPr>
        <w:t xml:space="preserve">é a média dos 10 indicadores (faixa 0,0–3,0). O termo</w:t>
      </w:r>
      <w:r>
        <w:rPr>
          <w:lang w:val="pt-BR"/>
        </w:rPr>
        <w:t xml:space="preserve"> </w:t>
      </w:r>
      <w:r>
        <w:rPr>
          <w:i/>
          <w:iCs/>
          <w:lang w:val="pt-BR"/>
        </w:rPr>
        <w:t xml:space="preserve">endurecimento</w:t>
      </w:r>
      <w:r>
        <w:rPr>
          <w:lang w:val="pt-BR"/>
        </w:rPr>
        <w:t xml:space="preserve"> </w:t>
      </w:r>
      <w:r>
        <w:rPr>
          <w:lang w:val="pt-BR"/>
        </w:rPr>
        <w:t xml:space="preserve">designa o processo global de purificação e foi preferido a alternativas em inglês por captar simultaneamente a rigidificação do corpo (ficar duro) e a perda de sensibilidade (endurecer-se).</w:t>
      </w:r>
    </w:p>
    <w:bookmarkStart w:id="76" w:name="X24ba099017f7bc9a69c6c5dd30225e6e9ce8f33"/>
    <w:p>
      <w:pPr>
        <w:pStyle w:val="Heading4"/>
      </w:pPr>
      <w:r>
        <w:rPr>
          <w:rStyle w:val="SectionNumber"/>
          <w:lang w:val="pt-BR"/>
        </w:rPr>
        <w:t xml:space="preserve">5.1.3.1</w:t>
      </w:r>
      <w:r>
        <w:tab/>
      </w:r>
      <w:r>
        <w:rPr>
          <w:lang w:val="pt-BR"/>
        </w:rPr>
        <w:t xml:space="preserve">Indicadores morfológicos vs. indicadores materiais</w:t>
      </w:r>
    </w:p>
    <w:p>
      <w:pPr>
        <w:pStyle w:val="FirstParagraph"/>
      </w:pPr>
      <w:r>
        <w:rPr>
          <w:lang w:val="pt-BR"/>
        </w:rPr>
        <w:t xml:space="preserve">O diagnóstico do instrumento, aplicado aos instantâneos sucessivos do corpus (o ledger operacional, em expansão, registrou 336 itens em 2026-09-21, dos quais 286 com codificação de purificação; o congelamento analítico anterior registrou N=145, ver Capítulo 6), revelou uma distinção metodologicamente importante entre dois grupos de indicadores. Os indicadores 1–7 (</w:t>
      </w:r>
      <w:r>
        <w:rPr>
          <w:i/>
          <w:iCs/>
          <w:lang w:val="pt-BR"/>
        </w:rPr>
        <w:t xml:space="preserve">desincorporação</w:t>
      </w:r>
      <w:r>
        <w:rPr>
          <w:lang w:val="pt-BR"/>
        </w:rPr>
        <w:t xml:space="preserve">,</w:t>
      </w:r>
      <w:r>
        <w:rPr>
          <w:lang w:val="pt-BR"/>
        </w:rPr>
        <w:t xml:space="preserve"> </w:t>
      </w:r>
      <w:r>
        <w:rPr>
          <w:i/>
          <w:iCs/>
          <w:lang w:val="pt-BR"/>
        </w:rPr>
        <w:t xml:space="preserve">rigidez</w:t>
      </w:r>
      <w:r>
        <w:rPr>
          <w:lang w:val="pt-BR"/>
        </w:rPr>
        <w:t xml:space="preserve">,</w:t>
      </w:r>
      <w:r>
        <w:rPr>
          <w:lang w:val="pt-BR"/>
        </w:rPr>
        <w:t xml:space="preserve"> </w:t>
      </w:r>
      <w:r>
        <w:rPr>
          <w:i/>
          <w:iCs/>
          <w:lang w:val="pt-BR"/>
        </w:rPr>
        <w:t xml:space="preserve">dessexualização</w:t>
      </w:r>
      <w:r>
        <w:rPr>
          <w:lang w:val="pt-BR"/>
        </w:rPr>
        <w:t xml:space="preserve">,</w:t>
      </w:r>
      <w:r>
        <w:rPr>
          <w:lang w:val="pt-BR"/>
        </w:rPr>
        <w:t xml:space="preserve"> </w:t>
      </w:r>
      <w:r>
        <w:rPr>
          <w:i/>
          <w:iCs/>
          <w:lang w:val="pt-BR"/>
        </w:rPr>
        <w:t xml:space="preserve">uniformização</w:t>
      </w:r>
      <w:r>
        <w:rPr>
          <w:lang w:val="pt-BR"/>
        </w:rPr>
        <w:t xml:space="preserve">,</w:t>
      </w:r>
      <w:r>
        <w:rPr>
          <w:lang w:val="pt-BR"/>
        </w:rPr>
        <w:t xml:space="preserve"> </w:t>
      </w:r>
      <w:r>
        <w:rPr>
          <w:i/>
          <w:iCs/>
          <w:lang w:val="pt-BR"/>
        </w:rPr>
        <w:t xml:space="preserve">heraldicização</w:t>
      </w:r>
      <w:r>
        <w:rPr>
          <w:lang w:val="pt-BR"/>
        </w:rPr>
        <w:t xml:space="preserve">,</w:t>
      </w:r>
      <w:r>
        <w:rPr>
          <w:lang w:val="pt-BR"/>
        </w:rPr>
        <w:t xml:space="preserve"> </w:t>
      </w:r>
      <w:r>
        <w:rPr>
          <w:i/>
          <w:iCs/>
          <w:lang w:val="pt-BR"/>
        </w:rPr>
        <w:t xml:space="preserve">enquadramento</w:t>
      </w:r>
      <w:r>
        <w:rPr>
          <w:lang w:val="pt-BR"/>
        </w:rPr>
        <w:t xml:space="preserve">,</w:t>
      </w:r>
      <w:r>
        <w:rPr>
          <w:lang w:val="pt-BR"/>
        </w:rPr>
        <w:t xml:space="preserve"> </w:t>
      </w:r>
      <w:r>
        <w:rPr>
          <w:i/>
          <w:iCs/>
          <w:lang w:val="pt-BR"/>
        </w:rPr>
        <w:t xml:space="preserve">apagamento</w:t>
      </w:r>
      <w:r>
        <w:rPr>
          <w:lang w:val="pt-BR"/>
        </w:rPr>
        <w:t xml:space="preserve">) medem propriedades do</w:t>
      </w:r>
      <w:r>
        <w:rPr>
          <w:lang w:val="pt-BR"/>
        </w:rPr>
        <w:t xml:space="preserve"> </w:t>
      </w:r>
      <w:r>
        <w:rPr>
          <w:i/>
          <w:iCs/>
          <w:lang w:val="pt-BR"/>
        </w:rPr>
        <w:t xml:space="preserve">corpo representado</w:t>
      </w:r>
      <w:r>
        <w:rPr>
          <w:lang w:val="pt-BR"/>
        </w:rPr>
        <w:t xml:space="preserve"> </w:t>
      </w:r>
      <w:r>
        <w:rPr>
          <w:lang w:val="pt-BR"/>
        </w:rPr>
        <w:t xml:space="preserve">— são indicadores</w:t>
      </w:r>
      <w:r>
        <w:rPr>
          <w:lang w:val="pt-BR"/>
        </w:rPr>
        <w:t xml:space="preserve"> </w:t>
      </w:r>
      <w:r>
        <w:rPr>
          <w:b/>
          <w:bCs/>
          <w:lang w:val="pt-BR"/>
        </w:rPr>
        <w:t xml:space="preserve">morfológicos</w:t>
      </w:r>
      <w:r>
        <w:rPr>
          <w:lang w:val="pt-BR"/>
        </w:rPr>
        <w:t xml:space="preserve"> </w:t>
      </w:r>
      <w:r>
        <w:rPr>
          <w:lang w:val="pt-BR"/>
        </w:rPr>
        <w:t xml:space="preserve">cuja variação reflete escolhas iconográficas deliberadas. Os indicadores 8–10 (</w:t>
      </w:r>
      <w:r>
        <w:rPr>
          <w:i/>
          <w:iCs/>
          <w:lang w:val="pt-BR"/>
        </w:rPr>
        <w:t xml:space="preserve">monocromatização</w:t>
      </w:r>
      <w:r>
        <w:rPr>
          <w:lang w:val="pt-BR"/>
        </w:rPr>
        <w:t xml:space="preserve">,</w:t>
      </w:r>
      <w:r>
        <w:rPr>
          <w:lang w:val="pt-BR"/>
        </w:rPr>
        <w:t xml:space="preserve"> </w:t>
      </w:r>
      <w:r>
        <w:rPr>
          <w:i/>
          <w:iCs/>
          <w:lang w:val="pt-BR"/>
        </w:rPr>
        <w:t xml:space="preserve">serialidade</w:t>
      </w:r>
      <w:r>
        <w:rPr>
          <w:lang w:val="pt-BR"/>
        </w:rPr>
        <w:t xml:space="preserve">,</w:t>
      </w:r>
      <w:r>
        <w:rPr>
          <w:lang w:val="pt-BR"/>
        </w:rPr>
        <w:t xml:space="preserve"> </w:t>
      </w:r>
      <w:r>
        <w:rPr>
          <w:i/>
          <w:iCs/>
          <w:lang w:val="pt-BR"/>
        </w:rPr>
        <w:t xml:space="preserve">inscrição estatal</w:t>
      </w:r>
      <w:r>
        <w:rPr>
          <w:lang w:val="pt-BR"/>
        </w:rPr>
        <w:t xml:space="preserve">) medem propriedades do</w:t>
      </w:r>
      <w:r>
        <w:rPr>
          <w:lang w:val="pt-BR"/>
        </w:rPr>
        <w:t xml:space="preserve"> </w:t>
      </w:r>
      <w:r>
        <w:rPr>
          <w:i/>
          <w:iCs/>
          <w:lang w:val="pt-BR"/>
        </w:rPr>
        <w:t xml:space="preserve">suporte material</w:t>
      </w:r>
      <w:r>
        <w:rPr>
          <w:lang w:val="pt-BR"/>
        </w:rPr>
        <w:t xml:space="preserve"> </w:t>
      </w:r>
      <w:r>
        <w:rPr>
          <w:lang w:val="pt-BR"/>
        </w:rPr>
        <w:t xml:space="preserve">— são indicadores</w:t>
      </w:r>
      <w:r>
        <w:rPr>
          <w:lang w:val="pt-BR"/>
        </w:rPr>
        <w:t xml:space="preserve"> </w:t>
      </w:r>
      <w:r>
        <w:rPr>
          <w:b/>
          <w:bCs/>
          <w:lang w:val="pt-BR"/>
        </w:rPr>
        <w:t xml:space="preserve">materiais</w:t>
      </w:r>
      <w:r>
        <w:rPr>
          <w:lang w:val="pt-BR"/>
        </w:rPr>
        <w:t xml:space="preserve"> </w:t>
      </w:r>
      <w:r>
        <w:rPr>
          <w:lang w:val="pt-BR"/>
        </w:rPr>
        <w:t xml:space="preserve">cuja variação pode ser determinada pelo meio (uma gravura é necessariamente monocromática; uma moeda é necessariamente serial) tanto quanto por uma escolha ideológica.</w:t>
      </w:r>
    </w:p>
    <w:p>
      <w:pPr>
        <w:pStyle w:val="BodyText"/>
      </w:pPr>
      <w:r>
        <w:rPr>
          <w:lang w:val="pt-BR"/>
        </w:rPr>
        <w:t xml:space="preserve">Essa distinção emergiu de forma inesperada durante o diagnóstico do instrumento, quando dois indicadores se mostraram sensíveis ao suporte material. Num instantâneo anterior do corpus (N=145), a</w:t>
      </w:r>
      <w:r>
        <w:rPr>
          <w:lang w:val="pt-BR"/>
        </w:rPr>
        <w:t xml:space="preserve"> </w:t>
      </w:r>
      <w:r>
        <w:rPr>
          <w:i/>
          <w:iCs/>
          <w:lang w:val="pt-BR"/>
        </w:rPr>
        <w:t xml:space="preserve">monocromatização</w:t>
      </w:r>
      <w:r>
        <w:rPr>
          <w:lang w:val="pt-BR"/>
        </w:rPr>
        <w:t xml:space="preserve"> </w:t>
      </w:r>
      <w:r>
        <w:rPr>
          <w:lang w:val="pt-BR"/>
        </w:rPr>
        <w:t xml:space="preserve">não distinguia os regimes quando computada sobre o conjunto, mas passava a distinguí-los com força quando controlada pelo suporte (apenas gravuras). Os valores exatos dessas verificações constam do apêndice de diagnóstico do instrumento; seu estatuto é de calibragem interna, não de prova. O padrão subjacente é revelador: o regime MILITAR privilegiou cartazes policromos (propaganda requer cor para mobilizar), enquanto o regime NORMATIVO privilegiou moedas e selos monocromáticos (rotinização burocrática tende ao minimalismo cromático). O indicador mede, assim, uma interação real entre ideologia e materialidade — não um artefato.</w:t>
      </w:r>
    </w:p>
    <w:p>
      <w:pPr>
        <w:pStyle w:val="BodyText"/>
      </w:pPr>
      <w:r>
        <w:rPr>
          <w:lang w:val="pt-BR"/>
        </w:rPr>
        <w:t xml:space="preserve">O caso do</w:t>
      </w:r>
      <w:r>
        <w:rPr>
          <w:lang w:val="pt-BR"/>
        </w:rPr>
        <w:t xml:space="preserve"> </w:t>
      </w:r>
      <w:r>
        <w:rPr>
          <w:i/>
          <w:iCs/>
          <w:lang w:val="pt-BR"/>
        </w:rPr>
        <w:t xml:space="preserve">enquadramento arquitetônico</w:t>
      </w:r>
      <w:r>
        <w:rPr>
          <w:lang w:val="pt-BR"/>
        </w:rPr>
        <w:t xml:space="preserve"> </w:t>
      </w:r>
      <w:r>
        <w:rPr>
          <w:lang w:val="pt-BR"/>
        </w:rPr>
        <w:t xml:space="preserve">é análogo. Esculturas alemãs em edifícios públicos (corpus DE-002 a DE-011, regime FUNDACIONAL) pontuam 3 por serem</w:t>
      </w:r>
      <w:r>
        <w:rPr>
          <w:lang w:val="pt-BR"/>
        </w:rPr>
        <w:t xml:space="preserve"> </w:t>
      </w:r>
      <w:r>
        <w:rPr>
          <w:i/>
          <w:iCs/>
          <w:lang w:val="pt-BR"/>
        </w:rPr>
        <w:t xml:space="preserve">inerentemente</w:t>
      </w:r>
      <w:r>
        <w:rPr>
          <w:lang w:val="pt-BR"/>
        </w:rPr>
        <w:t xml:space="preserve"> </w:t>
      </w:r>
      <w:r>
        <w:rPr>
          <w:lang w:val="pt-BR"/>
        </w:rPr>
        <w:t xml:space="preserve">emolduradas pela arquitetura — relevos, frontões, lareiras. Quando esses itens são excluídos, o padrão esperado se confirma no diagnóstico: o regime NORMATIVO enquadra mais do que o FUNDACIONAL. A recomendação para futuras aplicações do protocolo é distinguir entre enquadramento</w:t>
      </w:r>
      <w:r>
        <w:rPr>
          <w:lang w:val="pt-BR"/>
        </w:rPr>
        <w:t xml:space="preserve"> </w:t>
      </w:r>
      <w:r>
        <w:rPr>
          <w:i/>
          <w:iCs/>
          <w:lang w:val="pt-BR"/>
        </w:rPr>
        <w:t xml:space="preserve">inerente</w:t>
      </w:r>
      <w:r>
        <w:rPr>
          <w:lang w:val="pt-BR"/>
        </w:rPr>
        <w:t xml:space="preserve"> </w:t>
      </w:r>
      <w:r>
        <w:rPr>
          <w:lang w:val="pt-BR"/>
        </w:rPr>
        <w:t xml:space="preserve">(determinado pelo suporte) e enquadramento</w:t>
      </w:r>
      <w:r>
        <w:rPr>
          <w:lang w:val="pt-BR"/>
        </w:rPr>
        <w:t xml:space="preserve"> </w:t>
      </w:r>
      <w:r>
        <w:rPr>
          <w:i/>
          <w:iCs/>
          <w:lang w:val="pt-BR"/>
        </w:rPr>
        <w:t xml:space="preserve">imposto</w:t>
      </w:r>
      <w:r>
        <w:rPr>
          <w:lang w:val="pt-BR"/>
        </w:rPr>
        <w:t xml:space="preserve"> </w:t>
      </w:r>
      <w:r>
        <w:rPr>
          <w:lang w:val="pt-BR"/>
        </w:rPr>
        <w:t xml:space="preserve">(introduzido deliberadamente para disciplinar a figura).</w:t>
      </w:r>
    </w:p>
    <w:p>
      <w:r>
        <w:pict>
          <v:rect style="width:0;height:1.5pt" o:hralign="center" o:hrstd="t" o:hr="t"/>
        </w:pict>
      </w:r>
    </w:p>
    <w:bookmarkEnd w:id="76"/>
    <w:bookmarkEnd w:id="77"/>
    <w:bookmarkStart w:id="82" w:name="a-tipologia-dos-regimes-iconocráticos"/>
    <w:p>
      <w:pPr>
        <w:pStyle w:val="Heading3"/>
      </w:pPr>
      <w:r>
        <w:rPr>
          <w:rStyle w:val="SectionNumber"/>
          <w:lang w:val="pt-BR"/>
        </w:rPr>
        <w:t xml:space="preserve">5.1.4</w:t>
      </w:r>
      <w:r>
        <w:tab/>
      </w:r>
      <w:r>
        <w:rPr>
          <w:lang w:val="pt-BR"/>
        </w:rPr>
        <w:t xml:space="preserve">2.4 A tipologia dos regimes iconocráticos</w:t>
      </w:r>
    </w:p>
    <w:p>
      <w:pPr>
        <w:pStyle w:val="FirstParagraph"/>
      </w:pPr>
      <w:r>
        <w:rPr>
          <w:lang w:val="pt-BR"/>
        </w:rPr>
        <w:t xml:space="preserve">Os 10 indicadores não operam independentemente: eles se agrupam em perfis morfológicos característicos, que a tese denomina</w:t>
      </w:r>
      <w:r>
        <w:rPr>
          <w:lang w:val="pt-BR"/>
        </w:rPr>
        <w:t xml:space="preserve"> </w:t>
      </w:r>
      <w:r>
        <w:rPr>
          <w:i/>
          <w:iCs/>
          <w:lang w:val="pt-BR"/>
        </w:rPr>
        <w:t xml:space="preserve">regimes iconocráticos</w:t>
      </w:r>
      <w:r>
        <w:rPr>
          <w:lang w:val="pt-BR"/>
        </w:rPr>
        <w:t xml:space="preserve">. A tipologia foi construída por leitura densa de casos exemplares; o diagnóstico do instrumento revelou-se compatível com os três regimes propostos (Capítulo 6), sem confirmá-los como fato estatístico, e a análise qualitativa acrescentou um quarto.</w:t>
      </w:r>
    </w:p>
    <w:bookmarkStart w:id="78" w:name="regime-fundacional"/>
    <w:p>
      <w:pPr>
        <w:pStyle w:val="Heading4"/>
      </w:pPr>
      <w:r>
        <w:rPr>
          <w:rStyle w:val="SectionNumber"/>
          <w:lang w:val="pt-BR"/>
        </w:rPr>
        <w:t xml:space="preserve">5.1.4.1</w:t>
      </w:r>
      <w:r>
        <w:tab/>
      </w:r>
      <w:r>
        <w:rPr>
          <w:lang w:val="pt-BR"/>
        </w:rPr>
        <w:t xml:space="preserve">Regime FUNDACIONAL</w:t>
      </w:r>
    </w:p>
    <w:p>
      <w:pPr>
        <w:pStyle w:val="FirstParagraph"/>
      </w:pPr>
      <w:r>
        <w:rPr>
          <w:lang w:val="pt-BR"/>
        </w:rPr>
        <w:t xml:space="preserve">Alegorias em momentos constituintes: revoluções, proclamações, rupturas constitucionais. O corpo alegórico é</w:t>
      </w:r>
      <w:r>
        <w:rPr>
          <w:lang w:val="pt-BR"/>
        </w:rPr>
        <w:t xml:space="preserve"> </w:t>
      </w:r>
      <w:r>
        <w:rPr>
          <w:b/>
          <w:bCs/>
          <w:lang w:val="pt-BR"/>
        </w:rPr>
        <w:t xml:space="preserve">dinâmico</w:t>
      </w:r>
      <w:r>
        <w:rPr>
          <w:lang w:val="pt-BR"/>
        </w:rPr>
        <w:t xml:space="preserve">,</w:t>
      </w:r>
      <w:r>
        <w:rPr>
          <w:lang w:val="pt-BR"/>
        </w:rPr>
        <w:t xml:space="preserve"> </w:t>
      </w:r>
      <w:r>
        <w:rPr>
          <w:b/>
          <w:bCs/>
          <w:lang w:val="pt-BR"/>
        </w:rPr>
        <w:t xml:space="preserve">narrativo</w:t>
      </w:r>
      <w:r>
        <w:rPr>
          <w:lang w:val="pt-BR"/>
        </w:rPr>
        <w:t xml:space="preserve"> </w:t>
      </w:r>
      <w:r>
        <w:rPr>
          <w:lang w:val="pt-BR"/>
        </w:rPr>
        <w:t xml:space="preserve">e</w:t>
      </w:r>
      <w:r>
        <w:rPr>
          <w:lang w:val="pt-BR"/>
        </w:rPr>
        <w:t xml:space="preserve"> </w:t>
      </w:r>
      <w:r>
        <w:rPr>
          <w:b/>
          <w:bCs/>
          <w:lang w:val="pt-BR"/>
        </w:rPr>
        <w:t xml:space="preserve">corporalizado</w:t>
      </w:r>
      <w:r>
        <w:rPr>
          <w:lang w:val="pt-BR"/>
        </w:rPr>
        <w:t xml:space="preserve"> </w:t>
      </w:r>
      <w:r>
        <w:rPr>
          <w:lang w:val="pt-BR"/>
        </w:rPr>
        <w:t xml:space="preserve">— a Liberté de Delacroix nas barricadas, a Justiça de Chifflart em voo punitivo (corpus FR-001, endurecimento 0,6).</w:t>
      </w:r>
    </w:p>
    <w:bookmarkEnd w:id="78"/>
    <w:bookmarkStart w:id="79" w:name="regime-normativo"/>
    <w:p>
      <w:pPr>
        <w:pStyle w:val="Heading4"/>
      </w:pPr>
      <w:r>
        <w:rPr>
          <w:rStyle w:val="SectionNumber"/>
          <w:lang w:val="pt-BR"/>
        </w:rPr>
        <w:t xml:space="preserve">5.1.4.2</w:t>
      </w:r>
      <w:r>
        <w:tab/>
      </w:r>
      <w:r>
        <w:rPr>
          <w:lang w:val="pt-BR"/>
        </w:rPr>
        <w:t xml:space="preserve">Regime NORMATIVO</w:t>
      </w:r>
    </w:p>
    <w:p>
      <w:pPr>
        <w:pStyle w:val="FirstParagraph"/>
      </w:pPr>
      <w:r>
        <w:rPr>
          <w:lang w:val="pt-BR"/>
        </w:rPr>
        <w:t xml:space="preserve">Alegorias na rotina institucional: moedas, selos, bustos cívicos, decoração de edifícios públicos. O corpo é</w:t>
      </w:r>
      <w:r>
        <w:rPr>
          <w:lang w:val="pt-BR"/>
        </w:rPr>
        <w:t xml:space="preserve"> </w:t>
      </w:r>
      <w:r>
        <w:rPr>
          <w:b/>
          <w:bCs/>
          <w:lang w:val="pt-BR"/>
        </w:rPr>
        <w:t xml:space="preserve">estático</w:t>
      </w:r>
      <w:r>
        <w:rPr>
          <w:lang w:val="pt-BR"/>
        </w:rPr>
        <w:t xml:space="preserve">,</w:t>
      </w:r>
      <w:r>
        <w:rPr>
          <w:lang w:val="pt-BR"/>
        </w:rPr>
        <w:t xml:space="preserve"> </w:t>
      </w:r>
      <w:r>
        <w:rPr>
          <w:b/>
          <w:bCs/>
          <w:lang w:val="pt-BR"/>
        </w:rPr>
        <w:t xml:space="preserve">dessexualizado</w:t>
      </w:r>
      <w:r>
        <w:rPr>
          <w:lang w:val="pt-BR"/>
        </w:rPr>
        <w:t xml:space="preserve"> </w:t>
      </w:r>
      <w:r>
        <w:rPr>
          <w:lang w:val="pt-BR"/>
        </w:rPr>
        <w:t xml:space="preserve">e</w:t>
      </w:r>
      <w:r>
        <w:rPr>
          <w:lang w:val="pt-BR"/>
        </w:rPr>
        <w:t xml:space="preserve"> </w:t>
      </w:r>
      <w:r>
        <w:rPr>
          <w:b/>
          <w:bCs/>
          <w:lang w:val="pt-BR"/>
        </w:rPr>
        <w:t xml:space="preserve">serializado</w:t>
      </w:r>
      <w:r>
        <w:rPr>
          <w:lang w:val="pt-BR"/>
        </w:rPr>
        <w:t xml:space="preserve"> </w:t>
      </w:r>
      <w:r>
        <w:rPr>
          <w:lang w:val="pt-BR"/>
        </w:rPr>
        <w:t xml:space="preserve">— o busto de Marianne nos</w:t>
      </w:r>
      <w:r>
        <w:rPr>
          <w:lang w:val="pt-BR"/>
        </w:rPr>
        <w:t xml:space="preserve"> </w:t>
      </w:r>
      <w:r>
        <w:rPr>
          <w:i/>
          <w:iCs/>
          <w:lang w:val="pt-BR"/>
        </w:rPr>
        <w:t xml:space="preserve">mairies</w:t>
      </w:r>
      <w:r>
        <w:rPr>
          <w:lang w:val="pt-BR"/>
        </w:rPr>
        <w:t xml:space="preserve"> </w:t>
      </w:r>
      <w:r>
        <w:rPr>
          <w:lang w:val="pt-BR"/>
        </w:rPr>
        <w:t xml:space="preserve">da França (36 mil comunas [VERIFICAR: a presença universal do busto não está documentada — abrandar ou documentar]; FR-009, endurecimento 2,4) é o caso paradigmático. O formato do busto</w:t>
      </w:r>
      <w:r>
        <w:rPr>
          <w:lang w:val="pt-BR"/>
        </w:rPr>
        <w:t xml:space="preserve"> </w:t>
      </w:r>
      <w:r>
        <w:rPr>
          <w:i/>
          <w:iCs/>
          <w:lang w:val="pt-BR"/>
        </w:rPr>
        <w:t xml:space="preserve">é</w:t>
      </w:r>
      <w:r>
        <w:rPr>
          <w:lang w:val="pt-BR"/>
        </w:rPr>
        <w:t xml:space="preserve"> </w:t>
      </w:r>
      <w:r>
        <w:rPr>
          <w:lang w:val="pt-BR"/>
        </w:rPr>
        <w:t xml:space="preserve">a purificação: ele elimina fisicamente os membros, as mãos, o torso, reduzindo a figura a rosto + barrete + ombros — o mínimo semiótico.</w:t>
      </w:r>
    </w:p>
    <w:bookmarkEnd w:id="79"/>
    <w:bookmarkStart w:id="80" w:name="regime-militar"/>
    <w:p>
      <w:pPr>
        <w:pStyle w:val="Heading4"/>
      </w:pPr>
      <w:r>
        <w:rPr>
          <w:rStyle w:val="SectionNumber"/>
          <w:lang w:val="pt-BR"/>
        </w:rPr>
        <w:t xml:space="preserve">5.1.4.3</w:t>
      </w:r>
      <w:r>
        <w:tab/>
      </w:r>
      <w:r>
        <w:rPr>
          <w:lang w:val="pt-BR"/>
        </w:rPr>
        <w:t xml:space="preserve">Regime MILITAR</w:t>
      </w:r>
    </w:p>
    <w:p>
      <w:pPr>
        <w:pStyle w:val="FirstParagraph"/>
      </w:pPr>
      <w:r>
        <w:rPr>
          <w:lang w:val="pt-BR"/>
        </w:rPr>
        <w:t xml:space="preserve">Alegorias em contextos bélicos e autoritários: cartazes de guerra, empréstimos nacionais, propaganda imperial. O corpo é</w:t>
      </w:r>
      <w:r>
        <w:rPr>
          <w:lang w:val="pt-BR"/>
        </w:rPr>
        <w:t xml:space="preserve"> </w:t>
      </w:r>
      <w:r>
        <w:rPr>
          <w:b/>
          <w:bCs/>
          <w:lang w:val="pt-BR"/>
        </w:rPr>
        <w:t xml:space="preserve">mobilizado</w:t>
      </w:r>
      <w:r>
        <w:rPr>
          <w:lang w:val="pt-BR"/>
        </w:rPr>
        <w:t xml:space="preserve"> </w:t>
      </w:r>
      <w:r>
        <w:rPr>
          <w:lang w:val="pt-BR"/>
        </w:rPr>
        <w:t xml:space="preserve">— nem revolucionário nem burocrático, mas</w:t>
      </w:r>
      <w:r>
        <w:rPr>
          <w:lang w:val="pt-BR"/>
        </w:rPr>
        <w:t xml:space="preserve"> </w:t>
      </w:r>
      <w:r>
        <w:rPr>
          <w:b/>
          <w:bCs/>
          <w:lang w:val="pt-BR"/>
        </w:rPr>
        <w:t xml:space="preserve">convocatório</w:t>
      </w:r>
      <w:r>
        <w:rPr>
          <w:lang w:val="pt-BR"/>
        </w:rPr>
        <w:t xml:space="preserve">. A Marianne do</w:t>
      </w:r>
      <w:r>
        <w:rPr>
          <w:lang w:val="pt-BR"/>
        </w:rPr>
        <w:t xml:space="preserve"> </w:t>
      </w:r>
      <w:r>
        <w:rPr>
          <w:i/>
          <w:iCs/>
          <w:lang w:val="pt-BR"/>
        </w:rPr>
        <w:t xml:space="preserve">3e Emprunt de la Défense nationale</w:t>
      </w:r>
      <w:r>
        <w:rPr>
          <w:lang w:val="pt-BR"/>
        </w:rPr>
        <w:t xml:space="preserve"> </w:t>
      </w:r>
      <w:r>
        <w:rPr>
          <w:lang w:val="pt-BR"/>
        </w:rPr>
        <w:t xml:space="preserve">(FR-007, Lelong, 1917, endurecimento 1,8) ergue-se como estátua acima dos soldados que marcham, hierática mas investida de autoridade marcial. O perfil é distinto do normativo: os indicadores de</w:t>
      </w:r>
      <w:r>
        <w:rPr>
          <w:lang w:val="pt-BR"/>
        </w:rPr>
        <w:t xml:space="preserve"> </w:t>
      </w:r>
      <w:r>
        <w:rPr>
          <w:i/>
          <w:iCs/>
          <w:lang w:val="pt-BR"/>
        </w:rPr>
        <w:t xml:space="preserve">inscrição estatal</w:t>
      </w:r>
      <w:r>
        <w:rPr>
          <w:lang w:val="pt-BR"/>
        </w:rPr>
        <w:t xml:space="preserve"> </w:t>
      </w:r>
      <w:r>
        <w:rPr>
          <w:lang w:val="pt-BR"/>
        </w:rPr>
        <w:t xml:space="preserve">e</w:t>
      </w:r>
      <w:r>
        <w:rPr>
          <w:lang w:val="pt-BR"/>
        </w:rPr>
        <w:t xml:space="preserve"> </w:t>
      </w:r>
      <w:r>
        <w:rPr>
          <w:i/>
          <w:iCs/>
          <w:lang w:val="pt-BR"/>
        </w:rPr>
        <w:t xml:space="preserve">serialidade</w:t>
      </w:r>
      <w:r>
        <w:rPr>
          <w:lang w:val="pt-BR"/>
        </w:rPr>
        <w:t xml:space="preserve"> </w:t>
      </w:r>
      <w:r>
        <w:rPr>
          <w:lang w:val="pt-BR"/>
        </w:rPr>
        <w:t xml:space="preserve">são máximos (o cartaz</w:t>
      </w:r>
      <w:r>
        <w:rPr>
          <w:lang w:val="pt-BR"/>
        </w:rPr>
        <w:t xml:space="preserve"> </w:t>
      </w:r>
      <w:r>
        <w:rPr>
          <w:i/>
          <w:iCs/>
          <w:lang w:val="pt-BR"/>
        </w:rPr>
        <w:t xml:space="preserve">é</w:t>
      </w:r>
      <w:r>
        <w:rPr>
          <w:lang w:val="pt-BR"/>
        </w:rPr>
        <w:t xml:space="preserve"> </w:t>
      </w:r>
      <w:r>
        <w:rPr>
          <w:lang w:val="pt-BR"/>
        </w:rPr>
        <w:t xml:space="preserve">um instrumento de Estado), enquanto a</w:t>
      </w:r>
      <w:r>
        <w:rPr>
          <w:lang w:val="pt-BR"/>
        </w:rPr>
        <w:t xml:space="preserve"> </w:t>
      </w:r>
      <w:r>
        <w:rPr>
          <w:i/>
          <w:iCs/>
          <w:lang w:val="pt-BR"/>
        </w:rPr>
        <w:t xml:space="preserve">rigidez postural</w:t>
      </w:r>
      <w:r>
        <w:rPr>
          <w:lang w:val="pt-BR"/>
        </w:rPr>
        <w:t xml:space="preserve"> </w:t>
      </w:r>
      <w:r>
        <w:rPr>
          <w:lang w:val="pt-BR"/>
        </w:rPr>
        <w:t xml:space="preserve">é variável.</w:t>
      </w:r>
    </w:p>
    <w:p>
      <w:pPr>
        <w:pStyle w:val="BodyText"/>
      </w:pPr>
      <w:r>
        <w:rPr>
          <w:lang w:val="pt-BR"/>
        </w:rPr>
        <w:t xml:space="preserve">Um achado inesperado dentro do regime MILITAR: a diferença entre artistas. O cartaz de Steinlen (FR-008, 0,8) e o cartaz de Lelong (FR-007, 1,8), ambos de propaganda francesa na Primeira Guerra, diferem radicalmente. Steinlen, formado na tradição social-realista, produziu uma Marianne com seio nu, cabelo ao vento e boca aberta em grito — é a reativação (</w:t>
      </w:r>
      <w:r>
        <w:rPr>
          <w:i/>
          <w:iCs/>
          <w:lang w:val="pt-BR"/>
        </w:rPr>
        <w:t xml:space="preserve">Nachleben</w:t>
      </w:r>
      <w:r>
        <w:rPr>
          <w:lang w:val="pt-BR"/>
        </w:rPr>
        <w:t xml:space="preserve">) da Liberté de Delacroix para fins de mobilização. Lelong, ao contrário, petrificou Marianne em posição de estátua. O estilo individual do artista modula o endurecimento, mesmo quando a função institucional (propaganda de guerra) é idêntica.</w:t>
      </w:r>
    </w:p>
    <w:bookmarkEnd w:id="80"/>
    <w:bookmarkStart w:id="81" w:name="contra-alegoria"/>
    <w:p>
      <w:pPr>
        <w:pStyle w:val="Heading4"/>
      </w:pPr>
      <w:r>
        <w:rPr>
          <w:rStyle w:val="SectionNumber"/>
          <w:lang w:val="pt-BR"/>
        </w:rPr>
        <w:t xml:space="preserve">5.1.4.4</w:t>
      </w:r>
      <w:r>
        <w:tab/>
      </w:r>
      <w:r>
        <w:rPr>
          <w:lang w:val="pt-BR"/>
        </w:rPr>
        <w:t xml:space="preserve">Contra-alegoria</w:t>
      </w:r>
    </w:p>
    <w:p>
      <w:pPr>
        <w:pStyle w:val="FirstParagraph"/>
      </w:pPr>
      <w:r>
        <w:rPr>
          <w:lang w:val="pt-BR"/>
        </w:rPr>
        <w:t xml:space="preserve">Imagens que subvertem deliberadamente o repertório alegórico oficial. O corpus inclui 7 itens classificados como contra-alegoria, que operam por três mecanismos distintos:</w:t>
      </w:r>
    </w:p>
    <w:p>
      <w:pPr>
        <w:pStyle w:val="BodyText"/>
      </w:pPr>
      <w:r>
        <w:rPr>
          <w:b/>
          <w:bCs/>
          <w:lang w:val="pt-BR"/>
        </w:rPr>
        <w:t xml:space="preserve">Subversão por grotesco.</w:t>
      </w:r>
      <w:r>
        <w:rPr>
          <w:lang w:val="pt-BR"/>
        </w:rPr>
        <w:t xml:space="preserve"> </w:t>
      </w:r>
      <w:r>
        <w:rPr>
          <w:lang w:val="pt-BR"/>
        </w:rPr>
        <w:t xml:space="preserve">A</w:t>
      </w:r>
      <w:r>
        <w:rPr>
          <w:lang w:val="pt-BR"/>
        </w:rPr>
        <w:t xml:space="preserve"> </w:t>
      </w:r>
      <w:r>
        <w:rPr>
          <w:i/>
          <w:iCs/>
          <w:lang w:val="pt-BR"/>
        </w:rPr>
        <w:t xml:space="preserve">République aimable</w:t>
      </w:r>
      <w:r>
        <w:rPr>
          <w:lang w:val="pt-BR"/>
        </w:rPr>
        <w:t xml:space="preserve"> </w:t>
      </w:r>
      <w:r>
        <w:rPr>
          <w:lang w:val="pt-BR"/>
        </w:rPr>
        <w:t xml:space="preserve">de Félicien Rops (FR-005, 1871, endurecimento 0,8 [VERIFICAR: o ledger registra FR-005 como normativo, composto 0,5 — recodificação ou correção pendente]) — uma Marianne irônica, mão na cintura, lorgnette ao rosto — e a</w:t>
      </w:r>
      <w:r>
        <w:rPr>
          <w:lang w:val="pt-BR"/>
        </w:rPr>
        <w:t xml:space="preserve"> </w:t>
      </w:r>
      <w:r>
        <w:rPr>
          <w:i/>
          <w:iCs/>
          <w:lang w:val="pt-BR"/>
        </w:rPr>
        <w:t xml:space="preserve">Notre-Dame des colonies</w:t>
      </w:r>
      <w:r>
        <w:rPr>
          <w:lang w:val="pt-BR"/>
        </w:rPr>
        <w:t xml:space="preserve"> </w:t>
      </w:r>
      <w:r>
        <w:rPr>
          <w:lang w:val="pt-BR"/>
        </w:rPr>
        <w:t xml:space="preserve">de Jean Veber (FR-022, 1909, endurecimento 0,3) — uma Marianne grotescamente obesa, flanqueada por figuras colonizadas emaciadas, parodiando simultaneamente a iconografia republicana e religiosa a serviço da crítica anticolonial. A</w:t>
      </w:r>
      <w:r>
        <w:rPr>
          <w:lang w:val="pt-BR"/>
        </w:rPr>
        <w:t xml:space="preserve"> </w:t>
      </w:r>
      <w:r>
        <w:rPr>
          <w:i/>
          <w:iCs/>
          <w:lang w:val="pt-BR"/>
        </w:rPr>
        <w:t xml:space="preserve">Madame Anastasie</w:t>
      </w:r>
      <w:r>
        <w:rPr>
          <w:lang w:val="pt-BR"/>
        </w:rPr>
        <w:t xml:space="preserve"> </w:t>
      </w:r>
      <w:r>
        <w:rPr>
          <w:lang w:val="pt-BR"/>
        </w:rPr>
        <w:t xml:space="preserve">de André Gill (FR-031, 1874, endurecimento 0,4) personifica a censura como velha de tesoura — inversão deliberada de cada código da Feminilidade de Estado.</w:t>
      </w:r>
    </w:p>
    <w:p>
      <w:pPr>
        <w:pStyle w:val="BodyText"/>
      </w:pPr>
      <w:r>
        <w:rPr>
          <w:b/>
          <w:bCs/>
          <w:lang w:val="pt-BR"/>
        </w:rPr>
        <w:t xml:space="preserve">Subversão por desmembramento.</w:t>
      </w:r>
      <w:r>
        <w:rPr>
          <w:lang w:val="pt-BR"/>
        </w:rPr>
        <w:t xml:space="preserve"> </w:t>
      </w:r>
      <w:r>
        <w:rPr>
          <w:i/>
          <w:iCs/>
          <w:lang w:val="pt-BR"/>
        </w:rPr>
        <w:t xml:space="preserve">Liberty Is Not Anarchy</w:t>
      </w:r>
      <w:r>
        <w:rPr>
          <w:lang w:val="pt-BR"/>
        </w:rPr>
        <w:t xml:space="preserve"> </w:t>
      </w:r>
      <w:r>
        <w:rPr>
          <w:lang w:val="pt-BR"/>
        </w:rPr>
        <w:t xml:space="preserve">de Thomas Nast (US-019, 1886, endurecimento 1,7) — o caso mais radical de desincorporação do corpus: o corpo alegórico feminino é literalmente eliminado, reduzido a mãos gigantescas que esmagam anarquistas. A dessexualização, a uniformização facial e a desincorporação atingem o grau máximo (3) não por abstração institucional, mas por amputação — a purificação última é a ausência do corpo.</w:t>
      </w:r>
    </w:p>
    <w:p>
      <w:pPr>
        <w:pStyle w:val="BodyText"/>
      </w:pPr>
      <w:r>
        <w:rPr>
          <w:b/>
          <w:bCs/>
          <w:lang w:val="pt-BR"/>
        </w:rPr>
        <w:t xml:space="preserve">Subversão por ausência.</w:t>
      </w:r>
      <w:r>
        <w:rPr>
          <w:lang w:val="pt-BR"/>
        </w:rPr>
        <w:t xml:space="preserve"> </w:t>
      </w:r>
      <w:r>
        <w:rPr>
          <w:i/>
          <w:iCs/>
          <w:lang w:val="pt-BR"/>
        </w:rPr>
        <w:t xml:space="preserve">Looking Backward</w:t>
      </w:r>
      <w:r>
        <w:rPr>
          <w:lang w:val="pt-BR"/>
        </w:rPr>
        <w:t xml:space="preserve"> </w:t>
      </w:r>
      <w:r>
        <w:rPr>
          <w:lang w:val="pt-BR"/>
        </w:rPr>
        <w:t xml:space="preserve">de Joseph Keppler (US-020, 1893, endurecimento 0,5) — a</w:t>
      </w:r>
      <w:r>
        <w:rPr>
          <w:lang w:val="pt-BR"/>
        </w:rPr>
        <w:t xml:space="preserve"> </w:t>
      </w:r>
      <w:r>
        <w:rPr>
          <w:i/>
          <w:iCs/>
          <w:lang w:val="pt-BR"/>
        </w:rPr>
        <w:t xml:space="preserve">ausência alegórica</w:t>
      </w:r>
      <w:r>
        <w:rPr>
          <w:lang w:val="pt-BR"/>
        </w:rPr>
        <w:t xml:space="preserve"> </w:t>
      </w:r>
      <w:r>
        <w:rPr>
          <w:lang w:val="pt-BR"/>
        </w:rPr>
        <w:t xml:space="preserve">como forma mais radical de contra-alegoria. Numa cena que por todas as convenções exigiria a presença de Columbia/Liberty (imigração, acolhimento), a alegoria simplesmente não aparece. O Contrato Sexual Visual é denunciado pela negação: o corpo materno-acolhedor que deveria legitimar a política de imigração foi retirado, expondo o interesse de classe subjacente.</w:t>
      </w:r>
    </w:p>
    <w:p>
      <w:pPr>
        <w:pStyle w:val="BodyText"/>
      </w:pPr>
      <w:r>
        <w:rPr>
          <w:lang w:val="pt-BR"/>
        </w:rPr>
        <w:t xml:space="preserve">Estes itens resistem à classificação nos três regimes porque sua função não é legitimar, estabilizar ou mobilizar o Estado, mas</w:t>
      </w:r>
      <w:r>
        <w:rPr>
          <w:lang w:val="pt-BR"/>
        </w:rPr>
        <w:t xml:space="preserve"> </w:t>
      </w:r>
      <w:r>
        <w:rPr>
          <w:i/>
          <w:iCs/>
          <w:lang w:val="pt-BR"/>
        </w:rPr>
        <w:t xml:space="preserve">delegitimá-lo</w:t>
      </w:r>
      <w:r>
        <w:rPr>
          <w:lang w:val="pt-BR"/>
        </w:rPr>
        <w:t xml:space="preserve">. Os scores de endurecimento são os mais baixos do corpus, precisamente porque a sátira recusa a purificação: o corpo permanece individual, sexualizado, expressivo, narrativo — tudo que o processo de endurecimento elimina. A contra-alegoria demonstra, por negação, o que o regime NORMATIVO suprime.</w:t>
      </w:r>
    </w:p>
    <w:p>
      <w:r>
        <w:pict>
          <v:rect style="width:0;height:1.5pt" o:hralign="center" o:hrstd="t" o:hr="t"/>
        </w:pict>
      </w:r>
    </w:p>
    <w:bookmarkEnd w:id="81"/>
    <w:bookmarkEnd w:id="82"/>
    <w:bookmarkStart w:id="87" w:name="X300a02a44ef61126af5ca2ee4153f1c07eed621"/>
    <w:p>
      <w:pPr>
        <w:pStyle w:val="Heading3"/>
      </w:pPr>
      <w:r>
        <w:rPr>
          <w:rStyle w:val="SectionNumber"/>
          <w:lang w:val="pt-BR"/>
        </w:rPr>
        <w:t xml:space="preserve">5.1.5</w:t>
      </w:r>
      <w:r>
        <w:tab/>
      </w:r>
      <w:r>
        <w:rPr>
          <w:lang w:val="pt-BR"/>
        </w:rPr>
        <w:t xml:space="preserve">2.5 Paradigma indiciário e padrões de prova na iconografia jurídica</w:t>
      </w:r>
    </w:p>
    <w:p>
      <w:pPr>
        <w:pStyle w:val="FirstParagraph"/>
      </w:pPr>
      <w:r>
        <w:rPr>
          <w:lang w:val="pt-BR"/>
        </w:rPr>
        <w:t xml:space="preserve">Os parágrafos anteriores demonstraram que o protocolo IconoCode produz resultados</w:t>
      </w:r>
      <w:r>
        <w:rPr>
          <w:lang w:val="pt-BR"/>
        </w:rPr>
        <w:t xml:space="preserve"> </w:t>
      </w:r>
      <w:r>
        <w:rPr>
          <w:i/>
          <w:iCs/>
          <w:lang w:val="pt-BR"/>
        </w:rPr>
        <w:t xml:space="preserve">operacionalmente</w:t>
      </w:r>
      <w:r>
        <w:rPr>
          <w:lang w:val="pt-BR"/>
        </w:rPr>
        <w:t xml:space="preserve"> </w:t>
      </w:r>
      <w:r>
        <w:rPr>
          <w:lang w:val="pt-BR"/>
        </w:rPr>
        <w:t xml:space="preserve">robustos: o eixo de formalização burocrática dos indicadores — serialidade, inscrição estatal, heraldicização — discrimina os regimes iconocráticos no corpus atual (Capítulo 6), os casos paradigmáticos emergem de forma consistente com as hipóteses teóricas, e a seção seguinte (§2.6) documentará que os deltas entre codificação por metadados e por imagem são mensuráveis e auditáveis. Falta, porém, legitimar</w:t>
      </w:r>
      <w:r>
        <w:rPr>
          <w:lang w:val="pt-BR"/>
        </w:rPr>
        <w:t xml:space="preserve"> </w:t>
      </w:r>
      <w:r>
        <w:rPr>
          <w:i/>
          <w:iCs/>
          <w:lang w:val="pt-BR"/>
        </w:rPr>
        <w:t xml:space="preserve">epistemologicamente</w:t>
      </w:r>
      <w:r>
        <w:rPr>
          <w:lang w:val="pt-BR"/>
        </w:rPr>
        <w:t xml:space="preserve"> </w:t>
      </w:r>
      <w:r>
        <w:rPr>
          <w:lang w:val="pt-BR"/>
        </w:rPr>
        <w:t xml:space="preserve">o padrão de prova subjacente a esses resultados: não</w:t>
      </w:r>
      <w:r>
        <w:rPr>
          <w:lang w:val="pt-BR"/>
        </w:rPr>
        <w:t xml:space="preserve"> </w:t>
      </w:r>
      <w:r>
        <w:rPr>
          <w:lang w:val="pt-BR"/>
        </w:rPr>
        <w:t xml:space="preserve">“os números estão corretos?”</w:t>
      </w:r>
      <w:r>
        <w:rPr>
          <w:lang w:val="pt-BR"/>
        </w:rPr>
        <w:t xml:space="preserve"> </w:t>
      </w:r>
      <w:r>
        <w:rPr>
          <w:lang w:val="pt-BR"/>
        </w:rPr>
        <w:t xml:space="preserve">— pergunta técnica, respondida pela auditabilidade —, mas</w:t>
      </w:r>
      <w:r>
        <w:rPr>
          <w:lang w:val="pt-BR"/>
        </w:rPr>
        <w:t xml:space="preserve"> </w:t>
      </w:r>
      <w:r>
        <w:rPr>
          <w:lang w:val="pt-BR"/>
        </w:rPr>
        <w:t xml:space="preserve">“que tipo de conhecimento esses números produzem, e por que esse conhecimento é suficiente para as afirmações que a tese faz?”</w:t>
      </w:r>
      <w:r>
        <w:rPr>
          <w:lang w:val="pt-BR"/>
        </w:rPr>
        <w:t xml:space="preserve">. Esta seção responde a essa pergunta e estabelece a moldura à luz da qual a validação empírica de §2.6 deve ser lida: não como prova autônoma, mas como evidência subordinada ao padrão de prova aqui construído.</w:t>
      </w:r>
    </w:p>
    <w:p>
      <w:pPr>
        <w:pStyle w:val="BodyText"/>
      </w:pPr>
      <w:r>
        <w:rPr>
          <w:lang w:val="pt-BR"/>
        </w:rPr>
        <w:t xml:space="preserve">Três objeções que uma banca informada levantará estruturam a resposta: a objeção do</w:t>
      </w:r>
      <w:r>
        <w:rPr>
          <w:lang w:val="pt-BR"/>
        </w:rPr>
        <w:t xml:space="preserve"> </w:t>
      </w:r>
      <w:r>
        <w:rPr>
          <w:b/>
          <w:bCs/>
          <w:lang w:val="pt-BR"/>
        </w:rPr>
        <w:t xml:space="preserve">empiricismo frustrado</w:t>
      </w:r>
      <w:r>
        <w:rPr>
          <w:lang w:val="pt-BR"/>
        </w:rPr>
        <w:t xml:space="preserve"> </w:t>
      </w:r>
      <w:r>
        <w:rPr>
          <w:lang w:val="pt-BR"/>
        </w:rPr>
        <w:t xml:space="preserve">(a tese usa linguagem quantitativa sem satisfazer os critérios do empiricismo experimental — amostragem probabilística, condições controladas, replicabilidade mecânica); a objeção da</w:t>
      </w:r>
      <w:r>
        <w:rPr>
          <w:lang w:val="pt-BR"/>
        </w:rPr>
        <w:t xml:space="preserve"> </w:t>
      </w:r>
      <w:r>
        <w:rPr>
          <w:b/>
          <w:bCs/>
          <w:lang w:val="pt-BR"/>
        </w:rPr>
        <w:t xml:space="preserve">concordância intercodificadores</w:t>
      </w:r>
      <w:r>
        <w:rPr>
          <w:lang w:val="pt-BR"/>
        </w:rPr>
        <w:t xml:space="preserve"> </w:t>
      </w:r>
      <w:r>
        <w:rPr>
          <w:lang w:val="pt-BR"/>
        </w:rPr>
        <w:t xml:space="preserve">(se os 10 indicadores foram pontuados por um modelo de linguagem multimodal, que garantia há de validade?); e a objeção do</w:t>
      </w:r>
      <w:r>
        <w:rPr>
          <w:lang w:val="pt-BR"/>
        </w:rPr>
        <w:t xml:space="preserve"> </w:t>
      </w:r>
      <w:r>
        <w:rPr>
          <w:b/>
          <w:bCs/>
          <w:lang w:val="pt-BR"/>
        </w:rPr>
        <w:t xml:space="preserve">silêncio arquivístico</w:t>
      </w:r>
      <w:r>
        <w:rPr>
          <w:lang w:val="pt-BR"/>
        </w:rPr>
        <w:t xml:space="preserve"> </w:t>
      </w:r>
      <w:r>
        <w:rPr>
          <w:lang w:val="pt-BR"/>
        </w:rPr>
        <w:t xml:space="preserve">(a tese já analisa a ausência alegórica como dado — tag</w:t>
      </w:r>
      <w:r>
        <w:rPr>
          <w:lang w:val="pt-BR"/>
        </w:rPr>
        <w:t xml:space="preserve"> </w:t>
      </w:r>
      <w:r>
        <w:rPr>
          <w:rStyle w:val="VerbatimChar"/>
          <w:lang w:val="pt-BR"/>
        </w:rPr>
        <w:t xml:space="preserve">#ausencia-alegorica</w:t>
      </w:r>
      <w:r>
        <w:rPr>
          <w:lang w:val="pt-BR"/>
        </w:rPr>
        <w:t xml:space="preserve">, item US-020 em §2.4 — mas sem ancoragem teórica explícita). A resposta a cada uma organiza-se em três fios.</w:t>
      </w:r>
    </w:p>
    <w:bookmarkStart w:id="83" w:name="Xf78db0f7edb31dc06dd188c6b6dd1280951e26b"/>
    <w:p>
      <w:pPr>
        <w:pStyle w:val="Heading4"/>
      </w:pPr>
      <w:r>
        <w:rPr>
          <w:rStyle w:val="SectionNumber"/>
          <w:lang w:val="pt-BR"/>
        </w:rPr>
        <w:t xml:space="preserve">5.1.5.1</w:t>
      </w:r>
      <w:r>
        <w:tab/>
      </w:r>
      <w:r>
        <w:rPr>
          <w:lang w:val="pt-BR"/>
        </w:rPr>
        <w:t xml:space="preserve">2.5.1 Posição estratificada por nível panofskiano</w:t>
      </w:r>
    </w:p>
    <w:p>
      <w:pPr>
        <w:pStyle w:val="FirstParagraph"/>
      </w:pPr>
      <w:r>
        <w:rPr>
          <w:lang w:val="pt-BR"/>
        </w:rPr>
        <w:t xml:space="preserve">A pergunta</w:t>
      </w:r>
      <w:r>
        <w:rPr>
          <w:lang w:val="pt-BR"/>
        </w:rPr>
        <w:t xml:space="preserve"> </w:t>
      </w:r>
      <w:r>
        <w:rPr>
          <w:lang w:val="pt-BR"/>
        </w:rPr>
        <w:t xml:space="preserve">“o quanto dois codificadores concordam?”</w:t>
      </w:r>
      <w:r>
        <w:rPr>
          <w:lang w:val="pt-BR"/>
        </w:rPr>
        <w:t xml:space="preserve"> </w:t>
      </w:r>
      <w:r>
        <w:rPr>
          <w:lang w:val="pt-BR"/>
        </w:rPr>
        <w:t xml:space="preserve">pressupõe que</w:t>
      </w:r>
      <w:r>
        <w:rPr>
          <w:lang w:val="pt-BR"/>
        </w:rPr>
        <w:t xml:space="preserve"> </w:t>
      </w:r>
      <w:r>
        <w:rPr>
          <w:lang w:val="pt-BR"/>
        </w:rPr>
        <w:t xml:space="preserve">“codificação”</w:t>
      </w:r>
      <w:r>
        <w:rPr>
          <w:lang w:val="pt-BR"/>
        </w:rPr>
        <w:t xml:space="preserve"> </w:t>
      </w:r>
      <w:r>
        <w:rPr>
          <w:lang w:val="pt-BR"/>
        </w:rPr>
        <w:t xml:space="preserve">é uma categoria unitária. A estrutura tripartida de Panofsky (1939; 1955) desfaz essa suposição. No</w:t>
      </w:r>
      <w:r>
        <w:rPr>
          <w:lang w:val="pt-BR"/>
        </w:rPr>
        <w:t xml:space="preserve"> </w:t>
      </w:r>
      <w:r>
        <w:rPr>
          <w:b/>
          <w:bCs/>
          <w:lang w:val="pt-BR"/>
        </w:rPr>
        <w:t xml:space="preserve">Nível 1</w:t>
      </w:r>
      <w:r>
        <w:rPr>
          <w:lang w:val="pt-BR"/>
        </w:rPr>
        <w:t xml:space="preserve"> </w:t>
      </w:r>
      <w:r>
        <w:rPr>
          <w:lang w:val="pt-BR"/>
        </w:rPr>
        <w:t xml:space="preserve">(pré-iconográfico), a codificação descreve propriedades observáveis — postura, atributos, suporte —, verificáveis intersubjetivamente; a concordância entre codificadores é, em princípio, alta e mensurável (percentual de concordância simples; kappa de Cohen aplicável a variáveis binárias, mas de adequação limitada a categorias compostas). No</w:t>
      </w:r>
      <w:r>
        <w:rPr>
          <w:lang w:val="pt-BR"/>
        </w:rPr>
        <w:t xml:space="preserve"> </w:t>
      </w:r>
      <w:r>
        <w:rPr>
          <w:b/>
          <w:bCs/>
          <w:lang w:val="pt-BR"/>
        </w:rPr>
        <w:t xml:space="preserve">Nível 2</w:t>
      </w:r>
      <w:r>
        <w:rPr>
          <w:lang w:val="pt-BR"/>
        </w:rPr>
        <w:t xml:space="preserve"> </w:t>
      </w:r>
      <w:r>
        <w:rPr>
          <w:lang w:val="pt-BR"/>
        </w:rPr>
        <w:t xml:space="preserve">(iconográfico), identificar</w:t>
      </w:r>
      <w:r>
        <w:rPr>
          <w:lang w:val="pt-BR"/>
        </w:rPr>
        <w:t xml:space="preserve"> </w:t>
      </w:r>
      <w:r>
        <w:rPr>
          <w:lang w:val="pt-BR"/>
        </w:rPr>
        <w:t xml:space="preserve">“qual alegoria é representada”</w:t>
      </w:r>
      <w:r>
        <w:rPr>
          <w:lang w:val="pt-BR"/>
        </w:rPr>
        <w:t xml:space="preserve"> </w:t>
      </w:r>
      <w:r>
        <w:rPr>
          <w:lang w:val="pt-BR"/>
        </w:rPr>
        <w:t xml:space="preserve">exige conhecimento culturalmente mediado das convenções; a unidade de análise já é ela mesma uma decisão interpretativa, não pré-determinada de forma independente do conteúdo. Rau e Shih (2021) [VERIFICAR: entrada bibliográfica inexistente até conferência — referência-carregador do §2.5] demonstram matematicamente, para a categorização de gênero textual, que o kappa pressupõe unidades de análise fixas e predeterminadas — pressuposto que a identificação de uma</w:t>
      </w:r>
      <w:r>
        <w:rPr>
          <w:lang w:val="pt-BR"/>
        </w:rPr>
        <w:t xml:space="preserve"> </w:t>
      </w:r>
      <w:r>
        <w:rPr>
          <w:i/>
          <w:iCs/>
          <w:lang w:val="pt-BR"/>
        </w:rPr>
        <w:t xml:space="preserve">Pathosformel</w:t>
      </w:r>
      <w:r>
        <w:rPr>
          <w:lang w:val="pt-BR"/>
        </w:rPr>
        <w:t xml:space="preserve"> </w:t>
      </w:r>
      <w:r>
        <w:rPr>
          <w:lang w:val="pt-BR"/>
        </w:rPr>
        <w:t xml:space="preserve">ativa numa imagem não satisfaz, pela mesma razão que a identificação de</w:t>
      </w:r>
      <w:r>
        <w:rPr>
          <w:lang w:val="pt-BR"/>
        </w:rPr>
        <w:t xml:space="preserve"> </w:t>
      </w:r>
      <w:r>
        <w:rPr>
          <w:lang w:val="pt-BR"/>
        </w:rPr>
        <w:t xml:space="preserve">“tom irônico”</w:t>
      </w:r>
      <w:r>
        <w:rPr>
          <w:lang w:val="pt-BR"/>
        </w:rPr>
        <w:t xml:space="preserve"> </w:t>
      </w:r>
      <w:r>
        <w:rPr>
          <w:lang w:val="pt-BR"/>
        </w:rPr>
        <w:t xml:space="preserve">num texto não satisfaz: o codificador já precisa ter construído a unidade antes de pontuá-la. No</w:t>
      </w:r>
      <w:r>
        <w:rPr>
          <w:lang w:val="pt-BR"/>
        </w:rPr>
        <w:t xml:space="preserve"> </w:t>
      </w:r>
      <w:r>
        <w:rPr>
          <w:b/>
          <w:bCs/>
          <w:lang w:val="pt-BR"/>
        </w:rPr>
        <w:t xml:space="preserve">Nível 3</w:t>
      </w:r>
      <w:r>
        <w:rPr>
          <w:lang w:val="pt-BR"/>
        </w:rPr>
        <w:t xml:space="preserve"> </w:t>
      </w:r>
      <w:r>
        <w:rPr>
          <w:lang w:val="pt-BR"/>
        </w:rPr>
        <w:t xml:space="preserve">(iconológico), a interpretação é francamente hermenêutica — afirmar que uma imagem manifesta o Contrato Sexual Visual é proposição teórica que não se confirma por contagem; sua validade é argumentativa, ancorada nos Níveis 1 e 2 e na coerência com a literatura.</w:t>
      </w:r>
    </w:p>
    <w:p>
      <w:pPr>
        <w:pStyle w:val="BodyText"/>
      </w:pPr>
      <w:r>
        <w:rPr>
          <w:lang w:val="pt-BR"/>
        </w:rPr>
        <w:t xml:space="preserve">Essa estratificação também esclarece o estatuto da codificação por modelo de linguagem multimodal (</w:t>
      </w:r>
      <w:r>
        <w:rPr>
          <w:lang w:val="pt-BR"/>
        </w:rPr>
        <w:t xml:space="preserve">“iconocode-opus-4.6-image”</w:t>
      </w:r>
      <w:r>
        <w:rPr>
          <w:lang w:val="pt-BR"/>
        </w:rPr>
        <w:t xml:space="preserve">, empregado nesta tese). A objeção</w:t>
      </w:r>
      <w:r>
        <w:rPr>
          <w:lang w:val="pt-BR"/>
        </w:rPr>
        <w:t xml:space="preserve"> </w:t>
      </w:r>
      <w:r>
        <w:rPr>
          <w:lang w:val="pt-BR"/>
        </w:rPr>
        <w:t xml:space="preserve">“como sabemos que o modelo não alucina?”</w:t>
      </w:r>
      <w:r>
        <w:rPr>
          <w:lang w:val="pt-BR"/>
        </w:rPr>
        <w:t xml:space="preserve"> </w:t>
      </w:r>
      <w:r>
        <w:rPr>
          <w:lang w:val="pt-BR"/>
        </w:rPr>
        <w:t xml:space="preserve">pressupõe um gabarito humano neutro contra o qual medir a saída — mas para os Níveis 2 e 3, que são o núcleo teórico da tese, esse gabarito não existe: a interpretação iconológica é disputada entre historiadores da arte, e a atribuição de um regime iconocrático é proposição da própria tese. O que a tese oferece, em vez de conformidade a um gabarito externo, é auditabilidade do Nível 1 (os itens do corpus são publicamente acessíveis nos arquivos de origem, permitindo verificação independente), consistência interna documentada (a variação dos scores de endurecimento entre regimes é teoricamente coerente, e os outliers — como Steinlen vs. Lelong, §2.4 — são explicáveis por propriedades identificáveis das imagens) e declaração explícita de limites (a tese não afirma</w:t>
      </w:r>
      <w:r>
        <w:rPr>
          <w:lang w:val="pt-BR"/>
        </w:rPr>
        <w:t xml:space="preserve"> </w:t>
      </w:r>
      <w:r>
        <w:rPr>
          <w:lang w:val="pt-BR"/>
        </w:rPr>
        <w:t xml:space="preserve">“a interpretação correta”</w:t>
      </w:r>
      <w:r>
        <w:rPr>
          <w:lang w:val="pt-BR"/>
        </w:rPr>
        <w:t xml:space="preserve">, mas</w:t>
      </w:r>
      <w:r>
        <w:rPr>
          <w:lang w:val="pt-BR"/>
        </w:rPr>
        <w:t xml:space="preserve"> </w:t>
      </w:r>
      <w:r>
        <w:rPr>
          <w:lang w:val="pt-BR"/>
        </w:rPr>
        <w:t xml:space="preserve">“uma interpretação teoricamente informada e verificável pela cadeia de raciocínio documentada em cada relatório de codificação”</w:t>
      </w:r>
      <w:r>
        <w:rPr>
          <w:lang w:val="pt-BR"/>
        </w:rPr>
        <w:t xml:space="preserve">).</w:t>
      </w:r>
    </w:p>
    <w:p>
      <w:pPr>
        <w:pStyle w:val="BodyText"/>
      </w:pPr>
      <w:r>
        <w:rPr>
          <w:lang w:val="pt-BR"/>
        </w:rPr>
        <w:t xml:space="preserve">Roele (2025), ao resenhar o estudo de referência da iconografia da Justiça, formula a objeção com precisão: uma ambição magnífica, mas de difícil realização num estudo que recusa o empirismo — e conclui que estudar o encontro entre obra e espectadora exige um encontro metodológico entre o empírico e o hermenêutico. A crítica é pertinente, e a resposta adequada não é negar o desvio, mas articular o padrão de prova alternativo e mostrar que é defendido na literatura especializada. Mnookin (1998) distingue, na doutrina da prova visual, entre evidência</w:t>
      </w:r>
      <w:r>
        <w:rPr>
          <w:lang w:val="pt-BR"/>
        </w:rPr>
        <w:t xml:space="preserve"> </w:t>
      </w:r>
      <w:r>
        <w:rPr>
          <w:i/>
          <w:iCs/>
          <w:lang w:val="pt-BR"/>
        </w:rPr>
        <w:t xml:space="preserve">demonstrativa</w:t>
      </w:r>
      <w:r>
        <w:rPr>
          <w:lang w:val="pt-BR"/>
        </w:rPr>
        <w:t xml:space="preserve"> </w:t>
      </w:r>
      <w:r>
        <w:rPr>
          <w:lang w:val="pt-BR"/>
        </w:rPr>
        <w:t xml:space="preserve">(a imagem como ilustração de um argumento) e evidência</w:t>
      </w:r>
      <w:r>
        <w:rPr>
          <w:lang w:val="pt-BR"/>
        </w:rPr>
        <w:t xml:space="preserve"> </w:t>
      </w:r>
      <w:r>
        <w:rPr>
          <w:i/>
          <w:iCs/>
          <w:lang w:val="pt-BR"/>
        </w:rPr>
        <w:t xml:space="preserve">substantiva</w:t>
      </w:r>
      <w:r>
        <w:rPr>
          <w:lang w:val="pt-BR"/>
        </w:rPr>
        <w:t xml:space="preserve"> </w:t>
      </w:r>
      <w:r>
        <w:rPr>
          <w:lang w:val="pt-BR"/>
        </w:rPr>
        <w:t xml:space="preserve">(a imagem como prova de um fato): a iconometria desta tese produz evidência demonstrativa — os scores de endurecimento não provam que o Estado</w:t>
      </w:r>
      <w:r>
        <w:rPr>
          <w:lang w:val="pt-BR"/>
        </w:rPr>
        <w:t xml:space="preserve"> </w:t>
      </w:r>
      <w:r>
        <w:rPr>
          <w:lang w:val="pt-BR"/>
        </w:rPr>
        <w:t xml:space="preserve">“fez X”</w:t>
      </w:r>
      <w:r>
        <w:rPr>
          <w:lang w:val="pt-BR"/>
        </w:rPr>
        <w:t xml:space="preserve">, demonstram que o corpus exibe um padrão compatível com a hipótese de purificação alegórica estatal. Braman (2023) acrescenta que a objetividade da imagem como prova é sempre construída, não dada — produzida por cadeias de autenticação e proveniência que borram a fronteira entre ilustração e prova. O que valida a iconometria, assim, não é reproduzir mecanicamente o mesmo score, mas reconstruir o raciocínio que levou a cada score a partir dos relatórios de codificação disponíveis.</w:t>
      </w:r>
    </w:p>
    <w:bookmarkEnd w:id="83"/>
    <w:bookmarkStart w:id="84" w:name="X08d095cad55c4b4e95ec207919678d1fa98e4ec"/>
    <w:p>
      <w:pPr>
        <w:pStyle w:val="Heading4"/>
      </w:pPr>
      <w:r>
        <w:rPr>
          <w:rStyle w:val="SectionNumber"/>
          <w:lang w:val="pt-BR"/>
        </w:rPr>
        <w:t xml:space="preserve">5.1.5.2</w:t>
      </w:r>
      <w:r>
        <w:tab/>
      </w:r>
      <w:r>
        <w:rPr>
          <w:lang w:val="pt-BR"/>
        </w:rPr>
        <w:t xml:space="preserve">2.5.2 Legitimação indiciária: Ginzburg, Warburg/Didi-Huberman</w:t>
      </w:r>
    </w:p>
    <w:p>
      <w:pPr>
        <w:pStyle w:val="FirstParagraph"/>
      </w:pPr>
      <w:r>
        <w:rPr>
          <w:lang w:val="pt-BR"/>
        </w:rPr>
        <w:t xml:space="preserve">Em</w:t>
      </w:r>
      <w:r>
        <w:rPr>
          <w:lang w:val="pt-BR"/>
        </w:rPr>
        <w:t xml:space="preserve"> </w:t>
      </w:r>
      <w:r>
        <w:rPr>
          <w:lang w:val="pt-BR"/>
        </w:rPr>
        <w:t xml:space="preserve">“Sinais: raízes de um paradigma indiciário”</w:t>
      </w:r>
      <w:r>
        <w:rPr>
          <w:lang w:val="pt-BR"/>
        </w:rPr>
        <w:t xml:space="preserve"> </w:t>
      </w:r>
      <w:r>
        <w:rPr>
          <w:lang w:val="pt-BR"/>
        </w:rPr>
        <w:t xml:space="preserve">(GINZBURG, 1989, p. 143–179), Carlo Ginzburg identifica uma forma de conhecimento — o</w:t>
      </w:r>
      <w:r>
        <w:rPr>
          <w:lang w:val="pt-BR"/>
        </w:rPr>
        <w:t xml:space="preserve"> </w:t>
      </w:r>
      <w:r>
        <w:rPr>
          <w:i/>
          <w:iCs/>
          <w:lang w:val="pt-BR"/>
        </w:rPr>
        <w:t xml:space="preserve">paradigma indiciário</w:t>
      </w:r>
      <w:r>
        <w:rPr>
          <w:lang w:val="pt-BR"/>
        </w:rPr>
        <w:t xml:space="preserve"> </w:t>
      </w:r>
      <w:r>
        <w:rPr>
          <w:lang w:val="pt-BR"/>
        </w:rPr>
        <w:t xml:space="preserve">ou sintomático — distinta do paradigma galileano de leis gerais e experimentos reprodutíveis: trabalha a partir de pistas, não de leis; opera por inferência</w:t>
      </w:r>
      <w:r>
        <w:rPr>
          <w:lang w:val="pt-BR"/>
        </w:rPr>
        <w:t xml:space="preserve"> </w:t>
      </w:r>
      <w:r>
        <w:rPr>
          <w:i/>
          <w:iCs/>
          <w:lang w:val="pt-BR"/>
        </w:rPr>
        <w:t xml:space="preserve">ab singular</w:t>
      </w:r>
      <w:r>
        <w:rPr>
          <w:lang w:val="pt-BR"/>
        </w:rPr>
        <w:t xml:space="preserve"> </w:t>
      </w:r>
      <w:r>
        <w:rPr>
          <w:lang w:val="pt-BR"/>
        </w:rPr>
        <w:t xml:space="preserve">(de um singular a outro, sem passar pelo universal como mediador necessário); e produz conhecimento probabilístico, não certo. Os três protótipos que Ginzburg mobiliza — Morelli (atribuição de pinturas por detalhes anatômicos), Freud (psicanálise como leitura de sintomas) e Sherlock Holmes (dedução a partir de pistas) — convergem numa epistemologia que legitima exatamente o movimento metodológico central desta tese: a inferência do Contrato Sexual Visual (o todo histórico-teórico) a partir dos scores de endurecimento e das análises iconológicas (os sinais particulares). Não é inferência estatística (do padrão à lei); é inferência indiciária (do vestígio à prática) — e a sequência</w:t>
      </w:r>
      <w:r>
        <w:rPr>
          <w:lang w:val="pt-BR"/>
        </w:rPr>
        <w:t xml:space="preserve"> </w:t>
      </w:r>
      <w:r>
        <w:rPr>
          <w:lang w:val="pt-BR"/>
        </w:rPr>
        <w:t xml:space="preserve">“quantitativo identifica casos anômalos → qualitativo interpreta as anomalias”</w:t>
      </w:r>
      <w:r>
        <w:rPr>
          <w:lang w:val="pt-BR"/>
        </w:rPr>
        <w:t xml:space="preserve">, que estrutura o desenho misto sequencial explicado em §2.1,</w:t>
      </w:r>
      <w:r>
        <w:rPr>
          <w:lang w:val="pt-BR"/>
        </w:rPr>
        <w:t xml:space="preserve"> </w:t>
      </w:r>
      <w:r>
        <w:rPr>
          <w:i/>
          <w:iCs/>
          <w:lang w:val="pt-BR"/>
        </w:rPr>
        <w:t xml:space="preserve">é</w:t>
      </w:r>
      <w:r>
        <w:rPr>
          <w:lang w:val="pt-BR"/>
        </w:rPr>
        <w:t xml:space="preserve"> </w:t>
      </w:r>
      <w:r>
        <w:rPr>
          <w:lang w:val="pt-BR"/>
        </w:rPr>
        <w:t xml:space="preserve">o paradigma indiciário em operação.</w:t>
      </w:r>
    </w:p>
    <w:p>
      <w:pPr>
        <w:pStyle w:val="BodyText"/>
      </w:pPr>
      <w:r>
        <w:rPr>
          <w:lang w:val="pt-BR"/>
        </w:rPr>
        <w:t xml:space="preserve">Aby Warburg não formulou uma teoria explícita do conhecimento iconográfico, mas seu método — o Atlas Mnemosyne, as preleções sobre</w:t>
      </w:r>
      <w:r>
        <w:rPr>
          <w:lang w:val="pt-BR"/>
        </w:rPr>
        <w:t xml:space="preserve"> </w:t>
      </w:r>
      <w:r>
        <w:rPr>
          <w:i/>
          <w:iCs/>
          <w:lang w:val="pt-BR"/>
        </w:rPr>
        <w:t xml:space="preserve">Pathosformeln</w:t>
      </w:r>
      <w:r>
        <w:rPr>
          <w:lang w:val="pt-BR"/>
        </w:rPr>
        <w:t xml:space="preserve"> </w:t>
      </w:r>
      <w:r>
        <w:rPr>
          <w:lang w:val="pt-BR"/>
        </w:rPr>
        <w:t xml:space="preserve">— pressupõe uma epistemologia que Didi-Huberman (2000; 2002) torna filosoficamente explícita: as imagens</w:t>
      </w:r>
      <w:r>
        <w:rPr>
          <w:lang w:val="pt-BR"/>
        </w:rPr>
        <w:t xml:space="preserve"> </w:t>
      </w:r>
      <w:r>
        <w:rPr>
          <w:i/>
          <w:iCs/>
          <w:lang w:val="pt-BR"/>
        </w:rPr>
        <w:t xml:space="preserve">sobrevivem</w:t>
      </w:r>
      <w:r>
        <w:rPr>
          <w:lang w:val="pt-BR"/>
        </w:rPr>
        <w:t xml:space="preserve"> </w:t>
      </w:r>
      <w:r>
        <w:rPr>
          <w:lang w:val="pt-BR"/>
        </w:rPr>
        <w:t xml:space="preserve">— os</w:t>
      </w:r>
      <w:r>
        <w:rPr>
          <w:lang w:val="pt-BR"/>
        </w:rPr>
        <w:t xml:space="preserve"> </w:t>
      </w:r>
      <w:r>
        <w:rPr>
          <w:i/>
          <w:iCs/>
          <w:lang w:val="pt-BR"/>
        </w:rPr>
        <w:t xml:space="preserve">Pathosformeln</w:t>
      </w:r>
      <w:r>
        <w:rPr>
          <w:lang w:val="pt-BR"/>
        </w:rPr>
        <w:t xml:space="preserve"> </w:t>
      </w:r>
      <w:r>
        <w:rPr>
          <w:lang w:val="pt-BR"/>
        </w:rPr>
        <w:t xml:space="preserve">da Antiguidade reaparecem em contextos historicamente distantes não por imitação consciente, mas por</w:t>
      </w:r>
      <w:r>
        <w:rPr>
          <w:lang w:val="pt-BR"/>
        </w:rPr>
        <w:t xml:space="preserve"> </w:t>
      </w:r>
      <w:r>
        <w:rPr>
          <w:i/>
          <w:iCs/>
          <w:lang w:val="pt-BR"/>
        </w:rPr>
        <w:t xml:space="preserve">Nachleben</w:t>
      </w:r>
      <w:r>
        <w:rPr>
          <w:lang w:val="pt-BR"/>
        </w:rPr>
        <w:t xml:space="preserve"> </w:t>
      </w:r>
      <w:r>
        <w:rPr>
          <w:lang w:val="pt-BR"/>
        </w:rPr>
        <w:t xml:space="preserve">—, o que implica que a análise das imagens não pode ser linear nem cumulativa; ela é anacrónica, montando justaposições entre imagens de períodos distintos para tornar visíveis continuidades formais que a história linear apaga. A montagem de imagens em painéis sem hierarquia explícita não é falta de argumento; é um argumento de outra forma — um</w:t>
      </w:r>
      <w:r>
        <w:rPr>
          <w:lang w:val="pt-BR"/>
        </w:rPr>
        <w:t xml:space="preserve"> </w:t>
      </w:r>
      <w:r>
        <w:rPr>
          <w:i/>
          <w:iCs/>
          <w:lang w:val="pt-BR"/>
        </w:rPr>
        <w:t xml:space="preserve">saber por montagem</w:t>
      </w:r>
      <w:r>
        <w:rPr>
          <w:lang w:val="pt-BR"/>
        </w:rPr>
        <w:t xml:space="preserve">, visual antes de discursivo. Para esta tese, a implicação é direta: o Atlas Iconocrático (Capítulo 9) não precisa satisfazer os critérios do argumento proposicional para ser válido epistemologicamente; sua validade é a da montagem warburguiana. O próprio Panofsky (1939; 1955) já antecipara o problema ao distinguir</w:t>
      </w:r>
      <w:r>
        <w:rPr>
          <w:lang w:val="pt-BR"/>
        </w:rPr>
        <w:t xml:space="preserve"> </w:t>
      </w:r>
      <w:r>
        <w:rPr>
          <w:lang w:val="pt-BR"/>
        </w:rPr>
        <w:t xml:space="preserve">“síntese intuitiva”</w:t>
      </w:r>
      <w:r>
        <w:rPr>
          <w:lang w:val="pt-BR"/>
        </w:rPr>
        <w:t xml:space="preserve"> </w:t>
      </w:r>
      <w:r>
        <w:rPr>
          <w:lang w:val="pt-BR"/>
        </w:rPr>
        <w:t xml:space="preserve">(reconhecimento do tema iconográfico) de</w:t>
      </w:r>
      <w:r>
        <w:rPr>
          <w:lang w:val="pt-BR"/>
        </w:rPr>
        <w:t xml:space="preserve"> </w:t>
      </w:r>
      <w:r>
        <w:rPr>
          <w:lang w:val="pt-BR"/>
        </w:rPr>
        <w:t xml:space="preserve">“intuição sintética”</w:t>
      </w:r>
      <w:r>
        <w:rPr>
          <w:lang w:val="pt-BR"/>
        </w:rPr>
        <w:t xml:space="preserve"> </w:t>
      </w:r>
      <w:r>
        <w:rPr>
          <w:lang w:val="pt-BR"/>
        </w:rPr>
        <w:t xml:space="preserve">(compreensão do sentido último) [VERIFICAR: terminologia exata e obra/página da distinção]: o Nível 3 exige familiaridade com as tendências essenciais do espírito humano — circularidade que não invalida o método, mas é sua condição, o que os epistemólogos posteriores chamariam de círculo hermenêutico.</w:t>
      </w:r>
    </w:p>
    <w:p>
      <w:pPr>
        <w:pStyle w:val="BodyText"/>
      </w:pPr>
      <w:r>
        <w:rPr>
          <w:lang w:val="pt-BR"/>
        </w:rPr>
        <w:t xml:space="preserve">A cadeia epistemológica resultante articula-se assim: Panofsky fornece a estrutura tripartida que estratifica tipos de afirmação e tipos de evidência admissíveis; Ginzburg legitima a inferência indiciária do sinal particular à hipótese sobre a prática histórica; Warburg/Didi-Huberman legitimam a montagem visual como argumento próprio; Mnookin e Braman ancoram juridicamente o estatuto construído da prova visual, na fronteira entre ilustração e prova de fato.</w:t>
      </w:r>
    </w:p>
    <w:bookmarkEnd w:id="84"/>
    <w:bookmarkStart w:id="85" w:name="X9313bc833980679560a036d1d7876f69af62961"/>
    <w:p>
      <w:pPr>
        <w:pStyle w:val="Heading4"/>
      </w:pPr>
      <w:r>
        <w:rPr>
          <w:rStyle w:val="SectionNumber"/>
          <w:lang w:val="pt-BR"/>
        </w:rPr>
        <w:t xml:space="preserve">5.1.5.3</w:t>
      </w:r>
      <w:r>
        <w:tab/>
      </w:r>
      <w:r>
        <w:rPr>
          <w:lang w:val="pt-BR"/>
        </w:rPr>
        <w:t xml:space="preserve">2.5.3 Silêncio arquivístico visual: Hartman, Fuentes e a ausência como dado</w:t>
      </w:r>
    </w:p>
    <w:p>
      <w:pPr>
        <w:pStyle w:val="FirstParagraph"/>
      </w:pPr>
      <w:r>
        <w:rPr>
          <w:lang w:val="pt-BR"/>
        </w:rPr>
        <w:t xml:space="preserve">Em</w:t>
      </w:r>
      <w:r>
        <w:rPr>
          <w:lang w:val="pt-BR"/>
        </w:rPr>
        <w:t xml:space="preserve"> </w:t>
      </w:r>
      <w:r>
        <w:rPr>
          <w:lang w:val="pt-BR"/>
        </w:rPr>
        <w:t xml:space="preserve">“Venus in Two Acts”</w:t>
      </w:r>
      <w:r>
        <w:rPr>
          <w:lang w:val="pt-BR"/>
        </w:rPr>
        <w:t xml:space="preserve"> </w:t>
      </w:r>
      <w:r>
        <w:rPr>
          <w:lang w:val="pt-BR"/>
        </w:rPr>
        <w:t xml:space="preserve">(HARTMAN, 2008), Saidiya Hartman desenvolve o conceito de</w:t>
      </w:r>
      <w:r>
        <w:rPr>
          <w:lang w:val="pt-BR"/>
        </w:rPr>
        <w:t xml:space="preserve"> </w:t>
      </w:r>
      <w:r>
        <w:rPr>
          <w:b/>
          <w:bCs/>
          <w:lang w:val="pt-BR"/>
        </w:rPr>
        <w:t xml:space="preserve">fabulação crítica</w:t>
      </w:r>
      <w:r>
        <w:rPr>
          <w:lang w:val="pt-BR"/>
        </w:rPr>
        <w:t xml:space="preserve"> </w:t>
      </w:r>
      <w:r>
        <w:rPr>
          <w:lang w:val="pt-BR"/>
        </w:rPr>
        <w:t xml:space="preserve">(</w:t>
      </w:r>
      <w:r>
        <w:rPr>
          <w:i/>
          <w:iCs/>
          <w:lang w:val="pt-BR"/>
        </w:rPr>
        <w:t xml:space="preserve">critical fabulation</w:t>
      </w:r>
      <w:r>
        <w:rPr>
          <w:lang w:val="pt-BR"/>
        </w:rPr>
        <w:t xml:space="preserve">): método que responde ao silêncio dos arquivos coloniais — em que vidas de pessoas escravizadas aparecem apenas como notas marginais e registros de punição — imaginando o que poderia ter sido a partir dos fragmentos sobreviventes, com o caráter especulativo dessa imaginação mantido explícito. A fabulação crítica não é licença para inventar; é disciplina do limite: reconhece o que o arquivo não permite saber, articula o que revela obliquamente, e declara a fronteira entre evidência e inferência. Marisa Fuentes, em</w:t>
      </w:r>
      <w:r>
        <w:rPr>
          <w:lang w:val="pt-BR"/>
        </w:rPr>
        <w:t xml:space="preserve"> </w:t>
      </w:r>
      <w:r>
        <w:rPr>
          <w:i/>
          <w:iCs/>
          <w:lang w:val="pt-BR"/>
        </w:rPr>
        <w:t xml:space="preserve">Dispossessed Lives</w:t>
      </w:r>
      <w:r>
        <w:rPr>
          <w:lang w:val="pt-BR"/>
        </w:rPr>
        <w:t xml:space="preserve"> </w:t>
      </w:r>
      <w:r>
        <w:rPr>
          <w:lang w:val="pt-BR"/>
        </w:rPr>
        <w:t xml:space="preserve">(2016), analisa arquivos coloniais das Barbados para argumentar que a ausência de mulheres negras escravizadas como sujeitos nos documentos não é acidente, mas consequência estrutural da violência epistêmica que organizava quem merecia ser registrado como agente histórico.</w:t>
      </w:r>
    </w:p>
    <w:p>
      <w:pPr>
        <w:pStyle w:val="BodyText"/>
      </w:pPr>
      <w:r>
        <w:rPr>
          <w:lang w:val="pt-BR"/>
        </w:rPr>
        <w:t xml:space="preserve">A transferência desse método ao corpus visual desta tese exige atenção ao que muda: o corpus iconocrático não é um arquivo colonial</w:t>
      </w:r>
      <w:r>
        <w:rPr>
          <w:lang w:val="pt-BR"/>
        </w:rPr>
        <w:t xml:space="preserve"> </w:t>
      </w:r>
      <w:r>
        <w:rPr>
          <w:i/>
          <w:iCs/>
          <w:lang w:val="pt-BR"/>
        </w:rPr>
        <w:t xml:space="preserve">stricto sensu</w:t>
      </w:r>
      <w:r>
        <w:rPr>
          <w:lang w:val="pt-BR"/>
        </w:rPr>
        <w:t xml:space="preserve">, mas compartilha estrutura homóloga — a ausência de representação feminina historicamente específica nas alegorias estatais (as mulheres reais apagadas para que a Mulher alegórica ocupe seu lugar) é violência epistêmica de estrutura análoga. O corpus já operacionaliza essa intuição na tag</w:t>
      </w:r>
      <w:r>
        <w:rPr>
          <w:lang w:val="pt-BR"/>
        </w:rPr>
        <w:t xml:space="preserve"> </w:t>
      </w:r>
      <w:r>
        <w:rPr>
          <w:rStyle w:val="VerbatimChar"/>
          <w:lang w:val="pt-BR"/>
        </w:rPr>
        <w:t xml:space="preserve">#ausencia-alegorica</w:t>
      </w:r>
      <w:r>
        <w:rPr>
          <w:lang w:val="pt-BR"/>
        </w:rPr>
        <w:t xml:space="preserve"> </w:t>
      </w:r>
      <w:r>
        <w:rPr>
          <w:lang w:val="pt-BR"/>
        </w:rPr>
        <w:t xml:space="preserve">e na análise de US-020 (Keppler, 1893) em §2.4, como</w:t>
      </w:r>
      <w:r>
        <w:rPr>
          <w:lang w:val="pt-BR"/>
        </w:rPr>
        <w:t xml:space="preserve"> </w:t>
      </w:r>
      <w:r>
        <w:rPr>
          <w:lang w:val="pt-BR"/>
        </w:rPr>
        <w:t xml:space="preserve">“subversão por ausência”</w:t>
      </w:r>
      <w:r>
        <w:rPr>
          <w:lang w:val="pt-BR"/>
        </w:rPr>
        <w:t xml:space="preserve"> </w:t>
      </w:r>
      <w:r>
        <w:rPr>
          <w:lang w:val="pt-BR"/>
        </w:rPr>
        <w:t xml:space="preserve">— mas faltava a ancoragem teórica explícita, que se enuncia aqui:</w:t>
      </w:r>
      <w:r>
        <w:rPr>
          <w:lang w:val="pt-BR"/>
        </w:rPr>
        <w:t xml:space="preserve"> </w:t>
      </w:r>
      <w:r>
        <w:rPr>
          <w:b/>
          <w:bCs/>
          <w:lang w:val="pt-BR"/>
        </w:rPr>
        <w:t xml:space="preserve">a ausência de representação alegórica feminina num corpus iconocrático não é lacuna documental a ser preenchida — é dado constitutivo que exige interpretação</w:t>
      </w:r>
      <w:r>
        <w:rPr>
          <w:lang w:val="pt-BR"/>
        </w:rPr>
        <w:t xml:space="preserve">. A declaração explícita dessa ausência e a análise de sua função são formas de validação epistêmica, não sua abdicação.</w:t>
      </w:r>
    </w:p>
    <w:p>
      <w:pPr>
        <w:pStyle w:val="BodyText"/>
      </w:pPr>
      <w:r>
        <w:rPr>
          <w:lang w:val="pt-BR"/>
        </w:rPr>
        <w:t xml:space="preserve">Essa mesma lógica — declarar limites como forma de rigor, não como sua ausência — estrutura três práticas já em vigor no protocolo IconoCode, aqui nomeadas como metodológicas: relatórios de codificação auditáveis (cada item do corpus tem um relatório que documenta a cadeia de raciocínio nos três níveis panofskianos); scores diferenciados por tipo de indicador (morfológicos vs. materiais, §2.3, com controle estatístico por suporte); e declaração de casos-limite (itens com</w:t>
      </w:r>
      <w:r>
        <w:rPr>
          <w:lang w:val="pt-BR"/>
        </w:rPr>
        <w:t xml:space="preserve"> </w:t>
      </w:r>
      <w:r>
        <w:rPr>
          <w:rStyle w:val="VerbatimChar"/>
          <w:lang w:val="pt-BR"/>
        </w:rPr>
        <w:t xml:space="preserve">#verificar</w:t>
      </w:r>
      <w:r>
        <w:rPr>
          <w:lang w:val="pt-BR"/>
        </w:rPr>
        <w:t xml:space="preserve"> </w:t>
      </w:r>
      <w:r>
        <w:rPr>
          <w:lang w:val="pt-BR"/>
        </w:rPr>
        <w:t xml:space="preserve">e</w:t>
      </w:r>
      <w:r>
        <w:rPr>
          <w:lang w:val="pt-BR"/>
        </w:rPr>
        <w:t xml:space="preserve"> </w:t>
      </w:r>
      <w:r>
        <w:rPr>
          <w:rStyle w:val="VerbatimChar"/>
          <w:lang w:val="pt-BR"/>
        </w:rPr>
        <w:t xml:space="preserve">#possivel-duplicata</w:t>
      </w:r>
      <w:r>
        <w:rPr>
          <w:lang w:val="pt-BR"/>
        </w:rPr>
        <w:t xml:space="preserve"> </w:t>
      </w:r>
      <w:r>
        <w:rPr>
          <w:lang w:val="pt-BR"/>
        </w:rPr>
        <w:t xml:space="preserve">documentados explicitamente, não silenciados). Nos chamados</w:t>
      </w:r>
      <w:r>
        <w:rPr>
          <w:lang w:val="pt-BR"/>
        </w:rPr>
        <w:t xml:space="preserve"> </w:t>
      </w:r>
      <w:r>
        <w:rPr>
          <w:i/>
          <w:iCs/>
          <w:lang w:val="pt-BR"/>
        </w:rPr>
        <w:t xml:space="preserve">paradata</w:t>
      </w:r>
      <w:r>
        <w:rPr>
          <w:lang w:val="pt-BR"/>
        </w:rPr>
        <w:t xml:space="preserve"> </w:t>
      </w:r>
      <w:r>
        <w:rPr>
          <w:lang w:val="pt-BR"/>
        </w:rPr>
        <w:t xml:space="preserve">— dados sobre como os dados foram produzidos —, a declaração de incerteza é boa prática de pesquisa digital (DALLAS et al., 2017), e o registro das decisões metodológicas e de suas incertezas é parte do argumento, não margem a ser cortada (HODDER, 1999).</w:t>
      </w:r>
    </w:p>
    <w:bookmarkEnd w:id="85"/>
    <w:bookmarkStart w:id="86" w:name="síntese-o-padrão-de-prova-desta-tese"/>
    <w:p>
      <w:pPr>
        <w:pStyle w:val="Heading4"/>
      </w:pPr>
      <w:r>
        <w:rPr>
          <w:rStyle w:val="SectionNumber"/>
          <w:lang w:val="pt-BR"/>
        </w:rPr>
        <w:t xml:space="preserve">5.1.5.4</w:t>
      </w:r>
      <w:r>
        <w:tab/>
      </w:r>
      <w:r>
        <w:rPr>
          <w:lang w:val="pt-BR"/>
        </w:rPr>
        <w:t xml:space="preserve">2.5.4 Síntese: o padrão de prova desta tese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t-BR"/>
              </w:rPr>
              <w:t xml:space="preserve">Nível de análise</w:t>
            </w:r>
          </w:p>
        </w:tc>
        <w:tc>
          <w:tcPr/>
          <w:p>
            <w:pPr>
              <w:pStyle w:val="Compact"/>
            </w:pPr>
            <w:r>
              <w:rPr>
                <w:lang w:val="pt-BR"/>
              </w:rPr>
              <w:t xml:space="preserve">Tipo de afirmação</w:t>
            </w:r>
          </w:p>
        </w:tc>
        <w:tc>
          <w:tcPr/>
          <w:p>
            <w:pPr>
              <w:pStyle w:val="Compact"/>
            </w:pPr>
            <w:r>
              <w:rPr>
                <w:lang w:val="pt-BR"/>
              </w:rPr>
              <w:t xml:space="preserve">Padrão de validade</w:t>
            </w:r>
          </w:p>
        </w:tc>
        <w:tc>
          <w:tcPr/>
          <w:p>
            <w:pPr>
              <w:pStyle w:val="Compact"/>
            </w:pPr>
            <w:r>
              <w:rPr>
                <w:lang w:val="pt-BR"/>
              </w:rPr>
              <w:t xml:space="preserve">Referência principal</w:t>
            </w:r>
          </w:p>
        </w:tc>
      </w:tr>
      <w:tr>
        <w:tc>
          <w:tcPr/>
          <w:p>
            <w:pPr>
              <w:pStyle w:val="Compact"/>
            </w:pPr>
            <w:r>
              <w:rPr>
                <w:lang w:val="pt-BR"/>
              </w:rPr>
              <w:t xml:space="preserve">Pré-iconográfico (N1)</w:t>
            </w:r>
          </w:p>
        </w:tc>
        <w:tc>
          <w:tcPr/>
          <w:p>
            <w:pPr>
              <w:pStyle w:val="Compact"/>
            </w:pPr>
            <w:r>
              <w:rPr>
                <w:lang w:val="pt-BR"/>
              </w:rPr>
              <w:t xml:space="preserve">Observacional</w:t>
            </w:r>
          </w:p>
        </w:tc>
        <w:tc>
          <w:tcPr/>
          <w:p>
            <w:pPr>
              <w:pStyle w:val="Compact"/>
            </w:pPr>
            <w:r>
              <w:rPr>
                <w:lang w:val="pt-BR"/>
              </w:rPr>
              <w:t xml:space="preserve">Concordância intersubjetiva verificável</w:t>
            </w:r>
          </w:p>
        </w:tc>
        <w:tc>
          <w:tcPr/>
          <w:p>
            <w:pPr>
              <w:pStyle w:val="Compact"/>
            </w:pPr>
            <w:r>
              <w:rPr>
                <w:lang w:val="pt-BR"/>
              </w:rPr>
              <w:t xml:space="preserve">Panofsky (1939); Rau e Shih (2021)</w:t>
            </w:r>
          </w:p>
        </w:tc>
      </w:tr>
      <w:tr>
        <w:tc>
          <w:tcPr/>
          <w:p>
            <w:pPr>
              <w:pStyle w:val="Compact"/>
            </w:pPr>
            <w:r>
              <w:rPr>
                <w:lang w:val="pt-BR"/>
              </w:rPr>
              <w:t xml:space="preserve">Iconográfico (N2)</w:t>
            </w:r>
          </w:p>
        </w:tc>
        <w:tc>
          <w:tcPr/>
          <w:p>
            <w:pPr>
              <w:pStyle w:val="Compact"/>
            </w:pPr>
            <w:r>
              <w:rPr>
                <w:lang w:val="pt-BR"/>
              </w:rPr>
              <w:t xml:space="preserve">Interpretativa-convencional</w:t>
            </w:r>
          </w:p>
        </w:tc>
        <w:tc>
          <w:tcPr/>
          <w:p>
            <w:pPr>
              <w:pStyle w:val="Compact"/>
            </w:pPr>
            <w:r>
              <w:rPr>
                <w:lang w:val="pt-BR"/>
              </w:rPr>
              <w:t xml:space="preserve">Coerência com repertório + auditabilidade</w:t>
            </w:r>
          </w:p>
        </w:tc>
        <w:tc>
          <w:tcPr/>
          <w:p>
            <w:pPr>
              <w:pStyle w:val="Compact"/>
            </w:pPr>
            <w:r>
              <w:rPr>
                <w:lang w:val="pt-BR"/>
              </w:rPr>
              <w:t xml:space="preserve">Panofsky (1955); Ginzburg (1989)</w:t>
            </w:r>
          </w:p>
        </w:tc>
      </w:tr>
      <w:tr>
        <w:tc>
          <w:tcPr/>
          <w:p>
            <w:pPr>
              <w:pStyle w:val="Compact"/>
            </w:pPr>
            <w:r>
              <w:rPr>
                <w:lang w:val="pt-BR"/>
              </w:rPr>
              <w:t xml:space="preserve">Iconológico (N3)</w:t>
            </w:r>
          </w:p>
        </w:tc>
        <w:tc>
          <w:tcPr/>
          <w:p>
            <w:pPr>
              <w:pStyle w:val="Compact"/>
            </w:pPr>
            <w:r>
              <w:rPr>
                <w:lang w:val="pt-BR"/>
              </w:rPr>
              <w:t xml:space="preserve">Hermenêutica-teórica</w:t>
            </w:r>
          </w:p>
        </w:tc>
        <w:tc>
          <w:tcPr/>
          <w:p>
            <w:pPr>
              <w:pStyle w:val="Compact"/>
            </w:pPr>
            <w:r>
              <w:rPr>
                <w:lang w:val="pt-BR"/>
              </w:rPr>
              <w:t xml:space="preserve">Argumentação interna + ancoragem em N1–N2</w:t>
            </w:r>
          </w:p>
        </w:tc>
        <w:tc>
          <w:tcPr/>
          <w:p>
            <w:pPr>
              <w:pStyle w:val="Compact"/>
            </w:pPr>
            <w:r>
              <w:rPr>
                <w:lang w:val="pt-BR"/>
              </w:rPr>
              <w:t xml:space="preserve">Didi-Huberman (2000); Ginzburg (1989)</w:t>
            </w:r>
          </w:p>
        </w:tc>
      </w:tr>
      <w:tr>
        <w:tc>
          <w:tcPr/>
          <w:p>
            <w:pPr>
              <w:pStyle w:val="Compact"/>
            </w:pPr>
            <w:r>
              <w:rPr>
                <w:lang w:val="pt-BR"/>
              </w:rPr>
              <w:t xml:space="preserve">Ausência/silêncio</w:t>
            </w:r>
          </w:p>
        </w:tc>
        <w:tc>
          <w:tcPr/>
          <w:p>
            <w:pPr>
              <w:pStyle w:val="Compact"/>
            </w:pPr>
            <w:r>
              <w:rPr>
                <w:lang w:val="pt-BR"/>
              </w:rPr>
              <w:t xml:space="preserve">Arqueológica</w:t>
            </w:r>
          </w:p>
        </w:tc>
        <w:tc>
          <w:tcPr/>
          <w:p>
            <w:pPr>
              <w:pStyle w:val="Compact"/>
            </w:pPr>
            <w:r>
              <w:rPr>
                <w:lang w:val="pt-BR"/>
              </w:rPr>
              <w:t xml:space="preserve">Declaração explícita de limites</w:t>
            </w:r>
          </w:p>
        </w:tc>
        <w:tc>
          <w:tcPr/>
          <w:p>
            <w:pPr>
              <w:pStyle w:val="Compact"/>
            </w:pPr>
            <w:r>
              <w:rPr>
                <w:lang w:val="pt-BR"/>
              </w:rPr>
              <w:t xml:space="preserve">Hartman (2008); Fuentes (2016)</w:t>
            </w:r>
          </w:p>
        </w:tc>
      </w:tr>
      <w:tr>
        <w:tc>
          <w:tcPr/>
          <w:p>
            <w:pPr>
              <w:pStyle w:val="Compact"/>
            </w:pPr>
            <w:r>
              <w:rPr>
                <w:lang w:val="pt-BR"/>
              </w:rPr>
              <w:t xml:space="preserve">Padrão de conjunto</w:t>
            </w:r>
          </w:p>
        </w:tc>
        <w:tc>
          <w:tcPr/>
          <w:p>
            <w:pPr>
              <w:pStyle w:val="Compact"/>
            </w:pPr>
            <w:r>
              <w:rPr>
                <w:lang w:val="pt-BR"/>
              </w:rPr>
              <w:t xml:space="preserve">Indiciária</w:t>
            </w:r>
          </w:p>
        </w:tc>
        <w:tc>
          <w:tcPr/>
          <w:p>
            <w:pPr>
              <w:pStyle w:val="Compact"/>
            </w:pPr>
            <w:r>
              <w:rPr>
                <w:lang w:val="pt-BR"/>
              </w:rPr>
              <w:t xml:space="preserve">Transparência do raciocínio inferencial</w:t>
            </w:r>
          </w:p>
        </w:tc>
        <w:tc>
          <w:tcPr/>
          <w:p>
            <w:pPr>
              <w:pStyle w:val="Compact"/>
            </w:pPr>
            <w:r>
              <w:rPr>
                <w:lang w:val="pt-BR"/>
              </w:rPr>
              <w:t xml:space="preserve">Mnookin (1998); Braman (2023)</w:t>
            </w:r>
          </w:p>
        </w:tc>
      </w:tr>
    </w:tbl>
    <w:p>
      <w:pPr>
        <w:pStyle w:val="BodyText"/>
      </w:pPr>
      <w:r>
        <w:rPr>
          <w:lang w:val="pt-BR"/>
        </w:rPr>
        <w:t xml:space="preserve">A tese não</w:t>
      </w:r>
      <w:r>
        <w:rPr>
          <w:lang w:val="pt-BR"/>
        </w:rPr>
        <w:t xml:space="preserve"> </w:t>
      </w:r>
      <w:r>
        <w:rPr>
          <w:lang w:val="pt-BR"/>
        </w:rPr>
        <w:t xml:space="preserve">“desvia”</w:t>
      </w:r>
      <w:r>
        <w:rPr>
          <w:lang w:val="pt-BR"/>
        </w:rPr>
        <w:t xml:space="preserve"> </w:t>
      </w:r>
      <w:r>
        <w:rPr>
          <w:lang w:val="pt-BR"/>
        </w:rPr>
        <w:t xml:space="preserve">do empiricismo por negligência — adota um padrão de prova alternativo, adequado ao seu objeto (imagens históricas de Estado), consistente com sua tradição disciplinar (história da cultura jurídica) e defendido na literatura metodológica citada. Esse padrão pode ser enunciado numa frase: a validade desta tese é indiciária, não experimental; hermenêutica, não estatística; e a declaração de limites é parte da prova, não sua ausência. É à luz dessa moldura que a seção seguinte deve ser lida.</w:t>
      </w:r>
    </w:p>
    <w:p>
      <w:r>
        <w:pict>
          <v:rect style="width:0;height:1.5pt" o:hralign="center" o:hrstd="t" o:hr="t"/>
        </w:pict>
      </w:r>
    </w:p>
    <w:bookmarkEnd w:id="86"/>
    <w:bookmarkEnd w:id="87"/>
    <w:bookmarkStart w:id="91" w:name="X771e2dbc0dc6817f713e77ab981075a0a1f8381"/>
    <w:p>
      <w:pPr>
        <w:pStyle w:val="Heading3"/>
      </w:pPr>
      <w:r>
        <w:rPr>
          <w:rStyle w:val="SectionNumber"/>
          <w:lang w:val="pt-BR"/>
        </w:rPr>
        <w:t xml:space="preserve">5.1.6</w:t>
      </w:r>
      <w:r>
        <w:tab/>
      </w:r>
      <w:r>
        <w:rPr>
          <w:lang w:val="pt-BR"/>
        </w:rPr>
        <w:t xml:space="preserve">2.6 Validação: codificação por imagem vs. codificação por metadados</w:t>
      </w:r>
    </w:p>
    <w:p>
      <w:pPr>
        <w:pStyle w:val="FirstParagraph"/>
      </w:pPr>
      <w:r>
        <w:rPr>
          <w:lang w:val="pt-BR"/>
        </w:rPr>
        <w:t xml:space="preserve">A seção anterior (§2.5) estabeleceu o padrão de prova epistemológico desta tese; a presente seção fornece a evidência empírica que corrobora, num plano operacional, a estratificação por nível panofskiano ali defendida — em particular, a previsão de que a codificação por metadados é mais confiável para propriedades do suporte material do que para propriedades morfológicas do corpo alegórico (§2.5.1).</w:t>
      </w:r>
    </w:p>
    <w:p>
      <w:pPr>
        <w:pStyle w:val="BodyText"/>
      </w:pPr>
      <w:r>
        <w:rPr>
          <w:lang w:val="pt-BR"/>
        </w:rPr>
        <w:t xml:space="preserve">O corpus foi inicialmente codificado em lote em 31 de março de 2026 (N=106) utilizando metadados textuais (título, descrição, data, país, suporte) sem inspeção visual direta das imagens. Essa codificação inicial foi realizada pelo modelo Claude Opus 4.6 (</w:t>
      </w:r>
      <w:r>
        <w:rPr>
          <w:lang w:val="pt-BR"/>
        </w:rPr>
        <w:t xml:space="preserve">“iconocode-opus”</w:t>
      </w:r>
      <w:r>
        <w:rPr>
          <w:lang w:val="pt-BR"/>
        </w:rPr>
        <w:t xml:space="preserve">) com base nos descritores disponíveis. Subsequentemente, duas rodadas de recodificação com inspeção visual foram conduzidas: (a) 10 itens franceses (FR-001 a FR-010) em 2–3 de abril de 2026, e (b) 10 itens adicionais (FR-021 a FR-030) em 7 de abril de 2026, ambas pelo mesmo modelo (</w:t>
      </w:r>
      <w:r>
        <w:rPr>
          <w:lang w:val="pt-BR"/>
        </w:rPr>
        <w:t xml:space="preserve">“iconocode-opus-4.6-image”</w:t>
      </w:r>
      <w:r>
        <w:rPr>
          <w:lang w:val="pt-BR"/>
        </w:rPr>
        <w:t xml:space="preserve">) com acesso direto às imagens via protocolo IIIF da Gallica/BnF.</w:t>
      </w:r>
    </w:p>
    <w:bookmarkStart w:id="88" w:name="X465ef37c060e4c6513f0aa52e027bd5e30afafc"/>
    <w:p>
      <w:pPr>
        <w:pStyle w:val="Heading4"/>
      </w:pPr>
      <w:r>
        <w:rPr>
          <w:rStyle w:val="SectionNumber"/>
          <w:lang w:val="pt-BR"/>
        </w:rPr>
        <w:t xml:space="preserve">5.1.6.1</w:t>
      </w:r>
      <w:r>
        <w:tab/>
      </w:r>
      <w:r>
        <w:rPr>
          <w:lang w:val="pt-BR"/>
        </w:rPr>
        <w:t xml:space="preserve">Rodada 1: FR-001 a FR-010 (codificação exploratória)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pt-BR"/>
              </w:rPr>
              <w:t xml:space="preserve">Item</w:t>
            </w:r>
          </w:p>
        </w:tc>
        <w:tc>
          <w:tcPr/>
          <w:p>
            <w:pPr>
              <w:pStyle w:val="Compact"/>
              <w:jc w:val="right"/>
            </w:pPr>
            <w:r>
              <w:rPr>
                <w:lang w:val="pt-BR"/>
              </w:rPr>
              <w:t xml:space="preserve">Score por metadados</w:t>
            </w:r>
          </w:p>
        </w:tc>
        <w:tc>
          <w:tcPr/>
          <w:p>
            <w:pPr>
              <w:pStyle w:val="Compact"/>
              <w:jc w:val="right"/>
            </w:pPr>
            <w:r>
              <w:rPr>
                <w:lang w:val="pt-BR"/>
              </w:rPr>
              <w:t xml:space="preserve">Score por imagem</w:t>
            </w:r>
          </w:p>
        </w:tc>
        <w:tc>
          <w:tcPr/>
          <w:p>
            <w:pPr>
              <w:pStyle w:val="Compact"/>
              <w:jc w:val="right"/>
            </w:pPr>
            <w:r>
              <w:rPr>
                <w:lang w:val="pt-BR"/>
              </w:rPr>
              <w:t xml:space="preserve">Delta</w:t>
            </w:r>
          </w:p>
        </w:tc>
      </w:tr>
      <w:tr>
        <w:tc>
          <w:tcPr/>
          <w:p>
            <w:pPr>
              <w:pStyle w:val="Compact"/>
            </w:pPr>
            <w:r>
              <w:rPr>
                <w:lang w:val="pt-BR"/>
              </w:rPr>
              <w:t xml:space="preserve">FR-001</w:t>
            </w:r>
          </w:p>
        </w:tc>
        <w:tc>
          <w:tcPr/>
          <w:p>
            <w:pPr>
              <w:pStyle w:val="Compact"/>
              <w:jc w:val="right"/>
            </w:pPr>
            <w:r>
              <w:rPr>
                <w:lang w:val="pt-BR"/>
              </w:rPr>
              <w:t xml:space="preserve">0,7</w:t>
            </w:r>
          </w:p>
        </w:tc>
        <w:tc>
          <w:tcPr/>
          <w:p>
            <w:pPr>
              <w:pStyle w:val="Compact"/>
              <w:jc w:val="right"/>
            </w:pPr>
            <w:r>
              <w:rPr>
                <w:lang w:val="pt-BR"/>
              </w:rPr>
              <w:t xml:space="preserve">0,6</w:t>
            </w:r>
          </w:p>
        </w:tc>
        <w:tc>
          <w:tcPr/>
          <w:p>
            <w:pPr>
              <w:pStyle w:val="Compact"/>
              <w:jc w:val="right"/>
            </w:pPr>
            <w:r>
              <w:rPr>
                <w:lang w:val="pt-BR"/>
              </w:rPr>
              <w:t xml:space="preserve">–0,1</w:t>
            </w:r>
          </w:p>
        </w:tc>
      </w:tr>
      <w:tr>
        <w:tc>
          <w:tcPr/>
          <w:p>
            <w:pPr>
              <w:pStyle w:val="Compact"/>
            </w:pPr>
            <w:r>
              <w:rPr>
                <w:lang w:val="pt-BR"/>
              </w:rPr>
              <w:t xml:space="preserve">FR-002</w:t>
            </w:r>
          </w:p>
        </w:tc>
        <w:tc>
          <w:tcPr/>
          <w:p>
            <w:pPr>
              <w:pStyle w:val="Compact"/>
              <w:jc w:val="right"/>
            </w:pPr>
            <w:r>
              <w:rPr>
                <w:lang w:val="pt-BR"/>
              </w:rPr>
              <w:t xml:space="preserve">0,7</w:t>
            </w:r>
          </w:p>
        </w:tc>
        <w:tc>
          <w:tcPr/>
          <w:p>
            <w:pPr>
              <w:pStyle w:val="Compact"/>
              <w:jc w:val="right"/>
            </w:pPr>
            <w:r>
              <w:rPr>
                <w:lang w:val="pt-BR"/>
              </w:rPr>
              <w:t xml:space="preserve">0,5</w:t>
            </w:r>
          </w:p>
        </w:tc>
        <w:tc>
          <w:tcPr/>
          <w:p>
            <w:pPr>
              <w:pStyle w:val="Compact"/>
              <w:jc w:val="right"/>
            </w:pPr>
            <w:r>
              <w:rPr>
                <w:lang w:val="pt-BR"/>
              </w:rPr>
              <w:t xml:space="preserve">–0,2</w:t>
            </w:r>
          </w:p>
        </w:tc>
      </w:tr>
      <w:tr>
        <w:tc>
          <w:tcPr/>
          <w:p>
            <w:pPr>
              <w:pStyle w:val="Compact"/>
            </w:pPr>
            <w:r>
              <w:rPr>
                <w:lang w:val="pt-BR"/>
              </w:rPr>
              <w:t xml:space="preserve">FR-003</w:t>
            </w:r>
          </w:p>
        </w:tc>
        <w:tc>
          <w:tcPr/>
          <w:p>
            <w:pPr>
              <w:pStyle w:val="Compact"/>
              <w:jc w:val="right"/>
            </w:pPr>
            <w:r>
              <w:rPr>
                <w:lang w:val="pt-BR"/>
              </w:rPr>
              <w:t xml:space="preserve">0,9</w:t>
            </w:r>
          </w:p>
        </w:tc>
        <w:tc>
          <w:tcPr/>
          <w:p>
            <w:pPr>
              <w:pStyle w:val="Compact"/>
              <w:jc w:val="right"/>
            </w:pPr>
            <w:r>
              <w:rPr>
                <w:lang w:val="pt-BR"/>
              </w:rPr>
              <w:t xml:space="preserve">1,2</w:t>
            </w:r>
          </w:p>
        </w:tc>
        <w:tc>
          <w:tcPr/>
          <w:p>
            <w:pPr>
              <w:pStyle w:val="Compact"/>
              <w:jc w:val="right"/>
            </w:pPr>
            <w:r>
              <w:rPr>
                <w:lang w:val="pt-BR"/>
              </w:rPr>
              <w:t xml:space="preserve">+0,3</w:t>
            </w:r>
          </w:p>
        </w:tc>
      </w:tr>
      <w:tr>
        <w:tc>
          <w:tcPr/>
          <w:p>
            <w:pPr>
              <w:pStyle w:val="Compact"/>
            </w:pPr>
            <w:r>
              <w:rPr>
                <w:lang w:val="pt-BR"/>
              </w:rPr>
              <w:t xml:space="preserve">FR-004</w:t>
            </w:r>
          </w:p>
        </w:tc>
        <w:tc>
          <w:tcPr/>
          <w:p>
            <w:pPr>
              <w:pStyle w:val="Compact"/>
              <w:jc w:val="right"/>
            </w:pPr>
            <w:r>
              <w:rPr>
                <w:lang w:val="pt-BR"/>
              </w:rPr>
              <w:t xml:space="preserve">1,1</w:t>
            </w:r>
          </w:p>
        </w:tc>
        <w:tc>
          <w:tcPr/>
          <w:p>
            <w:pPr>
              <w:pStyle w:val="Compact"/>
              <w:jc w:val="right"/>
            </w:pPr>
            <w:r>
              <w:rPr>
                <w:lang w:val="pt-BR"/>
              </w:rPr>
              <w:t xml:space="preserve">1,2</w:t>
            </w:r>
          </w:p>
        </w:tc>
        <w:tc>
          <w:tcPr/>
          <w:p>
            <w:pPr>
              <w:pStyle w:val="Compact"/>
              <w:jc w:val="right"/>
            </w:pPr>
            <w:r>
              <w:rPr>
                <w:lang w:val="pt-BR"/>
              </w:rPr>
              <w:t xml:space="preserve">+0,1</w:t>
            </w:r>
          </w:p>
        </w:tc>
      </w:tr>
      <w:tr>
        <w:tc>
          <w:tcPr/>
          <w:p>
            <w:pPr>
              <w:pStyle w:val="Compact"/>
            </w:pPr>
            <w:r>
              <w:rPr>
                <w:lang w:val="pt-BR"/>
              </w:rPr>
              <w:t xml:space="preserve">FR-005</w:t>
            </w:r>
          </w:p>
        </w:tc>
        <w:tc>
          <w:tcPr/>
          <w:p>
            <w:pPr>
              <w:pStyle w:val="Compact"/>
              <w:jc w:val="right"/>
            </w:pPr>
            <w:r>
              <w:rPr>
                <w:lang w:val="pt-BR"/>
              </w:rPr>
              <w:t xml:space="preserve">0,5</w:t>
            </w:r>
          </w:p>
        </w:tc>
        <w:tc>
          <w:tcPr/>
          <w:p>
            <w:pPr>
              <w:pStyle w:val="Compact"/>
              <w:jc w:val="right"/>
            </w:pPr>
            <w:r>
              <w:rPr>
                <w:lang w:val="pt-BR"/>
              </w:rPr>
              <w:t xml:space="preserve">0,8</w:t>
            </w:r>
          </w:p>
        </w:tc>
        <w:tc>
          <w:tcPr/>
          <w:p>
            <w:pPr>
              <w:pStyle w:val="Compact"/>
              <w:jc w:val="right"/>
            </w:pPr>
            <w:r>
              <w:rPr>
                <w:lang w:val="pt-BR"/>
              </w:rPr>
              <w:t xml:space="preserve">+0,3</w:t>
            </w:r>
          </w:p>
        </w:tc>
      </w:tr>
      <w:tr>
        <w:tc>
          <w:tcPr/>
          <w:p>
            <w:pPr>
              <w:pStyle w:val="Compact"/>
            </w:pPr>
            <w:r>
              <w:rPr>
                <w:lang w:val="pt-BR"/>
              </w:rPr>
              <w:t xml:space="preserve">FR-006</w:t>
            </w:r>
          </w:p>
        </w:tc>
        <w:tc>
          <w:tcPr/>
          <w:p>
            <w:pPr>
              <w:pStyle w:val="Compact"/>
              <w:jc w:val="right"/>
            </w:pPr>
            <w:r>
              <w:rPr>
                <w:lang w:val="pt-BR"/>
              </w:rPr>
              <w:t xml:space="preserve">1,0</w:t>
            </w:r>
          </w:p>
        </w:tc>
        <w:tc>
          <w:tcPr/>
          <w:p>
            <w:pPr>
              <w:pStyle w:val="Compact"/>
              <w:jc w:val="right"/>
            </w:pPr>
            <w:r>
              <w:rPr>
                <w:lang w:val="pt-BR"/>
              </w:rPr>
              <w:t xml:space="preserve">0,9</w:t>
            </w:r>
          </w:p>
        </w:tc>
        <w:tc>
          <w:tcPr/>
          <w:p>
            <w:pPr>
              <w:pStyle w:val="Compact"/>
              <w:jc w:val="right"/>
            </w:pPr>
            <w:r>
              <w:rPr>
                <w:lang w:val="pt-BR"/>
              </w:rPr>
              <w:t xml:space="preserve">–0,1</w:t>
            </w:r>
          </w:p>
        </w:tc>
      </w:tr>
      <w:tr>
        <w:tc>
          <w:tcPr/>
          <w:p>
            <w:pPr>
              <w:pStyle w:val="Compact"/>
            </w:pPr>
            <w:r>
              <w:rPr>
                <w:lang w:val="pt-BR"/>
              </w:rPr>
              <w:t xml:space="preserve">FR-007</w:t>
            </w:r>
          </w:p>
        </w:tc>
        <w:tc>
          <w:tcPr/>
          <w:p>
            <w:pPr>
              <w:pStyle w:val="Compact"/>
              <w:jc w:val="right"/>
            </w:pPr>
            <w:r>
              <w:rPr>
                <w:lang w:val="pt-BR"/>
              </w:rPr>
              <w:t xml:space="preserve">1,8</w:t>
            </w:r>
          </w:p>
        </w:tc>
        <w:tc>
          <w:tcPr/>
          <w:p>
            <w:pPr>
              <w:pStyle w:val="Compact"/>
              <w:jc w:val="right"/>
            </w:pPr>
            <w:r>
              <w:rPr>
                <w:lang w:val="pt-BR"/>
              </w:rPr>
              <w:t xml:space="preserve">1,8</w:t>
            </w:r>
          </w:p>
        </w:tc>
        <w:tc>
          <w:tcPr/>
          <w:p>
            <w:pPr>
              <w:pStyle w:val="Compact"/>
              <w:jc w:val="right"/>
            </w:pPr>
            <w:r>
              <w:rPr>
                <w:lang w:val="pt-BR"/>
              </w:rPr>
              <w:t xml:space="preserve">0,0</w:t>
            </w:r>
          </w:p>
        </w:tc>
      </w:tr>
      <w:tr>
        <w:tc>
          <w:tcPr/>
          <w:p>
            <w:pPr>
              <w:pStyle w:val="Compact"/>
            </w:pPr>
            <w:r>
              <w:rPr>
                <w:lang w:val="pt-BR"/>
              </w:rPr>
              <w:t xml:space="preserve">FR-008</w:t>
            </w:r>
          </w:p>
        </w:tc>
        <w:tc>
          <w:tcPr/>
          <w:p>
            <w:pPr>
              <w:pStyle w:val="Compact"/>
              <w:jc w:val="right"/>
            </w:pPr>
            <w:r>
              <w:rPr>
                <w:lang w:val="pt-BR"/>
              </w:rPr>
              <w:t xml:space="preserve">1,2</w:t>
            </w:r>
          </w:p>
        </w:tc>
        <w:tc>
          <w:tcPr/>
          <w:p>
            <w:pPr>
              <w:pStyle w:val="Compact"/>
              <w:jc w:val="right"/>
            </w:pPr>
            <w:r>
              <w:rPr>
                <w:lang w:val="pt-BR"/>
              </w:rPr>
              <w:t xml:space="preserve">0,8</w:t>
            </w:r>
          </w:p>
        </w:tc>
        <w:tc>
          <w:tcPr/>
          <w:p>
            <w:pPr>
              <w:pStyle w:val="Compact"/>
              <w:jc w:val="right"/>
            </w:pPr>
            <w:r>
              <w:rPr>
                <w:lang w:val="pt-BR"/>
              </w:rPr>
              <w:t xml:space="preserve">–0,4</w:t>
            </w:r>
          </w:p>
        </w:tc>
      </w:tr>
      <w:tr>
        <w:tc>
          <w:tcPr/>
          <w:p>
            <w:pPr>
              <w:pStyle w:val="Compact"/>
            </w:pPr>
            <w:r>
              <w:rPr>
                <w:lang w:val="pt-BR"/>
              </w:rPr>
              <w:t xml:space="preserve">FR-009</w:t>
            </w:r>
          </w:p>
        </w:tc>
        <w:tc>
          <w:tcPr/>
          <w:p>
            <w:pPr>
              <w:pStyle w:val="Compact"/>
              <w:jc w:val="right"/>
            </w:pPr>
            <w:r>
              <w:rPr>
                <w:lang w:val="pt-BR"/>
              </w:rPr>
              <w:t xml:space="preserve">2,4</w:t>
            </w:r>
          </w:p>
        </w:tc>
        <w:tc>
          <w:tcPr/>
          <w:p>
            <w:pPr>
              <w:pStyle w:val="Compact"/>
              <w:jc w:val="right"/>
            </w:pPr>
            <w:r>
              <w:rPr>
                <w:lang w:val="pt-BR"/>
              </w:rPr>
              <w:t xml:space="preserve">2,4</w:t>
            </w:r>
          </w:p>
        </w:tc>
        <w:tc>
          <w:tcPr/>
          <w:p>
            <w:pPr>
              <w:pStyle w:val="Compact"/>
              <w:jc w:val="right"/>
            </w:pPr>
            <w:r>
              <w:rPr>
                <w:lang w:val="pt-BR"/>
              </w:rPr>
              <w:t xml:space="preserve">0,0</w:t>
            </w:r>
          </w:p>
        </w:tc>
      </w:tr>
      <w:tr>
        <w:tc>
          <w:tcPr/>
          <w:p>
            <w:pPr>
              <w:pStyle w:val="Compact"/>
            </w:pPr>
            <w:r>
              <w:rPr>
                <w:lang w:val="pt-BR"/>
              </w:rPr>
              <w:t xml:space="preserve">FR-010</w:t>
            </w:r>
          </w:p>
        </w:tc>
        <w:tc>
          <w:tcPr/>
          <w:p>
            <w:pPr>
              <w:pStyle w:val="Compact"/>
              <w:jc w:val="right"/>
            </w:pPr>
            <w:r>
              <w:rPr>
                <w:lang w:val="pt-BR"/>
              </w:rPr>
              <w:t xml:space="preserve">0,6</w:t>
            </w:r>
          </w:p>
        </w:tc>
        <w:tc>
          <w:tcPr/>
          <w:p>
            <w:pPr>
              <w:pStyle w:val="Compact"/>
              <w:jc w:val="right"/>
            </w:pPr>
            <w:r>
              <w:rPr>
                <w:lang w:val="pt-BR"/>
              </w:rPr>
              <w:t xml:space="preserve">0,3</w:t>
            </w:r>
          </w:p>
        </w:tc>
        <w:tc>
          <w:tcPr/>
          <w:p>
            <w:pPr>
              <w:pStyle w:val="Compact"/>
              <w:jc w:val="right"/>
            </w:pPr>
            <w:r>
              <w:rPr>
                <w:lang w:val="pt-BR"/>
              </w:rPr>
              <w:t xml:space="preserve">–0,3</w:t>
            </w:r>
          </w:p>
        </w:tc>
      </w:tr>
    </w:tbl>
    <w:p>
      <w:pPr>
        <w:pStyle w:val="BodyText"/>
      </w:pPr>
      <w:r>
        <w:rPr>
          <w:lang w:val="pt-BR"/>
        </w:rPr>
        <w:t xml:space="preserve">O delta médio absoluto foi de 0,18 ponto (escala 0–3), sem viés sistemático (média algébrica</w:t>
      </w:r>
      <w:r>
        <w:rPr>
          <w:lang w:val="pt-BR"/>
        </w:rPr>
        <w:t xml:space="preserve"> </w:t>
      </w:r>
      <m:oMath>
        <m:r>
          <m:rPr>
            <m:sty m:val="p"/>
          </m:rPr>
          <m:t>≈</m:t>
        </m:r>
      </m:oMath>
      <w:r>
        <w:rPr>
          <w:lang w:val="pt-BR"/>
        </w:rPr>
        <w:t xml:space="preserve"> </w:t>
      </w:r>
      <w:r>
        <w:rPr>
          <w:lang w:val="pt-BR"/>
        </w:rPr>
        <w:t xml:space="preserve">–0,04).</w:t>
      </w:r>
    </w:p>
    <w:bookmarkEnd w:id="88"/>
    <w:bookmarkStart w:id="89" w:name="X4c34396904941409cd7b78b65a631cd8a4ee117"/>
    <w:p>
      <w:pPr>
        <w:pStyle w:val="Heading4"/>
      </w:pPr>
      <w:r>
        <w:rPr>
          <w:rStyle w:val="SectionNumber"/>
          <w:lang w:val="pt-BR"/>
        </w:rPr>
        <w:t xml:space="preserve">5.1.6.2</w:t>
      </w:r>
      <w:r>
        <w:tab/>
      </w:r>
      <w:r>
        <w:rPr>
          <w:lang w:val="pt-BR"/>
        </w:rPr>
        <w:t xml:space="preserve">Rodada 2: FR-021 a FR-030 (teste com série homogênea)</w:t>
      </w:r>
    </w:p>
    <w:p>
      <w:pPr>
        <w:pStyle w:val="FirstParagraph"/>
      </w:pPr>
      <w:r>
        <w:rPr>
          <w:lang w:val="pt-BR"/>
        </w:rPr>
        <w:t xml:space="preserve">A segunda rodada foi desenhada como teste mais exigente: os 10 itens incluem quatro cartazes do Emprunt National 1920 (FR-025, FR-026, FR-028, FR-029), encomendados por bancos diferentes mas todos classificados como regime NORMATIVO com endurecimento idêntico de 2,0 pela codificação por metadados. A hipótese era que a codificação por imagem revelaria variação interna invisível aos metadados.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pt-BR"/>
              </w:rPr>
              <w:t xml:space="preserve">Item</w:t>
            </w:r>
          </w:p>
        </w:tc>
        <w:tc>
          <w:tcPr/>
          <w:p>
            <w:pPr>
              <w:pStyle w:val="Compact"/>
              <w:jc w:val="right"/>
            </w:pPr>
            <w:r>
              <w:rPr>
                <w:lang w:val="pt-BR"/>
              </w:rPr>
              <w:t xml:space="preserve">Score por metadados</w:t>
            </w:r>
          </w:p>
        </w:tc>
        <w:tc>
          <w:tcPr/>
          <w:p>
            <w:pPr>
              <w:pStyle w:val="Compact"/>
              <w:jc w:val="right"/>
            </w:pPr>
            <w:r>
              <w:rPr>
                <w:lang w:val="pt-BR"/>
              </w:rPr>
              <w:t xml:space="preserve">Score por imagem</w:t>
            </w:r>
          </w:p>
        </w:tc>
        <w:tc>
          <w:tcPr/>
          <w:p>
            <w:pPr>
              <w:pStyle w:val="Compact"/>
              <w:jc w:val="right"/>
            </w:pPr>
            <w:r>
              <w:rPr>
                <w:lang w:val="pt-BR"/>
              </w:rPr>
              <w:t xml:space="preserve">Delta</w:t>
            </w:r>
          </w:p>
        </w:tc>
      </w:tr>
      <w:tr>
        <w:tc>
          <w:tcPr/>
          <w:p>
            <w:pPr>
              <w:pStyle w:val="Compact"/>
            </w:pPr>
            <w:r>
              <w:rPr>
                <w:lang w:val="pt-BR"/>
              </w:rPr>
              <w:t xml:space="preserve">FR-021</w:t>
            </w:r>
          </w:p>
        </w:tc>
        <w:tc>
          <w:tcPr/>
          <w:p>
            <w:pPr>
              <w:pStyle w:val="Compact"/>
              <w:jc w:val="right"/>
            </w:pPr>
            <w:r>
              <w:rPr>
                <w:lang w:val="pt-BR"/>
              </w:rPr>
              <w:t xml:space="preserve">0,3</w:t>
            </w:r>
          </w:p>
        </w:tc>
        <w:tc>
          <w:tcPr/>
          <w:p>
            <w:pPr>
              <w:pStyle w:val="Compact"/>
              <w:jc w:val="right"/>
            </w:pPr>
            <w:r>
              <w:rPr>
                <w:lang w:val="pt-BR"/>
              </w:rPr>
              <w:t xml:space="preserve">0,2</w:t>
            </w:r>
          </w:p>
        </w:tc>
        <w:tc>
          <w:tcPr/>
          <w:p>
            <w:pPr>
              <w:pStyle w:val="Compact"/>
              <w:jc w:val="right"/>
            </w:pPr>
            <w:r>
              <w:rPr>
                <w:lang w:val="pt-BR"/>
              </w:rPr>
              <w:t xml:space="preserve">–0,1</w:t>
            </w:r>
          </w:p>
        </w:tc>
      </w:tr>
      <w:tr>
        <w:tc>
          <w:tcPr/>
          <w:p>
            <w:pPr>
              <w:pStyle w:val="Compact"/>
            </w:pPr>
            <w:r>
              <w:rPr>
                <w:lang w:val="pt-BR"/>
              </w:rPr>
              <w:t xml:space="preserve">FR-022</w:t>
            </w:r>
          </w:p>
        </w:tc>
        <w:tc>
          <w:tcPr/>
          <w:p>
            <w:pPr>
              <w:pStyle w:val="Compact"/>
              <w:jc w:val="right"/>
            </w:pPr>
            <w:r>
              <w:rPr>
                <w:lang w:val="pt-BR"/>
              </w:rPr>
              <w:t xml:space="preserve">0,7</w:t>
            </w:r>
          </w:p>
        </w:tc>
        <w:tc>
          <w:tcPr/>
          <w:p>
            <w:pPr>
              <w:pStyle w:val="Compact"/>
              <w:jc w:val="right"/>
            </w:pPr>
            <w:r>
              <w:rPr>
                <w:lang w:val="pt-BR"/>
              </w:rPr>
              <w:t xml:space="preserve">0,3</w:t>
            </w:r>
          </w:p>
        </w:tc>
        <w:tc>
          <w:tcPr/>
          <w:p>
            <w:pPr>
              <w:pStyle w:val="Compact"/>
              <w:jc w:val="right"/>
            </w:pPr>
            <w:r>
              <w:rPr>
                <w:lang w:val="pt-BR"/>
              </w:rPr>
              <w:t xml:space="preserve">–0,4</w:t>
            </w:r>
          </w:p>
        </w:tc>
      </w:tr>
      <w:tr>
        <w:tc>
          <w:tcPr/>
          <w:p>
            <w:pPr>
              <w:pStyle w:val="Compact"/>
            </w:pPr>
            <w:r>
              <w:rPr>
                <w:lang w:val="pt-BR"/>
              </w:rPr>
              <w:t xml:space="preserve">FR-023</w:t>
            </w:r>
          </w:p>
        </w:tc>
        <w:tc>
          <w:tcPr/>
          <w:p>
            <w:pPr>
              <w:pStyle w:val="Compact"/>
              <w:jc w:val="right"/>
            </w:pPr>
            <w:r>
              <w:rPr>
                <w:lang w:val="pt-BR"/>
              </w:rPr>
              <w:t xml:space="preserve">1,8</w:t>
            </w:r>
          </w:p>
        </w:tc>
        <w:tc>
          <w:tcPr/>
          <w:p>
            <w:pPr>
              <w:pStyle w:val="Compact"/>
              <w:jc w:val="right"/>
            </w:pPr>
            <w:r>
              <w:rPr>
                <w:lang w:val="pt-BR"/>
              </w:rPr>
              <w:t xml:space="preserve">2,1</w:t>
            </w:r>
          </w:p>
        </w:tc>
        <w:tc>
          <w:tcPr/>
          <w:p>
            <w:pPr>
              <w:pStyle w:val="Compact"/>
              <w:jc w:val="right"/>
            </w:pPr>
            <w:r>
              <w:rPr>
                <w:lang w:val="pt-BR"/>
              </w:rPr>
              <w:t xml:space="preserve">+0,3</w:t>
            </w:r>
          </w:p>
        </w:tc>
      </w:tr>
      <w:tr>
        <w:tc>
          <w:tcPr/>
          <w:p>
            <w:pPr>
              <w:pStyle w:val="Compact"/>
            </w:pPr>
            <w:r>
              <w:rPr>
                <w:lang w:val="pt-BR"/>
              </w:rPr>
              <w:t xml:space="preserve">FR-024</w:t>
            </w:r>
          </w:p>
        </w:tc>
        <w:tc>
          <w:tcPr/>
          <w:p>
            <w:pPr>
              <w:pStyle w:val="Compact"/>
              <w:jc w:val="right"/>
            </w:pPr>
            <w:r>
              <w:rPr>
                <w:lang w:val="pt-BR"/>
              </w:rPr>
              <w:t xml:space="preserve">1,8</w:t>
            </w:r>
          </w:p>
        </w:tc>
        <w:tc>
          <w:tcPr/>
          <w:p>
            <w:pPr>
              <w:pStyle w:val="Compact"/>
              <w:jc w:val="right"/>
            </w:pPr>
            <w:r>
              <w:rPr>
                <w:lang w:val="pt-BR"/>
              </w:rPr>
              <w:t xml:space="preserve">1,8</w:t>
            </w:r>
          </w:p>
        </w:tc>
        <w:tc>
          <w:tcPr/>
          <w:p>
            <w:pPr>
              <w:pStyle w:val="Compact"/>
              <w:jc w:val="right"/>
            </w:pPr>
            <w:r>
              <w:rPr>
                <w:lang w:val="pt-BR"/>
              </w:rPr>
              <w:t xml:space="preserve">0,0</w:t>
            </w:r>
          </w:p>
        </w:tc>
      </w:tr>
      <w:tr>
        <w:tc>
          <w:tcPr/>
          <w:p>
            <w:pPr>
              <w:pStyle w:val="Compact"/>
            </w:pPr>
            <w:r>
              <w:rPr>
                <w:lang w:val="pt-BR"/>
              </w:rPr>
              <w:t xml:space="preserve">FR-025</w:t>
            </w:r>
          </w:p>
        </w:tc>
        <w:tc>
          <w:tcPr/>
          <w:p>
            <w:pPr>
              <w:pStyle w:val="Compact"/>
              <w:jc w:val="right"/>
            </w:pPr>
            <w:r>
              <w:rPr>
                <w:lang w:val="pt-BR"/>
              </w:rPr>
              <w:t xml:space="preserve">2,0</w:t>
            </w:r>
          </w:p>
        </w:tc>
        <w:tc>
          <w:tcPr/>
          <w:p>
            <w:pPr>
              <w:pStyle w:val="Compact"/>
              <w:jc w:val="right"/>
            </w:pPr>
            <w:r>
              <w:rPr>
                <w:lang w:val="pt-BR"/>
              </w:rPr>
              <w:t xml:space="preserve">1,0</w:t>
            </w:r>
          </w:p>
        </w:tc>
        <w:tc>
          <w:tcPr/>
          <w:p>
            <w:pPr>
              <w:pStyle w:val="Compact"/>
              <w:jc w:val="right"/>
            </w:pPr>
            <w:r>
              <w:rPr>
                <w:lang w:val="pt-BR"/>
              </w:rPr>
              <w:t xml:space="preserve">–1,0</w:t>
            </w:r>
          </w:p>
        </w:tc>
      </w:tr>
      <w:tr>
        <w:tc>
          <w:tcPr/>
          <w:p>
            <w:pPr>
              <w:pStyle w:val="Compact"/>
            </w:pPr>
            <w:r>
              <w:rPr>
                <w:lang w:val="pt-BR"/>
              </w:rPr>
              <w:t xml:space="preserve">FR-026</w:t>
            </w:r>
          </w:p>
        </w:tc>
        <w:tc>
          <w:tcPr/>
          <w:p>
            <w:pPr>
              <w:pStyle w:val="Compact"/>
              <w:jc w:val="right"/>
            </w:pPr>
            <w:r>
              <w:rPr>
                <w:lang w:val="pt-BR"/>
              </w:rPr>
              <w:t xml:space="preserve">2,0</w:t>
            </w:r>
          </w:p>
        </w:tc>
        <w:tc>
          <w:tcPr/>
          <w:p>
            <w:pPr>
              <w:pStyle w:val="Compact"/>
              <w:jc w:val="right"/>
            </w:pPr>
            <w:r>
              <w:rPr>
                <w:lang w:val="pt-BR"/>
              </w:rPr>
              <w:t xml:space="preserve">1,3</w:t>
            </w:r>
          </w:p>
        </w:tc>
        <w:tc>
          <w:tcPr/>
          <w:p>
            <w:pPr>
              <w:pStyle w:val="Compact"/>
              <w:jc w:val="right"/>
            </w:pPr>
            <w:r>
              <w:rPr>
                <w:lang w:val="pt-BR"/>
              </w:rPr>
              <w:t xml:space="preserve">–0,7</w:t>
            </w:r>
          </w:p>
        </w:tc>
      </w:tr>
      <w:tr>
        <w:tc>
          <w:tcPr/>
          <w:p>
            <w:pPr>
              <w:pStyle w:val="Compact"/>
            </w:pPr>
            <w:r>
              <w:rPr>
                <w:lang w:val="pt-BR"/>
              </w:rPr>
              <w:t xml:space="preserve">FR-027</w:t>
            </w:r>
          </w:p>
        </w:tc>
        <w:tc>
          <w:tcPr/>
          <w:p>
            <w:pPr>
              <w:pStyle w:val="Compact"/>
              <w:jc w:val="right"/>
            </w:pPr>
            <w:r>
              <w:rPr>
                <w:lang w:val="pt-BR"/>
              </w:rPr>
              <w:t xml:space="preserve">1,7</w:t>
            </w:r>
          </w:p>
        </w:tc>
        <w:tc>
          <w:tcPr/>
          <w:p>
            <w:pPr>
              <w:pStyle w:val="Compact"/>
              <w:jc w:val="right"/>
            </w:pPr>
            <w:r>
              <w:rPr>
                <w:lang w:val="pt-BR"/>
              </w:rPr>
              <w:t xml:space="preserve">2,3</w:t>
            </w:r>
          </w:p>
        </w:tc>
        <w:tc>
          <w:tcPr/>
          <w:p>
            <w:pPr>
              <w:pStyle w:val="Compact"/>
              <w:jc w:val="right"/>
            </w:pPr>
            <w:r>
              <w:rPr>
                <w:lang w:val="pt-BR"/>
              </w:rPr>
              <w:t xml:space="preserve">+0,6</w:t>
            </w:r>
          </w:p>
        </w:tc>
      </w:tr>
      <w:tr>
        <w:tc>
          <w:tcPr/>
          <w:p>
            <w:pPr>
              <w:pStyle w:val="Compact"/>
            </w:pPr>
            <w:r>
              <w:rPr>
                <w:lang w:val="pt-BR"/>
              </w:rPr>
              <w:t xml:space="preserve">FR-028</w:t>
            </w:r>
          </w:p>
        </w:tc>
        <w:tc>
          <w:tcPr/>
          <w:p>
            <w:pPr>
              <w:pStyle w:val="Compact"/>
              <w:jc w:val="right"/>
            </w:pPr>
            <w:r>
              <w:rPr>
                <w:lang w:val="pt-BR"/>
              </w:rPr>
              <w:t xml:space="preserve">2,0</w:t>
            </w:r>
          </w:p>
        </w:tc>
        <w:tc>
          <w:tcPr/>
          <w:p>
            <w:pPr>
              <w:pStyle w:val="Compact"/>
              <w:jc w:val="right"/>
            </w:pPr>
            <w:r>
              <w:rPr>
                <w:lang w:val="pt-BR"/>
              </w:rPr>
              <w:t xml:space="preserve">0,4</w:t>
            </w:r>
          </w:p>
        </w:tc>
        <w:tc>
          <w:tcPr/>
          <w:p>
            <w:pPr>
              <w:pStyle w:val="Compact"/>
              <w:jc w:val="right"/>
            </w:pPr>
            <w:r>
              <w:rPr>
                <w:lang w:val="pt-BR"/>
              </w:rPr>
              <w:t xml:space="preserve">–1,6</w:t>
            </w:r>
          </w:p>
        </w:tc>
      </w:tr>
      <w:tr>
        <w:tc>
          <w:tcPr/>
          <w:p>
            <w:pPr>
              <w:pStyle w:val="Compact"/>
            </w:pPr>
            <w:r>
              <w:rPr>
                <w:lang w:val="pt-BR"/>
              </w:rPr>
              <w:t xml:space="preserve">FR-029</w:t>
            </w:r>
          </w:p>
        </w:tc>
        <w:tc>
          <w:tcPr/>
          <w:p>
            <w:pPr>
              <w:pStyle w:val="Compact"/>
              <w:jc w:val="right"/>
            </w:pPr>
            <w:r>
              <w:rPr>
                <w:lang w:val="pt-BR"/>
              </w:rPr>
              <w:t xml:space="preserve">2,0</w:t>
            </w:r>
          </w:p>
        </w:tc>
        <w:tc>
          <w:tcPr/>
          <w:p>
            <w:pPr>
              <w:pStyle w:val="Compact"/>
              <w:jc w:val="right"/>
            </w:pPr>
            <w:r>
              <w:rPr>
                <w:lang w:val="pt-BR"/>
              </w:rPr>
              <w:t xml:space="preserve">1,5</w:t>
            </w:r>
          </w:p>
        </w:tc>
        <w:tc>
          <w:tcPr/>
          <w:p>
            <w:pPr>
              <w:pStyle w:val="Compact"/>
              <w:jc w:val="right"/>
            </w:pPr>
            <w:r>
              <w:rPr>
                <w:lang w:val="pt-BR"/>
              </w:rPr>
              <w:t xml:space="preserve">–0,5</w:t>
            </w:r>
          </w:p>
        </w:tc>
      </w:tr>
      <w:tr>
        <w:tc>
          <w:tcPr/>
          <w:p>
            <w:pPr>
              <w:pStyle w:val="Compact"/>
            </w:pPr>
            <w:r>
              <w:rPr>
                <w:lang w:val="pt-BR"/>
              </w:rPr>
              <w:t xml:space="preserve">FR-030</w:t>
            </w:r>
          </w:p>
        </w:tc>
        <w:tc>
          <w:tcPr/>
          <w:p>
            <w:pPr>
              <w:pStyle w:val="Compact"/>
              <w:jc w:val="right"/>
            </w:pPr>
            <w:r>
              <w:rPr>
                <w:lang w:val="pt-BR"/>
              </w:rPr>
              <w:t xml:space="preserve">1,8</w:t>
            </w:r>
          </w:p>
        </w:tc>
        <w:tc>
          <w:tcPr/>
          <w:p>
            <w:pPr>
              <w:pStyle w:val="Compact"/>
              <w:jc w:val="right"/>
            </w:pPr>
            <w:r>
              <w:rPr>
                <w:lang w:val="pt-BR"/>
              </w:rPr>
              <w:t xml:space="preserve">1,5</w:t>
            </w:r>
          </w:p>
        </w:tc>
        <w:tc>
          <w:tcPr/>
          <w:p>
            <w:pPr>
              <w:pStyle w:val="Compact"/>
              <w:jc w:val="right"/>
            </w:pPr>
            <w:r>
              <w:rPr>
                <w:lang w:val="pt-BR"/>
              </w:rPr>
              <w:t xml:space="preserve">–0,3</w:t>
            </w:r>
          </w:p>
        </w:tc>
      </w:tr>
    </w:tbl>
    <w:p>
      <w:pPr>
        <w:pStyle w:val="BodyText"/>
      </w:pPr>
      <w:r>
        <w:rPr>
          <w:lang w:val="pt-BR"/>
        </w:rPr>
        <w:t xml:space="preserve">O delta médio absoluto foi de</w:t>
      </w:r>
      <w:r>
        <w:rPr>
          <w:lang w:val="pt-BR"/>
        </w:rPr>
        <w:t xml:space="preserve"> </w:t>
      </w:r>
      <w:r>
        <w:rPr>
          <w:b/>
          <w:bCs/>
          <w:lang w:val="pt-BR"/>
        </w:rPr>
        <w:t xml:space="preserve">0,55 ponto</w:t>
      </w:r>
      <w:r>
        <w:rPr>
          <w:lang w:val="pt-BR"/>
        </w:rPr>
        <w:t xml:space="preserve"> </w:t>
      </w:r>
      <w:r>
        <w:rPr>
          <w:lang w:val="pt-BR"/>
        </w:rPr>
        <w:t xml:space="preserve">— três vezes superior ao da Rodada 1 —, com amplitude de –1,6 a +0,6. A hipótese foi confirmada de forma contundente: os quatro cartazes do Emprunt National 1920, recebendo scores idênticos pela codificação por metadados, revelaram-se radicalmente diferentes pela inspeção visual:</w:t>
      </w:r>
    </w:p>
    <w:p>
      <w:pPr>
        <w:pStyle w:val="Compact"/>
        <w:numPr>
          <w:ilvl w:val="0"/>
          <w:numId w:val="1002"/>
        </w:numPr>
      </w:pPr>
      <w:r>
        <w:rPr>
          <w:b/>
          <w:bCs/>
          <w:lang w:val="pt-BR"/>
        </w:rPr>
        <w:t xml:space="preserve">FR-025</w:t>
      </w:r>
      <w:r>
        <w:rPr>
          <w:lang w:val="pt-BR"/>
        </w:rPr>
        <w:t xml:space="preserve"> </w:t>
      </w:r>
      <w:r>
        <w:rPr>
          <w:lang w:val="pt-BR"/>
        </w:rPr>
        <w:t xml:space="preserve">(delta –1,0): a Société Générale encomendou uma Marianne em pleno</w:t>
      </w:r>
      <w:r>
        <w:rPr>
          <w:lang w:val="pt-BR"/>
        </w:rPr>
        <w:t xml:space="preserve"> </w:t>
      </w:r>
      <w:r>
        <w:rPr>
          <w:i/>
          <w:iCs/>
          <w:lang w:val="pt-BR"/>
        </w:rPr>
        <w:t xml:space="preserve">Nachleben</w:t>
      </w:r>
      <w:r>
        <w:rPr>
          <w:lang w:val="pt-BR"/>
        </w:rPr>
        <w:t xml:space="preserve"> </w:t>
      </w:r>
      <w:r>
        <w:rPr>
          <w:lang w:val="pt-BR"/>
        </w:rPr>
        <w:t xml:space="preserve">de Delacroix — corpo dinâmico, narrativa de reconstrução, policromo — resultando em endurecimento 1,0.</w:t>
      </w:r>
    </w:p>
    <w:p>
      <w:pPr>
        <w:pStyle w:val="Compact"/>
        <w:numPr>
          <w:ilvl w:val="0"/>
          <w:numId w:val="1002"/>
        </w:numPr>
      </w:pPr>
      <w:r>
        <w:rPr>
          <w:b/>
          <w:bCs/>
          <w:lang w:val="pt-BR"/>
        </w:rPr>
        <w:t xml:space="preserve">FR-026</w:t>
      </w:r>
      <w:r>
        <w:rPr>
          <w:lang w:val="pt-BR"/>
        </w:rPr>
        <w:t xml:space="preserve"> </w:t>
      </w:r>
      <w:r>
        <w:rPr>
          <w:lang w:val="pt-BR"/>
        </w:rPr>
        <w:t xml:space="preserve">(delta –0,7): a Banque Nationale de Paris encomendou de Francisque Poulbot uma</w:t>
      </w:r>
      <w:r>
        <w:rPr>
          <w:lang w:val="pt-BR"/>
        </w:rPr>
        <w:t xml:space="preserve"> </w:t>
      </w:r>
      <w:r>
        <w:rPr>
          <w:i/>
          <w:iCs/>
          <w:lang w:val="pt-BR"/>
        </w:rPr>
        <w:t xml:space="preserve">Marianne criança</w:t>
      </w:r>
      <w:r>
        <w:rPr>
          <w:lang w:val="pt-BR"/>
        </w:rPr>
        <w:t xml:space="preserve"> </w:t>
      </w:r>
      <w:r>
        <w:rPr>
          <w:lang w:val="pt-BR"/>
        </w:rPr>
        <w:t xml:space="preserve">descalça na praia, com barrete frígio e vestido tricolor — dessexualização máxima (3) por via de regressão etária, endurecimento 1,3.</w:t>
      </w:r>
    </w:p>
    <w:p>
      <w:pPr>
        <w:pStyle w:val="Compact"/>
        <w:numPr>
          <w:ilvl w:val="0"/>
          <w:numId w:val="1002"/>
        </w:numPr>
      </w:pPr>
      <w:r>
        <w:rPr>
          <w:b/>
          <w:bCs/>
          <w:lang w:val="pt-BR"/>
        </w:rPr>
        <w:t xml:space="preserve">FR-028</w:t>
      </w:r>
      <w:r>
        <w:rPr>
          <w:lang w:val="pt-BR"/>
        </w:rPr>
        <w:t xml:space="preserve"> </w:t>
      </w:r>
      <w:r>
        <w:rPr>
          <w:lang w:val="pt-BR"/>
        </w:rPr>
        <w:t xml:space="preserve">(delta –1,6): o Comptoir National d’Escompte encomendou uma Marianne Art Nouveau jardineira, com corpo naturalista, décolletage e rosas — quase nenhuma purificação, endurecimento 0,4.</w:t>
      </w:r>
    </w:p>
    <w:p>
      <w:pPr>
        <w:pStyle w:val="Compact"/>
        <w:numPr>
          <w:ilvl w:val="0"/>
          <w:numId w:val="1002"/>
        </w:numPr>
      </w:pPr>
      <w:r>
        <w:rPr>
          <w:b/>
          <w:bCs/>
          <w:lang w:val="pt-BR"/>
        </w:rPr>
        <w:t xml:space="preserve">FR-029</w:t>
      </w:r>
      <w:r>
        <w:rPr>
          <w:lang w:val="pt-BR"/>
        </w:rPr>
        <w:t xml:space="preserve"> </w:t>
      </w:r>
      <w:r>
        <w:rPr>
          <w:lang w:val="pt-BR"/>
        </w:rPr>
        <w:t xml:space="preserve">(delta –0,5): a Société Centrale des Banques de Province encomendou uma alegoria em ruínas de guerra, apontando para o horizonte industrial — registro intermediário, endurecimento 1,5.</w:t>
      </w:r>
    </w:p>
    <w:p>
      <w:pPr>
        <w:pStyle w:val="FirstParagraph"/>
      </w:pPr>
      <w:r>
        <w:rPr>
          <w:lang w:val="pt-BR"/>
        </w:rPr>
        <w:t xml:space="preserve">Inversamente, os cartazes financeiro-administrativos (FR-023, FR-027) tiveram seu endurecimento</w:t>
      </w:r>
      <w:r>
        <w:rPr>
          <w:lang w:val="pt-BR"/>
        </w:rPr>
        <w:t xml:space="preserve"> </w:t>
      </w:r>
      <w:r>
        <w:rPr>
          <w:i/>
          <w:iCs/>
          <w:lang w:val="pt-BR"/>
        </w:rPr>
        <w:t xml:space="preserve">subestimado</w:t>
      </w:r>
      <w:r>
        <w:rPr>
          <w:lang w:val="pt-BR"/>
        </w:rPr>
        <w:t xml:space="preserve"> </w:t>
      </w:r>
      <w:r>
        <w:rPr>
          <w:lang w:val="pt-BR"/>
        </w:rPr>
        <w:t xml:space="preserve">pela codificação por metadados, porque a subordinação da figura alegórica ao texto burocrático — Marianne como marca d’água atrás de taxas de juros, ou como pequena vinheta no alto de um documento de subscrição — só é perceptível visualmente.</w:t>
      </w:r>
    </w:p>
    <w:bookmarkEnd w:id="89"/>
    <w:bookmarkStart w:id="90" w:name="conclusão-metodológica"/>
    <w:p>
      <w:pPr>
        <w:pStyle w:val="Heading4"/>
      </w:pPr>
      <w:r>
        <w:rPr>
          <w:rStyle w:val="SectionNumber"/>
          <w:lang w:val="pt-BR"/>
        </w:rPr>
        <w:t xml:space="preserve">5.1.6.3</w:t>
      </w:r>
      <w:r>
        <w:tab/>
      </w:r>
      <w:r>
        <w:rPr>
          <w:lang w:val="pt-BR"/>
        </w:rPr>
        <w:t xml:space="preserve">Conclusão metodológica</w:t>
      </w:r>
    </w:p>
    <w:p>
      <w:pPr>
        <w:pStyle w:val="FirstParagraph"/>
      </w:pPr>
      <w:r>
        <w:rPr>
          <w:lang w:val="pt-BR"/>
        </w:rPr>
        <w:t xml:space="preserve">As duas rodadas demonstram que a codificação por metadados é confiável para</w:t>
      </w:r>
      <w:r>
        <w:rPr>
          <w:lang w:val="pt-BR"/>
        </w:rPr>
        <w:t xml:space="preserve"> </w:t>
      </w:r>
      <w:r>
        <w:rPr>
          <w:b/>
          <w:bCs/>
          <w:lang w:val="pt-BR"/>
        </w:rPr>
        <w:t xml:space="preserve">propriedades do suporte</w:t>
      </w:r>
      <w:r>
        <w:rPr>
          <w:lang w:val="pt-BR"/>
        </w:rPr>
        <w:t xml:space="preserve"> </w:t>
      </w:r>
      <w:r>
        <w:rPr>
          <w:lang w:val="pt-BR"/>
        </w:rPr>
        <w:t xml:space="preserve">(monocromatização, serialidade, inscrição estatal) mas sistematicamente</w:t>
      </w:r>
      <w:r>
        <w:rPr>
          <w:lang w:val="pt-BR"/>
        </w:rPr>
        <w:t xml:space="preserve"> </w:t>
      </w:r>
      <w:r>
        <w:rPr>
          <w:b/>
          <w:bCs/>
          <w:lang w:val="pt-BR"/>
        </w:rPr>
        <w:t xml:space="preserve">nivela a variação</w:t>
      </w:r>
      <w:r>
        <w:rPr>
          <w:lang w:val="pt-BR"/>
        </w:rPr>
        <w:t xml:space="preserve"> </w:t>
      </w:r>
      <w:r>
        <w:rPr>
          <w:lang w:val="pt-BR"/>
        </w:rPr>
        <w:t xml:space="preserve">em propriedades corporais (dessexualização, rigidez, apagamento narrativo). O viés não é aleatório: metadados textuais tendem a classificar itens de mesma função institucional (cartaz de empréstimo de guerra) com scores similares, apagando as diferenças de estilo artístico que são precisamente o objeto da análise morfológica. A dupla codificação (metadados + imagem) é portanto indispensável, e os scores finais do corpus refletem, sempre que possível, a codificação por imagem.</w:t>
      </w:r>
    </w:p>
    <w:p>
      <w:r>
        <w:pict>
          <v:rect style="width:0;height:1.5pt" o:hralign="center" o:hrstd="t" o:hr="t"/>
        </w:pict>
      </w:r>
    </w:p>
    <w:bookmarkEnd w:id="90"/>
    <w:bookmarkEnd w:id="91"/>
    <w:bookmarkStart w:id="92" w:name="o-corpus-composição-e-fontes"/>
    <w:p>
      <w:pPr>
        <w:pStyle w:val="Heading3"/>
      </w:pPr>
      <w:r>
        <w:rPr>
          <w:rStyle w:val="SectionNumber"/>
          <w:lang w:val="pt-BR"/>
        </w:rPr>
        <w:t xml:space="preserve">5.1.7</w:t>
      </w:r>
      <w:r>
        <w:tab/>
      </w:r>
      <w:r>
        <w:rPr>
          <w:lang w:val="pt-BR"/>
        </w:rPr>
        <w:t xml:space="preserve">2.7 O corpus: composição e fontes</w:t>
      </w:r>
    </w:p>
    <w:p>
      <w:pPr>
        <w:pStyle w:val="FirstParagraph"/>
      </w:pPr>
      <w:r>
        <w:rPr>
          <w:lang w:val="pt-BR"/>
        </w:rPr>
        <w:t xml:space="preserve">O corpus é um catálogo documentado em expansão contínua até a defesa: o instantâneo de trabalho de 2026-09-21 registra 336 itens, dos quais 286 com codificação de purificação. O congelamento analítico anterior registrou 145 imagens oficiais e semi-oficiais coletadas em acervos digitais (Gallica, Europeana, Library of Congress, Brasiliana, entre outros), estratificadas por país, período e suporte material, todas integralmente codificadas (10 indicadores + regime + análise Panofsky), sendo 20 por inspeção visual direta (IIIF) e 125 por metadados refinados.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pt-BR"/>
              </w:rPr>
              <w:t xml:space="preserve">País</w:t>
            </w:r>
          </w:p>
        </w:tc>
        <w:tc>
          <w:tcPr/>
          <w:p>
            <w:pPr>
              <w:pStyle w:val="Compact"/>
            </w:pPr>
            <w:r>
              <w:rPr>
                <w:lang w:val="pt-BR"/>
              </w:rPr>
              <w:t xml:space="preserve">N</w:t>
            </w:r>
          </w:p>
        </w:tc>
        <w:tc>
          <w:tcPr/>
          <w:p>
            <w:pPr>
              <w:pStyle w:val="Compact"/>
            </w:pPr>
            <w:r>
              <w:rPr>
                <w:lang w:val="pt-BR"/>
              </w:rPr>
              <w:t xml:space="preserve">Fontes principais</w:t>
            </w:r>
          </w:p>
        </w:tc>
      </w:tr>
      <w:tr>
        <w:tc>
          <w:tcPr/>
          <w:p>
            <w:pPr>
              <w:pStyle w:val="Compact"/>
            </w:pPr>
            <w:r>
              <w:rPr>
                <w:lang w:val="pt-BR"/>
              </w:rPr>
              <w:t xml:space="preserve">França</w:t>
            </w:r>
          </w:p>
        </w:tc>
        <w:tc>
          <w:tcPr/>
          <w:p>
            <w:pPr>
              <w:pStyle w:val="Compact"/>
            </w:pPr>
            <w:r>
              <w:rPr>
                <w:lang w:val="pt-BR"/>
              </w:rPr>
              <w:t xml:space="preserve">102</w:t>
            </w:r>
          </w:p>
        </w:tc>
        <w:tc>
          <w:tcPr/>
          <w:p>
            <w:pPr>
              <w:pStyle w:val="Compact"/>
            </w:pPr>
            <w:r>
              <w:rPr>
                <w:lang w:val="pt-BR"/>
              </w:rPr>
              <w:t xml:space="preserve">Gallica (BnF), Europeana</w:t>
            </w:r>
          </w:p>
        </w:tc>
      </w:tr>
      <w:tr>
        <w:tc>
          <w:tcPr/>
          <w:p>
            <w:pPr>
              <w:pStyle w:val="Compact"/>
            </w:pPr>
            <w:r>
              <w:rPr>
                <w:lang w:val="pt-BR"/>
              </w:rPr>
              <w:t xml:space="preserve">Brasil</w:t>
            </w:r>
          </w:p>
        </w:tc>
        <w:tc>
          <w:tcPr/>
          <w:p>
            <w:pPr>
              <w:pStyle w:val="Compact"/>
            </w:pPr>
            <w:r>
              <w:rPr>
                <w:lang w:val="pt-BR"/>
              </w:rPr>
              <w:t xml:space="preserve">72</w:t>
            </w:r>
          </w:p>
        </w:tc>
        <w:tc>
          <w:tcPr/>
          <w:p>
            <w:pPr>
              <w:pStyle w:val="Compact"/>
            </w:pPr>
            <w:r>
              <w:rPr>
                <w:lang w:val="pt-BR"/>
              </w:rPr>
              <w:t xml:space="preserve">Brasiliana Fotográfica, Museu da República</w:t>
            </w:r>
          </w:p>
        </w:tc>
      </w:tr>
      <w:tr>
        <w:tc>
          <w:tcPr/>
          <w:p>
            <w:pPr>
              <w:pStyle w:val="Compact"/>
            </w:pPr>
            <w:r>
              <w:rPr>
                <w:lang w:val="pt-BR"/>
              </w:rPr>
              <w:t xml:space="preserve">Estados Unidos</w:t>
            </w:r>
          </w:p>
        </w:tc>
        <w:tc>
          <w:tcPr/>
          <w:p>
            <w:pPr>
              <w:pStyle w:val="Compact"/>
            </w:pPr>
            <w:r>
              <w:rPr>
                <w:lang w:val="pt-BR"/>
              </w:rPr>
              <w:t xml:space="preserve">32</w:t>
            </w:r>
          </w:p>
        </w:tc>
        <w:tc>
          <w:tcPr/>
          <w:p>
            <w:pPr>
              <w:pStyle w:val="Compact"/>
            </w:pPr>
            <w:r>
              <w:rPr>
                <w:lang w:val="pt-BR"/>
              </w:rPr>
              <w:t xml:space="preserve">Library of Congress, Smithsonian</w:t>
            </w:r>
          </w:p>
        </w:tc>
      </w:tr>
      <w:tr>
        <w:tc>
          <w:tcPr/>
          <w:p>
            <w:pPr>
              <w:pStyle w:val="Compact"/>
            </w:pPr>
            <w:r>
              <w:rPr>
                <w:lang w:val="pt-BR"/>
              </w:rPr>
              <w:t xml:space="preserve">Alemanha</w:t>
            </w:r>
          </w:p>
        </w:tc>
        <w:tc>
          <w:tcPr/>
          <w:p>
            <w:pPr>
              <w:pStyle w:val="Compact"/>
            </w:pPr>
            <w:r>
              <w:rPr>
                <w:lang w:val="pt-BR"/>
              </w:rPr>
              <w:t xml:space="preserve">27</w:t>
            </w:r>
          </w:p>
        </w:tc>
        <w:tc>
          <w:tcPr/>
          <w:p>
            <w:pPr>
              <w:pStyle w:val="Compact"/>
            </w:pPr>
            <w:r>
              <w:rPr>
                <w:lang w:val="pt-BR"/>
              </w:rPr>
              <w:t xml:space="preserve">Deutsche Digitale Bibliothek, Europeana</w:t>
            </w:r>
          </w:p>
        </w:tc>
      </w:tr>
      <w:tr>
        <w:tc>
          <w:tcPr/>
          <w:p>
            <w:pPr>
              <w:pStyle w:val="Compact"/>
            </w:pPr>
            <w:r>
              <w:rPr>
                <w:lang w:val="pt-BR"/>
              </w:rPr>
              <w:t xml:space="preserve">Reino Unido</w:t>
            </w:r>
          </w:p>
        </w:tc>
        <w:tc>
          <w:tcPr/>
          <w:p>
            <w:pPr>
              <w:pStyle w:val="Compact"/>
            </w:pPr>
            <w:r>
              <w:rPr>
                <w:lang w:val="pt-BR"/>
              </w:rPr>
              <w:t xml:space="preserve">23</w:t>
            </w:r>
          </w:p>
        </w:tc>
        <w:tc>
          <w:tcPr/>
          <w:p>
            <w:pPr>
              <w:pStyle w:val="Compact"/>
            </w:pPr>
            <w:r>
              <w:rPr>
                <w:lang w:val="pt-BR"/>
              </w:rPr>
              <w:t xml:space="preserve">British Museum, Imperial War Museum</w:t>
            </w:r>
          </w:p>
        </w:tc>
      </w:tr>
      <w:tr>
        <w:tc>
          <w:tcPr/>
          <w:p>
            <w:pPr>
              <w:pStyle w:val="Compact"/>
            </w:pPr>
            <w:r>
              <w:rPr>
                <w:lang w:val="pt-BR"/>
              </w:rPr>
              <w:t xml:space="preserve">Itália</w:t>
            </w:r>
          </w:p>
        </w:tc>
        <w:tc>
          <w:tcPr/>
          <w:p>
            <w:pPr>
              <w:pStyle w:val="Compact"/>
            </w:pPr>
            <w:r>
              <w:rPr>
                <w:lang w:val="pt-BR"/>
              </w:rPr>
              <w:t xml:space="preserve">20</w:t>
            </w:r>
          </w:p>
        </w:tc>
        <w:tc>
          <w:tcPr/>
          <w:p>
            <w:pPr>
              <w:pStyle w:val="Compact"/>
            </w:pPr>
            <w:r>
              <w:rPr>
                <w:lang w:val="pt-BR"/>
              </w:rPr>
              <w:t xml:space="preserve">Europeana, Numista</w:t>
            </w:r>
          </w:p>
        </w:tc>
      </w:tr>
      <w:tr>
        <w:tc>
          <w:tcPr/>
          <w:p>
            <w:pPr>
              <w:pStyle w:val="Compact"/>
            </w:pPr>
            <w:r>
              <w:rPr>
                <w:lang w:val="pt-BR"/>
              </w:rPr>
              <w:t xml:space="preserve">Bélgica</w:t>
            </w:r>
          </w:p>
        </w:tc>
        <w:tc>
          <w:tcPr/>
          <w:p>
            <w:pPr>
              <w:pStyle w:val="Compact"/>
            </w:pPr>
            <w:r>
              <w:rPr>
                <w:lang w:val="pt-BR"/>
              </w:rPr>
              <w:t xml:space="preserve">11</w:t>
            </w:r>
          </w:p>
        </w:tc>
        <w:tc>
          <w:tcPr/>
          <w:p>
            <w:pPr>
              <w:pStyle w:val="Compact"/>
            </w:pPr>
            <w:r>
              <w:rPr>
                <w:lang w:val="pt-BR"/>
              </w:rPr>
              <w:t xml:space="preserve">Europeana, KBR</w:t>
            </w:r>
          </w:p>
        </w:tc>
      </w:tr>
      <w:tr>
        <w:tc>
          <w:tcPr/>
          <w:p>
            <w:pPr>
              <w:pStyle w:val="Compact"/>
            </w:pPr>
            <w:r>
              <w:rPr>
                <w:lang w:val="pt-BR"/>
              </w:rPr>
              <w:t xml:space="preserve">Portugal</w:t>
            </w:r>
          </w:p>
        </w:tc>
        <w:tc>
          <w:tcPr/>
          <w:p>
            <w:pPr>
              <w:pStyle w:val="Compact"/>
            </w:pPr>
            <w:r>
              <w:rPr>
                <w:lang w:val="pt-BR"/>
              </w:rPr>
              <w:t xml:space="preserve">11</w:t>
            </w:r>
          </w:p>
        </w:tc>
        <w:tc>
          <w:tcPr/>
          <w:p>
            <w:pPr>
              <w:pStyle w:val="Compact"/>
            </w:pPr>
            <w:r>
              <w:rPr>
                <w:lang w:val="pt-BR"/>
              </w:rPr>
              <w:t xml:space="preserve">BND Portugal, Numista</w:t>
            </w:r>
          </w:p>
        </w:tc>
      </w:tr>
      <w:tr>
        <w:tc>
          <w:tcPr/>
          <w:p>
            <w:pPr>
              <w:pStyle w:val="Compact"/>
            </w:pPr>
            <w:r>
              <w:rPr>
                <w:lang w:val="pt-BR"/>
              </w:rPr>
              <w:t xml:space="preserve">Holanda</w:t>
            </w:r>
          </w:p>
        </w:tc>
        <w:tc>
          <w:tcPr/>
          <w:p>
            <w:pPr>
              <w:pStyle w:val="Compact"/>
            </w:pPr>
            <w:r>
              <w:rPr>
                <w:lang w:val="pt-BR"/>
              </w:rPr>
              <w:t xml:space="preserve">10</w:t>
            </w:r>
          </w:p>
        </w:tc>
        <w:tc>
          <w:tcPr/>
          <w:p>
            <w:pPr>
              <w:pStyle w:val="Compact"/>
            </w:pPr>
            <w:r>
              <w:rPr>
                <w:lang w:val="pt-BR"/>
              </w:rPr>
              <w:t xml:space="preserve">Europeana, Numista</w:t>
            </w:r>
          </w:p>
        </w:tc>
      </w:tr>
      <w:tr>
        <w:tc>
          <w:tcPr/>
          <w:p>
            <w:pPr>
              <w:pStyle w:val="Compact"/>
            </w:pPr>
            <w:r>
              <w:rPr>
                <w:lang w:val="pt-BR"/>
              </w:rPr>
              <w:t xml:space="preserve">Espanha</w:t>
            </w:r>
          </w:p>
        </w:tc>
        <w:tc>
          <w:tcPr/>
          <w:p>
            <w:pPr>
              <w:pStyle w:val="Compact"/>
            </w:pPr>
            <w:r>
              <w:rPr>
                <w:lang w:val="pt-BR"/>
              </w:rPr>
              <w:t xml:space="preserve">10</w:t>
            </w:r>
          </w:p>
        </w:tc>
        <w:tc>
          <w:tcPr/>
          <w:p>
            <w:pPr>
              <w:pStyle w:val="Compact"/>
            </w:pPr>
            <w:r>
              <w:rPr>
                <w:lang w:val="pt-BR"/>
              </w:rPr>
              <w:t xml:space="preserve">Numista, Europeana</w:t>
            </w:r>
          </w:p>
        </w:tc>
      </w:tr>
      <w:tr>
        <w:tc>
          <w:tcPr/>
          <w:p>
            <w:pPr>
              <w:pStyle w:val="Compact"/>
            </w:pPr>
            <w:r>
              <w:rPr>
                <w:lang w:val="pt-BR"/>
              </w:rPr>
              <w:t xml:space="preserve">Demais</w:t>
            </w:r>
          </w:p>
        </w:tc>
        <w:tc>
          <w:tcPr/>
          <w:p>
            <w:pPr>
              <w:pStyle w:val="Compact"/>
            </w:pPr>
            <w:r>
              <w:rPr>
                <w:lang w:val="pt-BR"/>
              </w:rPr>
              <w:t xml:space="preserve">18</w:t>
            </w:r>
          </w:p>
        </w:tc>
        <w:tc>
          <w:tcPr/>
          <w:p>
            <w:pPr>
              <w:pStyle w:val="Compact"/>
            </w:pPr>
            <w:r>
              <w:rPr>
                <w:lang w:val="pt-BR"/>
              </w:rPr>
              <w:t xml:space="preserve">Diversos</w:t>
            </w:r>
          </w:p>
        </w:tc>
      </w:tr>
    </w:tbl>
    <w:p>
      <w:pPr>
        <w:pStyle w:val="BodyText"/>
      </w:pPr>
      <w:r>
        <w:rPr>
          <w:lang w:val="pt-BR"/>
        </w:rPr>
        <w:t xml:space="preserve">A cobertura temporal estende-se de comparadores anteriores ao recorte (o mais antigo do século XIII) a itens do século XXI, com concentração no período 1860–1920; mais de três quartos dos 295 itens datados caem dentro do recorte 1800–2000. A distribuição por regime iconocrático no instantâneo de 2026-09-21 é: fundacional (164), normativo (103), militar (54) e contra-alegoria (15).</w:t>
      </w:r>
    </w:p>
    <w:p>
      <w:r>
        <w:pict>
          <v:rect style="width:0;height:1.5pt" o:hralign="center" o:hrstd="t" o:hr="t"/>
        </w:pict>
      </w:r>
    </w:p>
    <w:bookmarkEnd w:id="92"/>
    <w:bookmarkStart w:id="93" w:name="infraestrutura-digital-e-rastreabilidade"/>
    <w:p>
      <w:pPr>
        <w:pStyle w:val="Heading3"/>
      </w:pPr>
      <w:r>
        <w:rPr>
          <w:rStyle w:val="SectionNumber"/>
          <w:lang w:val="pt-BR"/>
        </w:rPr>
        <w:t xml:space="preserve">5.1.8</w:t>
      </w:r>
      <w:r>
        <w:tab/>
      </w:r>
      <w:r>
        <w:rPr>
          <w:lang w:val="pt-BR"/>
        </w:rPr>
        <w:t xml:space="preserve">2.8 Infraestrutura digital e rastreabilidade</w:t>
      </w:r>
    </w:p>
    <w:p>
      <w:pPr>
        <w:pStyle w:val="FirstParagraph"/>
      </w:pPr>
      <w:r>
        <w:rPr>
          <w:lang w:val="pt-BR"/>
        </w:rPr>
        <w:t xml:space="preserve">O corpus é mantido em regime de ciência aberta no repositório GitHub</w:t>
      </w:r>
      <w:r>
        <w:rPr>
          <w:lang w:val="pt-BR"/>
        </w:rPr>
        <w:t xml:space="preserve"> </w:t>
      </w:r>
      <w:r>
        <w:rPr>
          <w:rStyle w:val="VerbatimChar"/>
          <w:lang w:val="pt-BR"/>
        </w:rPr>
        <w:t xml:space="preserve">anavvanzin/iconocracy-corpus</w:t>
      </w:r>
      <w:r>
        <w:rPr>
          <w:lang w:val="pt-BR"/>
        </w:rPr>
        <w:t xml:space="preserve">, seguindo o princípio de rastreabilidade em três pontos: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pt-BR"/>
              </w:rPr>
              <w:t xml:space="preserve">Ponto</w:t>
            </w:r>
          </w:p>
        </w:tc>
        <w:tc>
          <w:tcPr/>
          <w:p>
            <w:pPr>
              <w:pStyle w:val="Compact"/>
            </w:pPr>
            <w:r>
              <w:rPr>
                <w:lang w:val="pt-BR"/>
              </w:rPr>
              <w:t xml:space="preserve">Localização</w:t>
            </w:r>
          </w:p>
        </w:tc>
        <w:tc>
          <w:tcPr/>
          <w:p>
            <w:pPr>
              <w:pStyle w:val="Compact"/>
            </w:pPr>
            <w:r>
              <w:rPr>
                <w:lang w:val="pt-BR"/>
              </w:rPr>
              <w:t xml:space="preserve">Formato</w:t>
            </w:r>
          </w:p>
        </w:tc>
      </w:tr>
      <w:tr>
        <w:tc>
          <w:tcPr/>
          <w:p>
            <w:pPr>
              <w:pStyle w:val="Compact"/>
            </w:pPr>
            <w:r>
              <w:rPr>
                <w:lang w:val="pt-BR"/>
              </w:rPr>
              <w:t xml:space="preserve">Imagem original</w:t>
            </w:r>
          </w:p>
        </w:tc>
        <w:tc>
          <w:tcPr/>
          <w:p>
            <w:pPr>
              <w:pStyle w:val="Compact"/>
            </w:pPr>
            <w:r>
              <w:rPr>
                <w:lang w:val="pt-BR"/>
              </w:rPr>
              <w:t xml:space="preserve">SSD externo + IIIF</w:t>
            </w:r>
          </w:p>
        </w:tc>
        <w:tc>
          <w:tcPr/>
          <w:p>
            <w:pPr>
              <w:pStyle w:val="Compact"/>
            </w:pPr>
            <w:r>
              <w:rPr>
                <w:lang w:val="pt-BR"/>
              </w:rPr>
              <w:t xml:space="preserve">JPEG/TIFF</w:t>
            </w:r>
          </w:p>
        </w:tc>
      </w:tr>
      <w:tr>
        <w:tc>
          <w:tcPr/>
          <w:p>
            <w:pPr>
              <w:pStyle w:val="Compact"/>
            </w:pPr>
            <w:r>
              <w:rPr>
                <w:lang w:val="pt-BR"/>
              </w:rPr>
              <w:t xml:space="preserve">Nota de pesquisa</w:t>
            </w:r>
          </w:p>
        </w:tc>
        <w:tc>
          <w:tcPr/>
          <w:p>
            <w:pPr>
              <w:pStyle w:val="Compact"/>
            </w:pPr>
            <w:r>
              <w:rPr>
                <w:rStyle w:val="VerbatimChar"/>
                <w:lang w:val="pt-BR"/>
              </w:rPr>
              <w:t xml:space="preserve">vault/candidatos/</w:t>
            </w:r>
          </w:p>
        </w:tc>
        <w:tc>
          <w:tcPr/>
          <w:p>
            <w:pPr>
              <w:pStyle w:val="Compact"/>
            </w:pPr>
            <w:r>
              <w:rPr>
                <w:lang w:val="pt-BR"/>
              </w:rPr>
              <w:t xml:space="preserve">Obsidian Markdown</w:t>
            </w:r>
          </w:p>
        </w:tc>
      </w:tr>
      <w:tr>
        <w:tc>
          <w:tcPr/>
          <w:p>
            <w:pPr>
              <w:pStyle w:val="Compact"/>
            </w:pPr>
            <w:r>
              <w:rPr>
                <w:lang w:val="pt-BR"/>
              </w:rPr>
              <w:t xml:space="preserve">Registro canônico</w:t>
            </w:r>
          </w:p>
        </w:tc>
        <w:tc>
          <w:tcPr/>
          <w:p>
            <w:pPr>
              <w:pStyle w:val="Compact"/>
            </w:pPr>
            <w:r>
              <w:rPr>
                <w:rStyle w:val="VerbatimChar"/>
                <w:lang w:val="pt-BR"/>
              </w:rPr>
              <w:t xml:space="preserve">corpus/corpus-data.json</w:t>
            </w:r>
          </w:p>
        </w:tc>
        <w:tc>
          <w:tcPr/>
          <w:p>
            <w:pPr>
              <w:pStyle w:val="Compact"/>
            </w:pPr>
            <w:r>
              <w:rPr>
                <w:lang w:val="pt-BR"/>
              </w:rPr>
              <w:t xml:space="preserve">JSON</w:t>
            </w:r>
          </w:p>
        </w:tc>
      </w:tr>
    </w:tbl>
    <w:p>
      <w:pPr>
        <w:pStyle w:val="BodyText"/>
      </w:pPr>
      <w:r>
        <w:rPr>
          <w:lang w:val="pt-BR"/>
        </w:rPr>
        <w:t xml:space="preserve">O pipeline de codificação opera em duas etapas: o agente</w:t>
      </w:r>
      <w:r>
        <w:rPr>
          <w:lang w:val="pt-BR"/>
        </w:rPr>
        <w:t xml:space="preserve"> </w:t>
      </w:r>
      <w:r>
        <w:rPr>
          <w:i/>
          <w:iCs/>
          <w:lang w:val="pt-BR"/>
        </w:rPr>
        <w:t xml:space="preserve">WebScout</w:t>
      </w:r>
      <w:r>
        <w:rPr>
          <w:lang w:val="pt-BR"/>
        </w:rPr>
        <w:t xml:space="preserve"> </w:t>
      </w:r>
      <w:r>
        <w:rPr>
          <w:lang w:val="pt-BR"/>
        </w:rPr>
        <w:t xml:space="preserve">pesquisa e cataloga candidatos em acervos digitais, gerando notas de pesquisa com metadados e URLs; o agente</w:t>
      </w:r>
      <w:r>
        <w:rPr>
          <w:lang w:val="pt-BR"/>
        </w:rPr>
        <w:t xml:space="preserve"> </w:t>
      </w:r>
      <w:r>
        <w:rPr>
          <w:i/>
          <w:iCs/>
          <w:lang w:val="pt-BR"/>
        </w:rPr>
        <w:t xml:space="preserve">IconoCode</w:t>
      </w:r>
      <w:r>
        <w:rPr>
          <w:lang w:val="pt-BR"/>
        </w:rPr>
        <w:t xml:space="preserve"> </w:t>
      </w:r>
      <w:r>
        <w:rPr>
          <w:lang w:val="pt-BR"/>
        </w:rPr>
        <w:t xml:space="preserve">aplica o protocolo de três níveis, pontua os 10 indicadores, classifica o regime e produz o registro JSON. Os dados processados são exportados para</w:t>
      </w:r>
      <w:r>
        <w:rPr>
          <w:lang w:val="pt-BR"/>
        </w:rPr>
        <w:t xml:space="preserve"> </w:t>
      </w:r>
      <w:r>
        <w:rPr>
          <w:rStyle w:val="VerbatimChar"/>
          <w:lang w:val="pt-BR"/>
        </w:rPr>
        <w:t xml:space="preserve">data/processed/corpus_dataset.csv</w:t>
      </w:r>
      <w:r>
        <w:rPr>
          <w:lang w:val="pt-BR"/>
        </w:rPr>
        <w:t xml:space="preserve">, que alimenta o notebook descritivo do corpus (Jupyter/Python); os notebooks exploratórios 02–08 estão congelados como artefatos de diagnóstico interno do instrumento (decisão registrada em 2026-09-22).</w:t>
      </w:r>
    </w:p>
    <w:p>
      <w:pPr>
        <w:pStyle w:val="BodyText"/>
      </w:pPr>
      <w:r>
        <w:rPr>
          <w:lang w:val="pt-BR"/>
        </w:rPr>
        <w:t xml:space="preserve">As referências bibliográficas seguem a norma ABNT NBR 6023:2025. A codificação ICONCLASS utiliza os códigos do sistema de Van de Waal, com atenção especial ao código 48C51 — taxonomia interna do projeto para a personificação feminina em contexto político-jurídico [VERIFICAR: oficialmente 48C51 =</w:t>
      </w:r>
      <w:r>
        <w:rPr>
          <w:lang w:val="pt-BR"/>
        </w:rPr>
        <w:t xml:space="preserve"> </w:t>
      </w:r>
      <w:r>
        <w:rPr>
          <w:lang w:val="pt-BR"/>
        </w:rPr>
        <w:t xml:space="preserve">‘painting’</w:t>
      </w:r>
      <w:r>
        <w:rPr>
          <w:lang w:val="pt-BR"/>
        </w:rPr>
        <w:t xml:space="preserve">].</w:t>
      </w:r>
    </w:p>
    <w:p>
      <w:r>
        <w:pict>
          <v:rect style="width:0;height:1.5pt" o:hralign="center" o:hrstd="t" o:hr="t"/>
        </w:pict>
      </w:r>
    </w:p>
    <w:p>
      <w:pPr>
        <w:pStyle w:val="FirstParagraph"/>
      </w:pPr>
      <w:r>
        <w:rPr>
          <w:i/>
          <w:iCs/>
          <w:lang w:val="pt-BR"/>
        </w:rPr>
        <w:t xml:space="preserve">O Capítulo 6 apresentará o panorama iconométrico do corpus.</w:t>
      </w:r>
    </w:p>
    <w:bookmarkEnd w:id="93"/>
    <w:bookmarkEnd w:id="94"/>
    <w:bookmarkEnd w:id="95"/>
    <w:bookmarkStart w:id="105" w:name="Xf8a9a5be9efffb20c48a039fb559e4f66e24fe6"/>
    <w:p>
      <w:pPr>
        <w:pStyle w:val="Heading1"/>
      </w:pPr>
      <w:r>
        <w:rPr>
          <w:rStyle w:val="SectionNumber"/>
          <w:lang w:val="pt-BR"/>
        </w:rPr>
        <w:t xml:space="preserve">6</w:t>
      </w:r>
      <w:r>
        <w:tab/>
      </w:r>
      <w:r>
        <w:rPr>
          <w:lang w:val="pt-BR"/>
        </w:rPr>
        <w:t xml:space="preserve">Capítulo 5 — O Corpus: Construção, Codificação e Infraestrutura</w:t>
      </w:r>
    </w:p>
    <w:bookmarkStart w:id="96" w:name="X4ad16ccbf525c4f6ad71d8e9fefb459ca364606"/>
    <w:p>
      <w:pPr>
        <w:pStyle w:val="Heading2"/>
      </w:pPr>
      <w:r>
        <w:rPr>
          <w:rStyle w:val="SectionNumber"/>
          <w:lang w:val="pt-BR"/>
        </w:rPr>
        <w:t xml:space="preserve">6.1</w:t>
      </w:r>
      <w:r>
        <w:tab/>
      </w:r>
      <w:r>
        <w:rPr>
          <w:lang w:val="pt-BR"/>
        </w:rPr>
        <w:t xml:space="preserve">5.1 — Amostragem estratificada: critérios de seleção e representação</w:t>
      </w:r>
    </w:p>
    <w:p>
      <w:pPr>
        <w:pStyle w:val="FirstParagraph"/>
      </w:pPr>
      <w:r>
        <w:rPr>
          <w:lang w:val="pt-BR"/>
        </w:rPr>
        <w:t xml:space="preserve">O corpus é construído em regime aberto e de expansão contínua: novas alegorias são incorporadas e codificadas ao longo da pesquisa, de modo que seu tamanho não constitui um valor fixo, mas um horizonte em crescimento até a defesa. Para fins de reprodutibilidade, a análise quantitativa desta tese (Capítulo 6) incide sobre uma amostra codificada e congelada num dado momento, estratificada por país, período e suporte material; sua composição é apresentada a seguir como instantâneo de trabalho — provisório e sujeito a ampliação —, não como número definitivo. As peças da amostra estão integralmente codificadas (dez indicadores + regime + análise Panofsky), parte por inspeção visual direta (IIIF), parte por metadados refinados.</w:t>
      </w:r>
    </w:p>
    <w:p>
      <w:pPr>
        <w:pStyle w:val="BodyText"/>
      </w:pPr>
      <w:r>
        <w:rPr>
          <w:lang w:val="pt-BR"/>
        </w:rPr>
        <w:t xml:space="preserve">A distribuição por país e acervo, no instantâneo analisado, concentra-se nos circuitos hegemônicos de produção da cultura jurídica ocidental — com predominância da França, seguida dos Estados Unidos e da Alemanha, e participação relevante do Brasil, Reino Unido, Itália, Bélgica, Portugal e Espanha, além de itens isolados de outros países (AR, AT, MX, NL, CH, UY):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pt-BR"/>
              </w:rPr>
              <w:t xml:space="preserve">País</w:t>
            </w:r>
          </w:p>
        </w:tc>
        <w:tc>
          <w:tcPr/>
          <w:p>
            <w:pPr>
              <w:pStyle w:val="Compact"/>
            </w:pPr>
            <w:r>
              <w:rPr>
                <w:lang w:val="pt-BR"/>
              </w:rPr>
              <w:t xml:space="preserve">Fontes principais</w:t>
            </w:r>
          </w:p>
        </w:tc>
      </w:tr>
      <w:tr>
        <w:tc>
          <w:tcPr/>
          <w:p>
            <w:pPr>
              <w:pStyle w:val="Compact"/>
            </w:pPr>
            <w:r>
              <w:rPr>
                <w:lang w:val="pt-BR"/>
              </w:rPr>
              <w:t xml:space="preserve">França</w:t>
            </w:r>
          </w:p>
        </w:tc>
        <w:tc>
          <w:tcPr/>
          <w:p>
            <w:pPr>
              <w:pStyle w:val="Compact"/>
            </w:pPr>
            <w:r>
              <w:rPr>
                <w:lang w:val="pt-BR"/>
              </w:rPr>
              <w:t xml:space="preserve">Gallica (BnF), Europeana</w:t>
            </w:r>
          </w:p>
        </w:tc>
      </w:tr>
      <w:tr>
        <w:tc>
          <w:tcPr/>
          <w:p>
            <w:pPr>
              <w:pStyle w:val="Compact"/>
            </w:pPr>
            <w:r>
              <w:rPr>
                <w:lang w:val="pt-BR"/>
              </w:rPr>
              <w:t xml:space="preserve">Estados Unidos</w:t>
            </w:r>
          </w:p>
        </w:tc>
        <w:tc>
          <w:tcPr/>
          <w:p>
            <w:pPr>
              <w:pStyle w:val="Compact"/>
            </w:pPr>
            <w:r>
              <w:rPr>
                <w:lang w:val="pt-BR"/>
              </w:rPr>
              <w:t xml:space="preserve">Library of Congress, Smithsonian</w:t>
            </w:r>
          </w:p>
        </w:tc>
      </w:tr>
      <w:tr>
        <w:tc>
          <w:tcPr/>
          <w:p>
            <w:pPr>
              <w:pStyle w:val="Compact"/>
            </w:pPr>
            <w:r>
              <w:rPr>
                <w:lang w:val="pt-BR"/>
              </w:rPr>
              <w:t xml:space="preserve">Alemanha</w:t>
            </w:r>
          </w:p>
        </w:tc>
        <w:tc>
          <w:tcPr/>
          <w:p>
            <w:pPr>
              <w:pStyle w:val="Compact"/>
            </w:pPr>
            <w:r>
              <w:rPr>
                <w:lang w:val="pt-BR"/>
              </w:rPr>
              <w:t xml:space="preserve">Deutsche Digitale Bibliothek, Europeana</w:t>
            </w:r>
          </w:p>
        </w:tc>
      </w:tr>
      <w:tr>
        <w:tc>
          <w:tcPr/>
          <w:p>
            <w:pPr>
              <w:pStyle w:val="Compact"/>
            </w:pPr>
            <w:r>
              <w:rPr>
                <w:lang w:val="pt-BR"/>
              </w:rPr>
              <w:t xml:space="preserve">Brasil</w:t>
            </w:r>
          </w:p>
        </w:tc>
        <w:tc>
          <w:tcPr/>
          <w:p>
            <w:pPr>
              <w:pStyle w:val="Compact"/>
            </w:pPr>
            <w:r>
              <w:rPr>
                <w:lang w:val="pt-BR"/>
              </w:rPr>
              <w:t xml:space="preserve">Brasiliana Fotográfica, Museu da República</w:t>
            </w:r>
          </w:p>
        </w:tc>
      </w:tr>
      <w:tr>
        <w:tc>
          <w:tcPr/>
          <w:p>
            <w:pPr>
              <w:pStyle w:val="Compact"/>
            </w:pPr>
            <w:r>
              <w:rPr>
                <w:lang w:val="pt-BR"/>
              </w:rPr>
              <w:t xml:space="preserve">Reino Unido</w:t>
            </w:r>
          </w:p>
        </w:tc>
        <w:tc>
          <w:tcPr/>
          <w:p>
            <w:pPr>
              <w:pStyle w:val="Compact"/>
            </w:pPr>
            <w:r>
              <w:rPr>
                <w:lang w:val="pt-BR"/>
              </w:rPr>
              <w:t xml:space="preserve">British Museum, Imperial War Museum</w:t>
            </w:r>
          </w:p>
        </w:tc>
      </w:tr>
      <w:tr>
        <w:tc>
          <w:tcPr/>
          <w:p>
            <w:pPr>
              <w:pStyle w:val="Compact"/>
            </w:pPr>
            <w:r>
              <w:rPr>
                <w:lang w:val="pt-BR"/>
              </w:rPr>
              <w:t xml:space="preserve">Itália</w:t>
            </w:r>
          </w:p>
        </w:tc>
        <w:tc>
          <w:tcPr/>
          <w:p>
            <w:pPr>
              <w:pStyle w:val="Compact"/>
            </w:pPr>
            <w:r>
              <w:rPr>
                <w:lang w:val="pt-BR"/>
              </w:rPr>
              <w:t xml:space="preserve">Europeana, Numista</w:t>
            </w:r>
          </w:p>
        </w:tc>
      </w:tr>
      <w:tr>
        <w:tc>
          <w:tcPr/>
          <w:p>
            <w:pPr>
              <w:pStyle w:val="Compact"/>
            </w:pPr>
            <w:r>
              <w:rPr>
                <w:lang w:val="pt-BR"/>
              </w:rPr>
              <w:t xml:space="preserve">Bélgica</w:t>
            </w:r>
          </w:p>
        </w:tc>
        <w:tc>
          <w:tcPr/>
          <w:p>
            <w:pPr>
              <w:pStyle w:val="Compact"/>
            </w:pPr>
            <w:r>
              <w:rPr>
                <w:lang w:val="pt-BR"/>
              </w:rPr>
              <w:t xml:space="preserve">Europeana, KBR</w:t>
            </w:r>
          </w:p>
        </w:tc>
      </w:tr>
      <w:tr>
        <w:tc>
          <w:tcPr/>
          <w:p>
            <w:pPr>
              <w:pStyle w:val="Compact"/>
            </w:pPr>
            <w:r>
              <w:rPr>
                <w:lang w:val="pt-BR"/>
              </w:rPr>
              <w:t xml:space="preserve">Portugal</w:t>
            </w:r>
          </w:p>
        </w:tc>
        <w:tc>
          <w:tcPr/>
          <w:p>
            <w:pPr>
              <w:pStyle w:val="Compact"/>
            </w:pPr>
            <w:r>
              <w:rPr>
                <w:lang w:val="pt-BR"/>
              </w:rPr>
              <w:t xml:space="preserve">BND Portugal, Numista</w:t>
            </w:r>
          </w:p>
        </w:tc>
      </w:tr>
      <w:tr>
        <w:tc>
          <w:tcPr/>
          <w:p>
            <w:pPr>
              <w:pStyle w:val="Compact"/>
            </w:pPr>
            <w:r>
              <w:rPr>
                <w:lang w:val="pt-BR"/>
              </w:rPr>
              <w:t xml:space="preserve">Espanha</w:t>
            </w:r>
          </w:p>
        </w:tc>
        <w:tc>
          <w:tcPr/>
          <w:p>
            <w:pPr>
              <w:pStyle w:val="Compact"/>
            </w:pPr>
            <w:r>
              <w:rPr>
                <w:lang w:val="pt-BR"/>
              </w:rPr>
              <w:t xml:space="preserve">Numista, Europeana</w:t>
            </w:r>
          </w:p>
        </w:tc>
      </w:tr>
      <w:tr>
        <w:tc>
          <w:tcPr/>
          <w:p>
            <w:pPr>
              <w:pStyle w:val="Compact"/>
            </w:pPr>
            <w:r>
              <w:rPr>
                <w:lang w:val="pt-BR"/>
              </w:rPr>
              <w:t xml:space="preserve">Outros (AR, AT, MX, NL, CH, UY)</w:t>
            </w:r>
          </w:p>
        </w:tc>
        <w:tc>
          <w:tcPr/>
          <w:p>
            <w:pPr>
              <w:pStyle w:val="Compact"/>
            </w:pPr>
            <w:r>
              <w:rPr>
                <w:lang w:val="pt-BR"/>
              </w:rPr>
              <w:t xml:space="preserve">Diversos</w:t>
            </w:r>
          </w:p>
        </w:tc>
      </w:tr>
    </w:tbl>
    <w:p>
      <w:pPr>
        <w:pStyle w:val="BodyText"/>
      </w:pPr>
      <w:r>
        <w:rPr>
          <w:lang w:val="pt-BR"/>
        </w:rPr>
        <w:t xml:space="preserve">A cobertura temporal estende-se de 1559 (FR-047,</w:t>
      </w:r>
      <w:r>
        <w:rPr>
          <w:lang w:val="pt-BR"/>
        </w:rPr>
        <w:t xml:space="preserve"> </w:t>
      </w:r>
      <w:r>
        <w:rPr>
          <w:i/>
          <w:iCs/>
          <w:lang w:val="pt-BR"/>
        </w:rPr>
        <w:t xml:space="preserve">Iustitia</w:t>
      </w:r>
      <w:r>
        <w:rPr>
          <w:lang w:val="pt-BR"/>
        </w:rPr>
        <w:t xml:space="preserve"> </w:t>
      </w:r>
      <w:r>
        <w:rPr>
          <w:lang w:val="pt-BR"/>
        </w:rPr>
        <w:t xml:space="preserve">de Bruegel, item arqueológico pré-moderno) a 2000, com concentração no período 1850–1920.</w:t>
      </w:r>
    </w:p>
    <w:bookmarkEnd w:id="96"/>
    <w:bookmarkStart w:id="102" w:name="X49ab3a16bffd05271651cb6e9d18d75610b882a"/>
    <w:p>
      <w:pPr>
        <w:pStyle w:val="Heading2"/>
      </w:pPr>
      <w:r>
        <w:rPr>
          <w:rStyle w:val="SectionNumber"/>
          <w:lang w:val="pt-BR"/>
        </w:rPr>
        <w:t xml:space="preserve">6.2</w:t>
      </w:r>
      <w:r>
        <w:tab/>
      </w:r>
      <w:r>
        <w:rPr>
          <w:lang w:val="pt-BR"/>
        </w:rPr>
        <w:t xml:space="preserve">5.2 — Purificação Clássica: o quarto conceito original e seus 10 indicadores ordinais</w:t>
      </w:r>
    </w:p>
    <w:bookmarkStart w:id="97" w:name="definição"/>
    <w:p>
      <w:pPr>
        <w:pStyle w:val="Heading3"/>
      </w:pPr>
      <w:r>
        <w:rPr>
          <w:rStyle w:val="SectionNumber"/>
          <w:lang w:val="pt-BR"/>
        </w:rPr>
        <w:t xml:space="preserve">6.2.1</w:t>
      </w:r>
      <w:r>
        <w:tab/>
      </w:r>
      <w:r>
        <w:rPr>
          <w:lang w:val="pt-BR"/>
        </w:rPr>
        <w:t xml:space="preserve">5.2.1 — Definição</w:t>
      </w:r>
    </w:p>
    <w:p>
      <w:pPr>
        <w:pStyle w:val="FirstParagraph"/>
      </w:pPr>
      <w:r>
        <w:rPr>
          <w:lang w:val="pt-BR"/>
        </w:rPr>
        <w:t xml:space="preserve">Designa-se por</w:t>
      </w:r>
      <w:r>
        <w:rPr>
          <w:lang w:val="pt-BR"/>
        </w:rPr>
        <w:t xml:space="preserve"> </w:t>
      </w:r>
      <w:r>
        <w:rPr>
          <w:b/>
          <w:bCs/>
          <w:lang w:val="pt-BR"/>
        </w:rPr>
        <w:t xml:space="preserve">Purificação Clássica</w:t>
      </w:r>
      <w:r>
        <w:rPr>
          <w:lang w:val="pt-BR"/>
        </w:rPr>
        <w:t xml:space="preserve"> </w:t>
      </w:r>
      <w:r>
        <w:rPr>
          <w:lang w:val="pt-BR"/>
        </w:rPr>
        <w:t xml:space="preserve">a operação formal pela qual o regime iconocrático extrai o feminino histórico — sua biografia, sua materialidade contingente, sua subjetividade — e o fixa numa superfície alegórica eterna, neoclássica e funcional à soberania. Essa operação não é metáfora, mas mecanismo mensurável: aparece na rigidez postural, no apagamento do gesto, na uniformização facial, no recobrimento heráldico que substitui o corpo singular por um repertório institucional. Trata-se do quarto conceito original desta tese, ao lado do Contrato Sexual Visual (Cap. 1), da Feminilidade de Estado (Cap. 2.2) e do Contrato Racial Visual (Cap. 3). Diferentemente desses três, que designam efeitos políticos, jurídicos e raciais do regime iconocrático, a Purificação Clássica designa o</w:t>
      </w:r>
      <w:r>
        <w:rPr>
          <w:lang w:val="pt-BR"/>
        </w:rPr>
        <w:t xml:space="preserve"> </w:t>
      </w:r>
      <w:r>
        <w:rPr>
          <w:b/>
          <w:bCs/>
          <w:lang w:val="pt-BR"/>
        </w:rPr>
        <w:t xml:space="preserve">mecanismo formal</w:t>
      </w:r>
      <w:r>
        <w:rPr>
          <w:lang w:val="pt-BR"/>
        </w:rPr>
        <w:t xml:space="preserve"> </w:t>
      </w:r>
      <w:r>
        <w:rPr>
          <w:lang w:val="pt-BR"/>
        </w:rPr>
        <w:t xml:space="preserve">que os produz e os torna acessíveis à mensuração empírica.</w:t>
      </w:r>
    </w:p>
    <w:bookmarkEnd w:id="97"/>
    <w:bookmarkStart w:id="98" w:name="matriz-primária-jurídica"/>
    <w:p>
      <w:pPr>
        <w:pStyle w:val="Heading3"/>
      </w:pPr>
      <w:r>
        <w:rPr>
          <w:rStyle w:val="SectionNumber"/>
          <w:lang w:val="pt-BR"/>
        </w:rPr>
        <w:t xml:space="preserve">6.2.2</w:t>
      </w:r>
      <w:r>
        <w:tab/>
      </w:r>
      <w:r>
        <w:rPr>
          <w:lang w:val="pt-BR"/>
        </w:rPr>
        <w:t xml:space="preserve">5.2.2 — Matriz primária jurídica</w:t>
      </w:r>
    </w:p>
    <w:p>
      <w:pPr>
        <w:pStyle w:val="FirstParagraph"/>
      </w:pPr>
      <w:r>
        <w:rPr>
          <w:lang w:val="pt-BR"/>
        </w:rPr>
        <w:t xml:space="preserve">A genealogia primária da Purificação Clássica é interna à história do direito ocidental. Ernst Kantorowicz, em</w:t>
      </w:r>
      <w:r>
        <w:rPr>
          <w:lang w:val="pt-BR"/>
        </w:rPr>
        <w:t xml:space="preserve"> </w:t>
      </w:r>
      <w:r>
        <w:rPr>
          <w:i/>
          <w:iCs/>
          <w:lang w:val="pt-BR"/>
        </w:rPr>
        <w:t xml:space="preserve">Os Dois Corpos do Rei</w:t>
      </w:r>
      <w:r>
        <w:rPr>
          <w:lang w:val="pt-BR"/>
        </w:rPr>
        <w:t xml:space="preserve"> </w:t>
      </w:r>
      <w:r>
        <w:rPr>
          <w:lang w:val="pt-BR"/>
        </w:rPr>
        <w:t xml:space="preserve">(1957), descreve a operação fundamental pela qual a teologia política medieval separa o corpo natural do soberano (mortal, contingente, histórico) do corpo político (perpétuo, abstrato, institucional). Essa cisão é o ato inaugural da purificação jurídica: o corpo concreto é deixado para trás como suporte transitório, enquanto o corpo simbólico é elevado à perenidade institucional. Pierre Legendre (1994) prolonga essa operação quando descreve a antropologia dogmática do Ocidente como uma maquinaria que produz</w:t>
      </w:r>
      <w:r>
        <w:rPr>
          <w:lang w:val="pt-BR"/>
        </w:rPr>
        <w:t xml:space="preserve"> </w:t>
      </w:r>
      <w:r>
        <w:rPr>
          <w:lang w:val="pt-BR"/>
        </w:rPr>
        <w:t xml:space="preserve">“corpos sem palavras”</w:t>
      </w:r>
      <w:r>
        <w:rPr>
          <w:lang w:val="pt-BR"/>
        </w:rPr>
        <w:t xml:space="preserve"> </w:t>
      </w:r>
      <w:r>
        <w:rPr>
          <w:lang w:val="pt-BR"/>
        </w:rPr>
        <w:t xml:space="preserve">inscritos numa dogmática do espelho — corpos cuja função é refletir a Lei, não falar por si. António Manuel Hespanha, em</w:t>
      </w:r>
      <w:r>
        <w:rPr>
          <w:lang w:val="pt-BR"/>
        </w:rPr>
        <w:t xml:space="preserve"> </w:t>
      </w:r>
      <w:r>
        <w:rPr>
          <w:i/>
          <w:iCs/>
          <w:lang w:val="pt-BR"/>
        </w:rPr>
        <w:t xml:space="preserve">Cultura Jurídica Europeia: síntese de um milénio</w:t>
      </w:r>
      <w:r>
        <w:rPr>
          <w:lang w:val="pt-BR"/>
        </w:rPr>
        <w:t xml:space="preserve"> </w:t>
      </w:r>
      <w:r>
        <w:rPr>
          <w:lang w:val="pt-BR"/>
        </w:rPr>
        <w:t xml:space="preserve">(2005), demonstra como categorias morais e estamentais estabilizam classificações do humano que precedem e enquadram qualquer figuração visual. Os três autores convergem na descrição de um gesto especificamente jurídico: a transformação do humano histórico em forma institucional perdurável. A alegoria feminina estatal é a aplicação iconográfica desse gesto sobre o corpo da mulher.</w:t>
      </w:r>
    </w:p>
    <w:bookmarkEnd w:id="98"/>
    <w:bookmarkStart w:id="99" w:name="extensão-ferramental"/>
    <w:p>
      <w:pPr>
        <w:pStyle w:val="Heading3"/>
      </w:pPr>
      <w:r>
        <w:rPr>
          <w:rStyle w:val="SectionNumber"/>
          <w:lang w:val="pt-BR"/>
        </w:rPr>
        <w:t xml:space="preserve">6.2.3</w:t>
      </w:r>
      <w:r>
        <w:tab/>
      </w:r>
      <w:r>
        <w:rPr>
          <w:lang w:val="pt-BR"/>
        </w:rPr>
        <w:t xml:space="preserve">5.2.3 — Extensão ferramental</w:t>
      </w:r>
    </w:p>
    <w:p>
      <w:pPr>
        <w:pStyle w:val="FirstParagraph"/>
      </w:pPr>
      <w:r>
        <w:rPr>
          <w:lang w:val="pt-BR"/>
        </w:rPr>
        <w:t xml:space="preserve">Para operacionalizar empiricamente a Purificação Clássica sobre as 145 peças da fase analítica anterior do corpus (fase congelada que a análise estatística inicial reportou; o ledger operacional encontra-se em expansão: 336 itens em 2026-09-21), mobilizam-se três aparatos conceituais externos à dogmática jurídica, tomados como ferramentas analíticas pontuais. Bruno Latour, em</w:t>
      </w:r>
      <w:r>
        <w:rPr>
          <w:lang w:val="pt-BR"/>
        </w:rPr>
        <w:t xml:space="preserve"> </w:t>
      </w:r>
      <w:r>
        <w:rPr>
          <w:i/>
          <w:iCs/>
          <w:lang w:val="pt-BR"/>
        </w:rPr>
        <w:t xml:space="preserve">Jamais fomos modernos</w:t>
      </w:r>
      <w:r>
        <w:rPr>
          <w:lang w:val="pt-BR"/>
        </w:rPr>
        <w:t xml:space="preserve"> </w:t>
      </w:r>
      <w:r>
        <w:rPr>
          <w:lang w:val="pt-BR"/>
        </w:rPr>
        <w:t xml:space="preserve">(1991), descreve a</w:t>
      </w:r>
      <w:r>
        <w:rPr>
          <w:lang w:val="pt-BR"/>
        </w:rPr>
        <w:t xml:space="preserve"> </w:t>
      </w:r>
      <w:r>
        <w:rPr>
          <w:lang w:val="pt-BR"/>
        </w:rPr>
        <w:t xml:space="preserve">“purificação”</w:t>
      </w:r>
      <w:r>
        <w:rPr>
          <w:lang w:val="pt-BR"/>
        </w:rPr>
        <w:t xml:space="preserve"> </w:t>
      </w:r>
      <w:r>
        <w:rPr>
          <w:lang w:val="pt-BR"/>
        </w:rPr>
        <w:t xml:space="preserve">como o gesto moderno por excelência: a separação ontológica entre humanos e não-humanos, entre natureza e cultura, que permite à modernidade gerir o mundo como conjunto de domínios estanques. Donna Haraway, no</w:t>
      </w:r>
      <w:r>
        <w:rPr>
          <w:lang w:val="pt-BR"/>
        </w:rPr>
        <w:t xml:space="preserve"> </w:t>
      </w:r>
      <w:r>
        <w:rPr>
          <w:i/>
          <w:iCs/>
          <w:lang w:val="pt-BR"/>
        </w:rPr>
        <w:t xml:space="preserve">Manifesto Ciborgue</w:t>
      </w:r>
      <w:r>
        <w:rPr>
          <w:lang w:val="pt-BR"/>
        </w:rPr>
        <w:t xml:space="preserve"> </w:t>
      </w:r>
      <w:r>
        <w:rPr>
          <w:lang w:val="pt-BR"/>
        </w:rPr>
        <w:t xml:space="preserve">(1985), oferece o reverso crítico desse gesto: o ciborgue como figura híbrida que recusa a partição purificadora. Aqui se localiza o paralelo analítico decisivo desta tese — a alegoria feminina jurídica é, estruturalmente, o</w:t>
      </w:r>
      <w:r>
        <w:rPr>
          <w:lang w:val="pt-BR"/>
        </w:rPr>
        <w:t xml:space="preserve"> </w:t>
      </w:r>
      <w:r>
        <w:rPr>
          <w:b/>
          <w:bCs/>
          <w:lang w:val="pt-BR"/>
        </w:rPr>
        <w:t xml:space="preserve">inverso do ciborgue</w:t>
      </w:r>
      <w:r>
        <w:rPr>
          <w:lang w:val="pt-BR"/>
        </w:rPr>
        <w:t xml:space="preserve">: onde o ciborgue celebra a fronteira porosa entre orgânico e inorgânico, a Justitia neoclássica fixa o corpo feminino como superfície purificada e fechada. Philippe Descola, em</w:t>
      </w:r>
      <w:r>
        <w:rPr>
          <w:lang w:val="pt-BR"/>
        </w:rPr>
        <w:t xml:space="preserve"> </w:t>
      </w:r>
      <w:r>
        <w:rPr>
          <w:i/>
          <w:iCs/>
          <w:lang w:val="pt-BR"/>
        </w:rPr>
        <w:t xml:space="preserve">As Formas do Visível</w:t>
      </w:r>
      <w:r>
        <w:rPr>
          <w:lang w:val="pt-BR"/>
        </w:rPr>
        <w:t xml:space="preserve"> </w:t>
      </w:r>
      <w:r>
        <w:rPr>
          <w:lang w:val="pt-BR"/>
        </w:rPr>
        <w:t xml:space="preserve">(2023 [2021]), completa o triângulo ao descrever como a ontologia naturalista do Ocidente moderno produz figuras de</w:t>
      </w:r>
      <w:r>
        <w:rPr>
          <w:lang w:val="pt-BR"/>
        </w:rPr>
        <w:t xml:space="preserve"> </w:t>
      </w:r>
      <w:r>
        <w:rPr>
          <w:lang w:val="pt-BR"/>
        </w:rPr>
        <w:t xml:space="preserve">“presença sem agência”</w:t>
      </w:r>
      <w:r>
        <w:rPr>
          <w:lang w:val="pt-BR"/>
        </w:rPr>
        <w:t xml:space="preserve"> </w:t>
      </w:r>
      <w:r>
        <w:rPr>
          <w:lang w:val="pt-BR"/>
        </w:rPr>
        <w:t xml:space="preserve">— corpos visíveis dos quais a interioridade é deliberadamente subtraída. Esses três aparatos não fundam o conceito de Purificação Clássica; eles fornecem o vocabulário técnico que permite mensurá-lo.</w:t>
      </w:r>
    </w:p>
    <w:bookmarkEnd w:id="99"/>
    <w:bookmarkStart w:id="100" w:name="X379dba3df705dff93f0acf2d639757f31d71680"/>
    <w:p>
      <w:pPr>
        <w:pStyle w:val="Heading3"/>
      </w:pPr>
      <w:r>
        <w:rPr>
          <w:rStyle w:val="SectionNumber"/>
          <w:lang w:val="pt-BR"/>
        </w:rPr>
        <w:t xml:space="preserve">6.2.4</w:t>
      </w:r>
      <w:r>
        <w:tab/>
      </w:r>
      <w:r>
        <w:rPr>
          <w:lang w:val="pt-BR"/>
        </w:rPr>
        <w:t xml:space="preserve">5.2.4 — Operacionalização: os 10 indicadores ordinais</w:t>
      </w:r>
    </w:p>
    <w:p>
      <w:pPr>
        <w:pStyle w:val="FirstParagraph"/>
      </w:pPr>
      <w:r>
        <w:rPr>
          <w:lang w:val="pt-BR"/>
        </w:rPr>
        <w:t xml:space="preserve">A Purificação Clássica é mensurada empiricamente, em cada peça do corpus, por meio de dez indicadores ordinais aplicados em escala de 0 a 3, conforme protocolo IconoCode documentado no codebook (ver [[codebook|Codebook — 10 indicadores]]). Os indicadores são:</w:t>
      </w:r>
      <w:r>
        <w:rPr>
          <w:lang w:val="pt-BR"/>
        </w:rPr>
        <w:t xml:space="preserve"> </w:t>
      </w:r>
      <w:r>
        <w:rPr>
          <w:b/>
          <w:bCs/>
          <w:lang w:val="pt-BR"/>
        </w:rPr>
        <w:t xml:space="preserve">desincorporação</w:t>
      </w:r>
      <w:r>
        <w:rPr>
          <w:lang w:val="pt-BR"/>
        </w:rPr>
        <w:t xml:space="preserve"> </w:t>
      </w:r>
      <w:r>
        <w:rPr>
          <w:lang w:val="pt-BR"/>
        </w:rPr>
        <w:t xml:space="preserve">(grau de subtração da carne em favor do drapeado abstrato),</w:t>
      </w:r>
      <w:r>
        <w:rPr>
          <w:lang w:val="pt-BR"/>
        </w:rPr>
        <w:t xml:space="preserve"> </w:t>
      </w:r>
      <w:r>
        <w:rPr>
          <w:b/>
          <w:bCs/>
          <w:lang w:val="pt-BR"/>
        </w:rPr>
        <w:t xml:space="preserve">rigidez postural</w:t>
      </w:r>
      <w:r>
        <w:rPr>
          <w:lang w:val="pt-BR"/>
        </w:rPr>
        <w:t xml:space="preserve"> </w:t>
      </w:r>
      <w:r>
        <w:rPr>
          <w:lang w:val="pt-BR"/>
        </w:rPr>
        <w:t xml:space="preserve">(imobilidade frontal versus dinamismo gestual),</w:t>
      </w:r>
      <w:r>
        <w:rPr>
          <w:lang w:val="pt-BR"/>
        </w:rPr>
        <w:t xml:space="preserve"> </w:t>
      </w:r>
      <w:r>
        <w:rPr>
          <w:b/>
          <w:bCs/>
          <w:lang w:val="pt-BR"/>
        </w:rPr>
        <w:t xml:space="preserve">dessexualização</w:t>
      </w:r>
      <w:r>
        <w:rPr>
          <w:lang w:val="pt-BR"/>
        </w:rPr>
        <w:t xml:space="preserve"> </w:t>
      </w:r>
      <w:r>
        <w:rPr>
          <w:lang w:val="pt-BR"/>
        </w:rPr>
        <w:t xml:space="preserve">(recobrimento ou neutralização dos marcadores sexuais),</w:t>
      </w:r>
      <w:r>
        <w:rPr>
          <w:lang w:val="pt-BR"/>
        </w:rPr>
        <w:t xml:space="preserve"> </w:t>
      </w:r>
      <w:r>
        <w:rPr>
          <w:b/>
          <w:bCs/>
          <w:lang w:val="pt-BR"/>
        </w:rPr>
        <w:t xml:space="preserve">uniformização facial</w:t>
      </w:r>
      <w:r>
        <w:rPr>
          <w:lang w:val="pt-BR"/>
        </w:rPr>
        <w:t xml:space="preserve"> </w:t>
      </w:r>
      <w:r>
        <w:rPr>
          <w:lang w:val="pt-BR"/>
        </w:rPr>
        <w:t xml:space="preserve">(substituição do rosto singular por máscara genérica neoclássica),</w:t>
      </w:r>
      <w:r>
        <w:rPr>
          <w:lang w:val="pt-BR"/>
        </w:rPr>
        <w:t xml:space="preserve"> </w:t>
      </w:r>
      <w:r>
        <w:rPr>
          <w:b/>
          <w:bCs/>
          <w:lang w:val="pt-BR"/>
        </w:rPr>
        <w:t xml:space="preserve">heraldicização</w:t>
      </w:r>
      <w:r>
        <w:rPr>
          <w:lang w:val="pt-BR"/>
        </w:rPr>
        <w:t xml:space="preserve"> </w:t>
      </w:r>
      <w:r>
        <w:rPr>
          <w:lang w:val="pt-BR"/>
        </w:rPr>
        <w:t xml:space="preserve">(incorporação de insígnias estatais que recobrem o corpo),</w:t>
      </w:r>
      <w:r>
        <w:rPr>
          <w:lang w:val="pt-BR"/>
        </w:rPr>
        <w:t xml:space="preserve"> </w:t>
      </w:r>
      <w:r>
        <w:rPr>
          <w:b/>
          <w:bCs/>
          <w:lang w:val="pt-BR"/>
        </w:rPr>
        <w:t xml:space="preserve">enquadramento arquitetônico</w:t>
      </w:r>
      <w:r>
        <w:rPr>
          <w:lang w:val="pt-BR"/>
        </w:rPr>
        <w:t xml:space="preserve"> </w:t>
      </w:r>
      <w:r>
        <w:rPr>
          <w:lang w:val="pt-BR"/>
        </w:rPr>
        <w:t xml:space="preserve">(fixação numa moldura institucional fixa),</w:t>
      </w:r>
      <w:r>
        <w:rPr>
          <w:lang w:val="pt-BR"/>
        </w:rPr>
        <w:t xml:space="preserve"> </w:t>
      </w:r>
      <w:r>
        <w:rPr>
          <w:b/>
          <w:bCs/>
          <w:lang w:val="pt-BR"/>
        </w:rPr>
        <w:t xml:space="preserve">apagamento narrativo</w:t>
      </w:r>
      <w:r>
        <w:rPr>
          <w:lang w:val="pt-BR"/>
        </w:rPr>
        <w:t xml:space="preserve"> </w:t>
      </w:r>
      <w:r>
        <w:rPr>
          <w:lang w:val="pt-BR"/>
        </w:rPr>
        <w:t xml:space="preserve">(supressão de cena, contexto, ação),</w:t>
      </w:r>
      <w:r>
        <w:rPr>
          <w:lang w:val="pt-BR"/>
        </w:rPr>
        <w:t xml:space="preserve"> </w:t>
      </w:r>
      <w:r>
        <w:rPr>
          <w:b/>
          <w:bCs/>
          <w:lang w:val="pt-BR"/>
        </w:rPr>
        <w:t xml:space="preserve">monocromatização</w:t>
      </w:r>
      <w:r>
        <w:rPr>
          <w:lang w:val="pt-BR"/>
        </w:rPr>
        <w:t xml:space="preserve"> </w:t>
      </w:r>
      <w:r>
        <w:rPr>
          <w:lang w:val="pt-BR"/>
        </w:rPr>
        <w:t xml:space="preserve">(redução da paleta cromática a brancos, bronzes e mármores),</w:t>
      </w:r>
      <w:r>
        <w:rPr>
          <w:lang w:val="pt-BR"/>
        </w:rPr>
        <w:t xml:space="preserve"> </w:t>
      </w:r>
      <w:r>
        <w:rPr>
          <w:b/>
          <w:bCs/>
          <w:lang w:val="pt-BR"/>
        </w:rPr>
        <w:t xml:space="preserve">serialidade</w:t>
      </w:r>
      <w:r>
        <w:rPr>
          <w:lang w:val="pt-BR"/>
        </w:rPr>
        <w:t xml:space="preserve"> </w:t>
      </w:r>
      <w:r>
        <w:rPr>
          <w:lang w:val="pt-BR"/>
        </w:rPr>
        <w:t xml:space="preserve">(replicação industrial do mesmo modelo em moedas, selos, monumentos) e</w:t>
      </w:r>
      <w:r>
        <w:rPr>
          <w:lang w:val="pt-BR"/>
        </w:rPr>
        <w:t xml:space="preserve"> </w:t>
      </w:r>
      <w:r>
        <w:rPr>
          <w:b/>
          <w:bCs/>
          <w:lang w:val="pt-BR"/>
        </w:rPr>
        <w:t xml:space="preserve">inscrição estatal</w:t>
      </w:r>
      <w:r>
        <w:rPr>
          <w:lang w:val="pt-BR"/>
        </w:rPr>
        <w:t xml:space="preserve"> </w:t>
      </w:r>
      <w:r>
        <w:rPr>
          <w:lang w:val="pt-BR"/>
        </w:rPr>
        <w:t xml:space="preserve">(presença de letra, sigla ou divisa que ancora a figura à soberania). A</w:t>
      </w:r>
      <w:r>
        <w:rPr>
          <w:lang w:val="pt-BR"/>
        </w:rPr>
        <w:t xml:space="preserve"> </w:t>
      </w:r>
      <w:r>
        <w:rPr>
          <w:b/>
          <w:bCs/>
          <w:lang w:val="pt-BR"/>
        </w:rPr>
        <w:t xml:space="preserve">média</w:t>
      </w:r>
      <w:r>
        <w:rPr>
          <w:lang w:val="pt-BR"/>
        </w:rPr>
        <w:t xml:space="preserve"> </w:t>
      </w:r>
      <w:r>
        <w:rPr>
          <w:lang w:val="pt-BR"/>
        </w:rPr>
        <w:t xml:space="preserve">desses dez indicadores, por peça, fornece o escore de endurecimento (faixa 0,0–3,0; ver §2.3 do capítulo de método para a definição canônica) — termo operacional que designa, na prática estatística desta tese, o resultado mensurável da operação que a Purificação Clássica nomeia conceitualmente. [Correção 2026-09-22: a definição anterior dizia</w:t>
      </w:r>
      <w:r>
        <w:rPr>
          <w:lang w:val="pt-BR"/>
        </w:rPr>
        <w:t xml:space="preserve"> </w:t>
      </w:r>
      <w:r>
        <w:rPr>
          <w:lang w:val="pt-BR"/>
        </w:rPr>
        <w:t xml:space="preserve">“soma”</w:t>
      </w:r>
      <w:r>
        <w:rPr>
          <w:lang w:val="pt-BR"/>
        </w:rPr>
        <w:t xml:space="preserve">, em contradição com a média 0–3 usada no capítulo de método e no codebook.]</w:t>
      </w:r>
    </w:p>
    <w:bookmarkEnd w:id="100"/>
    <w:bookmarkStart w:id="101" w:name="X0414be2f74326309b11caafbadd6b8607e69c03"/>
    <w:p>
      <w:pPr>
        <w:pStyle w:val="Heading3"/>
      </w:pPr>
      <w:r>
        <w:rPr>
          <w:rStyle w:val="SectionNumber"/>
          <w:lang w:val="pt-BR"/>
        </w:rPr>
        <w:t xml:space="preserve">6.2.5</w:t>
      </w:r>
      <w:r>
        <w:tab/>
      </w:r>
      <w:r>
        <w:rPr>
          <w:lang w:val="pt-BR"/>
        </w:rPr>
        <w:t xml:space="preserve">5.2.5 — Articulação com os outros três conceitos originais</w:t>
      </w:r>
    </w:p>
    <w:p>
      <w:pPr>
        <w:pStyle w:val="FirstParagraph"/>
      </w:pPr>
      <w:r>
        <w:rPr>
          <w:lang w:val="pt-BR"/>
        </w:rPr>
        <w:t xml:space="preserve">A Purificação Clássica não substitui os outros três originais; articula-os. O Contrato Sexual Visual descreve a economia política do regime: o feminino é convocado como imagem para que as mulheres reais permaneçam excluídas. A Feminilidade de Estado descreve o efeito subjetivo dessa economia sobre o corpo alegórico: ele se torna recipiente vazio apto a transportar afeto público. O Contrato Racial Visual descreve a distribuição racial desigual da operação: a alegoria</w:t>
      </w:r>
      <w:r>
        <w:rPr>
          <w:lang w:val="pt-BR"/>
        </w:rPr>
        <w:t xml:space="preserve"> </w:t>
      </w:r>
      <w:r>
        <w:rPr>
          <w:lang w:val="pt-BR"/>
        </w:rPr>
        <w:t xml:space="preserve">“universal”</w:t>
      </w:r>
      <w:r>
        <w:rPr>
          <w:lang w:val="pt-BR"/>
        </w:rPr>
        <w:t xml:space="preserve"> </w:t>
      </w:r>
      <w:r>
        <w:rPr>
          <w:lang w:val="pt-BR"/>
        </w:rPr>
        <w:t xml:space="preserve">é constitutivamente branca, e sua transferência transatlântica instala um padrão racializado nos repertórios pós-coloniais. A Purificação Clássica é o mecanismo formal que torna os três efeitos possíveis e os torna acessíveis à comparação iconométrica. Sem ela, os três outros conceitos permaneceriam descrições políticas sem ancoragem mensurável; com ela, ganham corpo empírico no índice ordinal.</w:t>
      </w:r>
    </w:p>
    <w:p>
      <w:pPr>
        <w:pStyle w:val="BlockText"/>
      </w:pPr>
      <w:r>
        <w:rPr>
          <w:b/>
          <w:bCs/>
          <w:lang w:val="pt-BR"/>
        </w:rPr>
        <w:t xml:space="preserve">Nota sobre o recorte:</w:t>
      </w:r>
      <w:r>
        <w:rPr>
          <w:lang w:val="pt-BR"/>
        </w:rPr>
        <w:t xml:space="preserve"> </w:t>
      </w:r>
      <w:r>
        <w:rPr>
          <w:lang w:val="pt-BR"/>
        </w:rPr>
        <w:t xml:space="preserve">A Purificação Clássica, tal como aqui formulada, não engaja a tradição decolonial latino-americana (Lugones, Curiel, Segato) como filiação programática; tais autoras serão mobilizadas pontualmente no Cap. 3 para a discussão do Contrato Racial Visual. Tampouco se filia aos desdobramentos pós-2000 das teorias tecnopolíticas do corpo: aqui, a questão não é a mediação digital da subjetividade, mas a purificação clássica do corpo feminino pelo repertório visual do Estado. Os operadores Haraway/Latour/Descola entram, neste capítulo, como ferramentas analíticas para a mensuração da operação jurídica de purificação descrita por Kantorowicz, Legendre e Hespanha — não como adesão ao projeto político-tecnológico ciberfeminista. Essa discussão é reservada a desdobramentos pós-defesa.</w:t>
      </w:r>
    </w:p>
    <w:bookmarkEnd w:id="101"/>
    <w:bookmarkEnd w:id="102"/>
    <w:bookmarkStart w:id="103" w:name="Xb010fdb689e473922056e5905ee393bbae53312"/>
    <w:p>
      <w:pPr>
        <w:pStyle w:val="Heading2"/>
      </w:pPr>
      <w:r>
        <w:rPr>
          <w:rStyle w:val="SectionNumber"/>
          <w:lang w:val="pt-BR"/>
        </w:rPr>
        <w:t xml:space="preserve">6.3</w:t>
      </w:r>
      <w:r>
        <w:tab/>
      </w:r>
      <w:r>
        <w:rPr>
          <w:lang w:val="pt-BR"/>
        </w:rPr>
        <w:t xml:space="preserve">5.3 — Sistema de codificação IconoCode e integração ICONCLASS</w:t>
      </w:r>
    </w:p>
    <w:bookmarkEnd w:id="103"/>
    <w:bookmarkStart w:id="104" w:name="X039fbaf7f11a02dba737e9445ac21469bd6a869"/>
    <w:p>
      <w:pPr>
        <w:pStyle w:val="Heading2"/>
      </w:pPr>
      <w:r>
        <w:rPr>
          <w:rStyle w:val="SectionNumber"/>
          <w:lang w:val="pt-BR"/>
        </w:rPr>
        <w:t xml:space="preserve">6.4</w:t>
      </w:r>
      <w:r>
        <w:tab/>
      </w:r>
      <w:r>
        <w:rPr>
          <w:lang w:val="pt-BR"/>
        </w:rPr>
        <w:t xml:space="preserve">5.4 — Infraestrutura digital: GitHub, Drive, Obsidian</w:t>
      </w:r>
    </w:p>
    <w:p>
      <w:pPr>
        <w:pStyle w:val="FirstParagraph"/>
      </w:pPr>
      <w:r>
        <w:rPr>
          <w:lang w:val="pt-BR"/>
        </w:rPr>
        <w:t xml:space="preserve">O corpus é mantido em regime de ciência aberta no repositório GitHub</w:t>
      </w:r>
      <w:r>
        <w:rPr>
          <w:lang w:val="pt-BR"/>
        </w:rPr>
        <w:t xml:space="preserve"> </w:t>
      </w:r>
      <w:r>
        <w:rPr>
          <w:rStyle w:val="VerbatimChar"/>
          <w:lang w:val="pt-BR"/>
        </w:rPr>
        <w:t xml:space="preserve">anavvanzin/iconocracy-corpus</w:t>
      </w:r>
      <w:r>
        <w:rPr>
          <w:lang w:val="pt-BR"/>
        </w:rPr>
        <w:t xml:space="preserve">, seguindo o princípio de rastreabilidade em três pontos: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pt-BR"/>
              </w:rPr>
              <w:t xml:space="preserve">Ponto</w:t>
            </w:r>
          </w:p>
        </w:tc>
        <w:tc>
          <w:tcPr/>
          <w:p>
            <w:pPr>
              <w:pStyle w:val="Compact"/>
            </w:pPr>
            <w:r>
              <w:rPr>
                <w:lang w:val="pt-BR"/>
              </w:rPr>
              <w:t xml:space="preserve">Localização</w:t>
            </w:r>
          </w:p>
        </w:tc>
        <w:tc>
          <w:tcPr/>
          <w:p>
            <w:pPr>
              <w:pStyle w:val="Compact"/>
            </w:pPr>
            <w:r>
              <w:rPr>
                <w:lang w:val="pt-BR"/>
              </w:rPr>
              <w:t xml:space="preserve">Formato</w:t>
            </w:r>
          </w:p>
        </w:tc>
      </w:tr>
      <w:tr>
        <w:tc>
          <w:tcPr/>
          <w:p>
            <w:pPr>
              <w:pStyle w:val="Compact"/>
            </w:pPr>
            <w:r>
              <w:rPr>
                <w:lang w:val="pt-BR"/>
              </w:rPr>
              <w:t xml:space="preserve">Imagem original</w:t>
            </w:r>
          </w:p>
        </w:tc>
        <w:tc>
          <w:tcPr/>
          <w:p>
            <w:pPr>
              <w:pStyle w:val="Compact"/>
            </w:pPr>
            <w:r>
              <w:rPr>
                <w:lang w:val="pt-BR"/>
              </w:rPr>
              <w:t xml:space="preserve">SSD externo + IIIF</w:t>
            </w:r>
          </w:p>
        </w:tc>
        <w:tc>
          <w:tcPr/>
          <w:p>
            <w:pPr>
              <w:pStyle w:val="Compact"/>
            </w:pPr>
            <w:r>
              <w:rPr>
                <w:lang w:val="pt-BR"/>
              </w:rPr>
              <w:t xml:space="preserve">JPEG/TIFF</w:t>
            </w:r>
          </w:p>
        </w:tc>
      </w:tr>
      <w:tr>
        <w:tc>
          <w:tcPr/>
          <w:p>
            <w:pPr>
              <w:pStyle w:val="Compact"/>
            </w:pPr>
            <w:r>
              <w:rPr>
                <w:lang w:val="pt-BR"/>
              </w:rPr>
              <w:t xml:space="preserve">Nota de pesquisa</w:t>
            </w:r>
          </w:p>
        </w:tc>
        <w:tc>
          <w:tcPr/>
          <w:p>
            <w:pPr>
              <w:pStyle w:val="Compact"/>
            </w:pPr>
            <w:r>
              <w:rPr>
                <w:rStyle w:val="VerbatimChar"/>
                <w:lang w:val="pt-BR"/>
              </w:rPr>
              <w:t xml:space="preserve">vault/candidatos/</w:t>
            </w:r>
          </w:p>
        </w:tc>
        <w:tc>
          <w:tcPr/>
          <w:p>
            <w:pPr>
              <w:pStyle w:val="Compact"/>
            </w:pPr>
            <w:r>
              <w:rPr>
                <w:lang w:val="pt-BR"/>
              </w:rPr>
              <w:t xml:space="preserve">Obsidian Markdown</w:t>
            </w:r>
          </w:p>
        </w:tc>
      </w:tr>
      <w:tr>
        <w:tc>
          <w:tcPr/>
          <w:p>
            <w:pPr>
              <w:pStyle w:val="Compact"/>
            </w:pPr>
            <w:r>
              <w:rPr>
                <w:lang w:val="pt-BR"/>
              </w:rPr>
              <w:t xml:space="preserve">Registro canônico</w:t>
            </w:r>
          </w:p>
        </w:tc>
        <w:tc>
          <w:tcPr/>
          <w:p>
            <w:pPr>
              <w:pStyle w:val="Compact"/>
            </w:pPr>
            <w:r>
              <w:rPr>
                <w:rStyle w:val="VerbatimChar"/>
                <w:lang w:val="pt-BR"/>
              </w:rPr>
              <w:t xml:space="preserve">corpus/corpus-data.json</w:t>
            </w:r>
          </w:p>
        </w:tc>
        <w:tc>
          <w:tcPr/>
          <w:p>
            <w:pPr>
              <w:pStyle w:val="Compact"/>
            </w:pPr>
            <w:r>
              <w:rPr>
                <w:lang w:val="pt-BR"/>
              </w:rPr>
              <w:t xml:space="preserve">JSON</w:t>
            </w:r>
          </w:p>
        </w:tc>
      </w:tr>
    </w:tbl>
    <w:p>
      <w:pPr>
        <w:pStyle w:val="BodyText"/>
      </w:pPr>
      <w:r>
        <w:rPr>
          <w:lang w:val="pt-BR"/>
        </w:rPr>
        <w:t xml:space="preserve">O pipeline de codificação opera em duas etapas: o agente</w:t>
      </w:r>
      <w:r>
        <w:rPr>
          <w:lang w:val="pt-BR"/>
        </w:rPr>
        <w:t xml:space="preserve"> </w:t>
      </w:r>
      <w:r>
        <w:rPr>
          <w:i/>
          <w:iCs/>
          <w:lang w:val="pt-BR"/>
        </w:rPr>
        <w:t xml:space="preserve">WebScout</w:t>
      </w:r>
      <w:r>
        <w:rPr>
          <w:lang w:val="pt-BR"/>
        </w:rPr>
        <w:t xml:space="preserve"> </w:t>
      </w:r>
      <w:r>
        <w:rPr>
          <w:lang w:val="pt-BR"/>
        </w:rPr>
        <w:t xml:space="preserve">pesquisa e cataloga candidatos em acervos digitais, gerando notas de pesquisa com metadados e URLs; o agente</w:t>
      </w:r>
      <w:r>
        <w:rPr>
          <w:lang w:val="pt-BR"/>
        </w:rPr>
        <w:t xml:space="preserve"> </w:t>
      </w:r>
      <w:r>
        <w:rPr>
          <w:i/>
          <w:iCs/>
          <w:lang w:val="pt-BR"/>
        </w:rPr>
        <w:t xml:space="preserve">IconoCode</w:t>
      </w:r>
      <w:r>
        <w:rPr>
          <w:lang w:val="pt-BR"/>
        </w:rPr>
        <w:t xml:space="preserve"> </w:t>
      </w:r>
      <w:r>
        <w:rPr>
          <w:lang w:val="pt-BR"/>
        </w:rPr>
        <w:t xml:space="preserve">aplica o protocolo de três níveis, pontua os 10 indicadores, classifica o regime e produz o registro JSON. Os dados processados são exportados automaticamente para</w:t>
      </w:r>
      <w:r>
        <w:rPr>
          <w:lang w:val="pt-BR"/>
        </w:rPr>
        <w:t xml:space="preserve"> </w:t>
      </w:r>
      <w:r>
        <w:rPr>
          <w:rStyle w:val="VerbatimChar"/>
          <w:lang w:val="pt-BR"/>
        </w:rPr>
        <w:t xml:space="preserve">data/processed/corpus_dataset.csv</w:t>
      </w:r>
      <w:r>
        <w:rPr>
          <w:lang w:val="pt-BR"/>
        </w:rPr>
        <w:t xml:space="preserve">, que alimenta os notebooks estatísticos (Jupyter/Python: pandas, scipy, scikit-posthocs).</w:t>
      </w:r>
    </w:p>
    <w:bookmarkEnd w:id="104"/>
    <w:bookmarkEnd w:id="105"/>
    <w:bookmarkStart w:id="112" w:name="capítulo-6"/>
    <w:p>
      <w:pPr>
        <w:pStyle w:val="Heading1"/>
      </w:pPr>
      <w:r>
        <w:rPr>
          <w:rStyle w:val="SectionNumber"/>
          <w:lang w:val="pt-BR"/>
        </w:rPr>
        <w:t xml:space="preserve">7</w:t>
      </w:r>
      <w:r>
        <w:tab/>
      </w:r>
      <w:r>
        <w:rPr>
          <w:lang w:val="pt-BR"/>
        </w:rPr>
        <w:t xml:space="preserve">CAPÍTULO 6</w:t>
      </w:r>
    </w:p>
    <w:bookmarkStart w:id="111" w:name="X9340eea989866e28c383e4ffa939974c6403641"/>
    <w:p>
      <w:pPr>
        <w:pStyle w:val="Heading2"/>
      </w:pPr>
      <w:r>
        <w:rPr>
          <w:rStyle w:val="SectionNumber"/>
          <w:lang w:val="pt-BR"/>
        </w:rPr>
        <w:t xml:space="preserve">7.1</w:t>
      </w:r>
      <w:r>
        <w:tab/>
      </w:r>
      <w:r>
        <w:rPr>
          <w:lang w:val="pt-BR"/>
        </w:rPr>
        <w:t xml:space="preserve">ANÁLISE QUANTITATIVA: O PANORAMA ICONOMÉTRICO</w:t>
      </w:r>
    </w:p>
    <w:p>
      <w:r>
        <w:pict>
          <v:rect style="width:0;height:1.5pt" o:hralign="center" o:hrstd="t" o:hr="t"/>
        </w:pict>
      </w:r>
    </w:p>
    <w:p>
      <w:pPr>
        <w:pStyle w:val="BlockText"/>
      </w:pPr>
      <w:r>
        <w:rPr>
          <w:i/>
          <w:iCs/>
          <w:lang w:val="pt-BR"/>
        </w:rPr>
        <w:t xml:space="preserve">“O dado não é o fim, mas o ponto de partida para a visibilidade do invisível.”</w:t>
      </w:r>
      <w:r>
        <w:rPr>
          <w:lang w:val="pt-BR"/>
        </w:rPr>
        <w:t xml:space="preserve"> </w:t>
      </w:r>
      <w:r>
        <w:rPr>
          <w:lang w:val="pt-BR"/>
        </w:rPr>
        <w:t xml:space="preserve">— (Anotação de pesquisa, 2026)</w:t>
      </w:r>
    </w:p>
    <w:p>
      <w:r>
        <w:pict>
          <v:rect style="width:0;height:1.5pt" o:hralign="center" o:hrstd="t" o:hr="t"/>
        </w:pict>
      </w:r>
    </w:p>
    <w:bookmarkStart w:id="109" w:name="X19b117f77e4b7bba20c87010702850b4f53dcf7"/>
    <w:p>
      <w:pPr>
        <w:pStyle w:val="Heading3"/>
      </w:pPr>
      <w:r>
        <w:rPr>
          <w:rStyle w:val="SectionNumber"/>
          <w:lang w:val="pt-BR"/>
        </w:rPr>
        <w:t xml:space="preserve">7.1.1</w:t>
      </w:r>
      <w:r>
        <w:tab/>
      </w:r>
      <w:r>
        <w:rPr>
          <w:lang w:val="pt-BR"/>
        </w:rPr>
        <w:t xml:space="preserve">6.1 Panorama Descritivo: A Geometria do Corpus</w:t>
      </w:r>
    </w:p>
    <w:p>
      <w:pPr>
        <w:pStyle w:val="FirstParagraph"/>
      </w:pPr>
      <w:r>
        <w:rPr>
          <w:lang w:val="pt-BR"/>
        </w:rPr>
        <w:t xml:space="preserve">A análise quantitativa do corpus ICONOCRACIA permite, em primeira instância, mapear a distribuição espacial, temporal e institucional das alegorias femininas que compõem a base empírica desta tese. O corpus é um catálogo documentado em expansão: o instantâneo de trabalho de setembro de 2026 registra</w:t>
      </w:r>
      <w:r>
        <w:rPr>
          <w:lang w:val="pt-BR"/>
        </w:rPr>
        <w:t xml:space="preserve"> </w:t>
      </w:r>
      <w:r>
        <w:rPr>
          <w:b/>
          <w:bCs/>
          <w:lang w:val="pt-BR"/>
        </w:rPr>
        <w:t xml:space="preserve">336 itens</w:t>
      </w:r>
      <w:r>
        <w:rPr>
          <w:lang w:val="pt-BR"/>
        </w:rPr>
        <w:t xml:space="preserve">, dos quais 286 com codificação de purificação (o ledger operacional segue aberto até a defesa; as distribuições abaixo referem-se a esse instantâneo). Os padrões de concentração corroboram a centralidade do modelo franco-atlântico na cultura jurídica do século XIX.</w:t>
      </w:r>
    </w:p>
    <w:bookmarkStart w:id="106" w:name="distribuição-geográfica-e-institucional"/>
    <w:p>
      <w:pPr>
        <w:pStyle w:val="Heading4"/>
      </w:pPr>
      <w:r>
        <w:rPr>
          <w:rStyle w:val="SectionNumber"/>
          <w:lang w:val="pt-BR"/>
        </w:rPr>
        <w:t xml:space="preserve">7.1.1.1</w:t>
      </w:r>
      <w:r>
        <w:tab/>
      </w:r>
      <w:r>
        <w:rPr>
          <w:lang w:val="pt-BR"/>
        </w:rPr>
        <w:t xml:space="preserve">6.1.1 Distribuição Geográfica e Institucional</w:t>
      </w:r>
    </w:p>
    <w:p>
      <w:pPr>
        <w:pStyle w:val="FirstParagraph"/>
      </w:pPr>
      <w:r>
        <w:rPr>
          <w:lang w:val="pt-BR"/>
        </w:rPr>
        <w:t xml:space="preserve">A França emerge como o polo dominante do catálogo, representando</w:t>
      </w:r>
      <w:r>
        <w:rPr>
          <w:lang w:val="pt-BR"/>
        </w:rPr>
        <w:t xml:space="preserve"> </w:t>
      </w:r>
      <w:r>
        <w:rPr>
          <w:b/>
          <w:bCs/>
          <w:lang w:val="pt-BR"/>
        </w:rPr>
        <w:t xml:space="preserve">30,4% (102 registros)</w:t>
      </w:r>
      <w:r>
        <w:rPr>
          <w:lang w:val="pt-BR"/>
        </w:rPr>
        <w:t xml:space="preserve"> </w:t>
      </w:r>
      <w:r>
        <w:rPr>
          <w:lang w:val="pt-BR"/>
        </w:rPr>
        <w:t xml:space="preserve">do total. Essa predominância não é meramente numérica, mas qualitativa: o modelo da</w:t>
      </w:r>
      <w:r>
        <w:rPr>
          <w:lang w:val="pt-BR"/>
        </w:rPr>
        <w:t xml:space="preserve"> </w:t>
      </w:r>
      <w:r>
        <w:rPr>
          <w:i/>
          <w:iCs/>
          <w:lang w:val="pt-BR"/>
        </w:rPr>
        <w:t xml:space="preserve">Marianne</w:t>
      </w:r>
      <w:r>
        <w:rPr>
          <w:lang w:val="pt-BR"/>
        </w:rPr>
        <w:t xml:space="preserve"> </w:t>
      </w:r>
      <w:r>
        <w:rPr>
          <w:lang w:val="pt-BR"/>
        </w:rPr>
        <w:t xml:space="preserve">republicana funcionou, durante o longo século XIX, como a</w:t>
      </w:r>
      <w:r>
        <w:rPr>
          <w:lang w:val="pt-BR"/>
        </w:rPr>
        <w:t xml:space="preserve"> </w:t>
      </w:r>
      <w:r>
        <w:rPr>
          <w:lang w:val="pt-BR"/>
        </w:rPr>
        <w:t xml:space="preserve">“moeda forte”</w:t>
      </w:r>
      <w:r>
        <w:rPr>
          <w:lang w:val="pt-BR"/>
        </w:rPr>
        <w:t xml:space="preserve"> </w:t>
      </w:r>
      <w:r>
        <w:rPr>
          <w:lang w:val="pt-BR"/>
        </w:rPr>
        <w:t xml:space="preserve">da iconografia política transatlântica. O Brasil ocupa a segunda posição com</w:t>
      </w:r>
      <w:r>
        <w:rPr>
          <w:lang w:val="pt-BR"/>
        </w:rPr>
        <w:t xml:space="preserve"> </w:t>
      </w:r>
      <w:r>
        <w:rPr>
          <w:b/>
          <w:bCs/>
          <w:lang w:val="pt-BR"/>
        </w:rPr>
        <w:t xml:space="preserve">21,4% (72 registros)</w:t>
      </w:r>
      <w:r>
        <w:rPr>
          <w:lang w:val="pt-BR"/>
        </w:rPr>
        <w:t xml:space="preserve">, evidenciando o esforço de importação e adaptação do cânone europeu pelas elites jurídicas e políticas brasileiras, especialmente no período fundacional da República (1889).</w:t>
      </w:r>
    </w:p>
    <w:p>
      <w:pPr>
        <w:pStyle w:val="BodyText"/>
      </w:pPr>
      <w:r>
        <w:rPr>
          <w:lang w:val="pt-BR"/>
        </w:rPr>
        <w:t xml:space="preserve">Os Estados Unidos (9,5%), a Alemanha (8,0%) e o Reino Unido (6,8%) completam o núcleo central, enquanto países como Itália (6,0%), Portugal, Bélgica, Holanda e Espanha oferecem variações significativas que permitem testar a universalidade do protocolo</w:t>
      </w:r>
      <w:r>
        <w:rPr>
          <w:lang w:val="pt-BR"/>
        </w:rPr>
        <w:t xml:space="preserve"> </w:t>
      </w:r>
      <w:r>
        <w:rPr>
          <w:i/>
          <w:iCs/>
          <w:lang w:val="pt-BR"/>
        </w:rPr>
        <w:t xml:space="preserve">IconoCode</w:t>
      </w:r>
      <w:r>
        <w:rPr>
          <w:lang w:val="pt-B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pt-BR"/>
              </w:rPr>
              <w:t xml:space="preserve">País</w:t>
            </w:r>
          </w:p>
        </w:tc>
        <w:tc>
          <w:tcPr/>
          <w:p>
            <w:pPr>
              <w:pStyle w:val="Compact"/>
              <w:jc w:val="center"/>
            </w:pPr>
            <w:r>
              <w:rPr>
                <w:lang w:val="pt-BR"/>
              </w:rPr>
              <w:t xml:space="preserve">Registros (N)</w:t>
            </w:r>
          </w:p>
        </w:tc>
        <w:tc>
          <w:tcPr/>
          <w:p>
            <w:pPr>
              <w:pStyle w:val="Compact"/>
              <w:jc w:val="center"/>
            </w:pPr>
            <w:r>
              <w:rPr>
                <w:lang w:val="pt-BR"/>
              </w:rPr>
              <w:t xml:space="preserve">Percentual (%)</w:t>
            </w:r>
          </w:p>
        </w:tc>
      </w:tr>
      <w:tr>
        <w:tc>
          <w:tcPr/>
          <w:p>
            <w:pPr>
              <w:pStyle w:val="Compact"/>
            </w:pPr>
            <w:r>
              <w:rPr>
                <w:lang w:val="pt-BR"/>
              </w:rPr>
              <w:t xml:space="preserve">França</w:t>
            </w:r>
          </w:p>
        </w:tc>
        <w:tc>
          <w:tcPr/>
          <w:p>
            <w:pPr>
              <w:pStyle w:val="Compact"/>
              <w:jc w:val="center"/>
            </w:pPr>
            <w:r>
              <w:rPr>
                <w:lang w:val="pt-BR"/>
              </w:rPr>
              <w:t xml:space="preserve">102</w:t>
            </w:r>
          </w:p>
        </w:tc>
        <w:tc>
          <w:tcPr/>
          <w:p>
            <w:pPr>
              <w:pStyle w:val="Compact"/>
              <w:jc w:val="center"/>
            </w:pPr>
            <w:r>
              <w:rPr>
                <w:lang w:val="pt-BR"/>
              </w:rPr>
              <w:t xml:space="preserve">30,4%</w:t>
            </w:r>
          </w:p>
        </w:tc>
      </w:tr>
      <w:tr>
        <w:tc>
          <w:tcPr/>
          <w:p>
            <w:pPr>
              <w:pStyle w:val="Compact"/>
            </w:pPr>
            <w:r>
              <w:rPr>
                <w:lang w:val="pt-BR"/>
              </w:rPr>
              <w:t xml:space="preserve">Brasil</w:t>
            </w:r>
          </w:p>
        </w:tc>
        <w:tc>
          <w:tcPr/>
          <w:p>
            <w:pPr>
              <w:pStyle w:val="Compact"/>
              <w:jc w:val="center"/>
            </w:pPr>
            <w:r>
              <w:rPr>
                <w:lang w:val="pt-BR"/>
              </w:rPr>
              <w:t xml:space="preserve">72</w:t>
            </w:r>
          </w:p>
        </w:tc>
        <w:tc>
          <w:tcPr/>
          <w:p>
            <w:pPr>
              <w:pStyle w:val="Compact"/>
              <w:jc w:val="center"/>
            </w:pPr>
            <w:r>
              <w:rPr>
                <w:lang w:val="pt-BR"/>
              </w:rPr>
              <w:t xml:space="preserve">21,4%</w:t>
            </w:r>
          </w:p>
        </w:tc>
      </w:tr>
      <w:tr>
        <w:tc>
          <w:tcPr/>
          <w:p>
            <w:pPr>
              <w:pStyle w:val="Compact"/>
            </w:pPr>
            <w:r>
              <w:rPr>
                <w:lang w:val="pt-BR"/>
              </w:rPr>
              <w:t xml:space="preserve">Estados Unidos</w:t>
            </w:r>
          </w:p>
        </w:tc>
        <w:tc>
          <w:tcPr/>
          <w:p>
            <w:pPr>
              <w:pStyle w:val="Compact"/>
              <w:jc w:val="center"/>
            </w:pPr>
            <w:r>
              <w:rPr>
                <w:lang w:val="pt-BR"/>
              </w:rPr>
              <w:t xml:space="preserve">32</w:t>
            </w:r>
          </w:p>
        </w:tc>
        <w:tc>
          <w:tcPr/>
          <w:p>
            <w:pPr>
              <w:pStyle w:val="Compact"/>
              <w:jc w:val="center"/>
            </w:pPr>
            <w:r>
              <w:rPr>
                <w:lang w:val="pt-BR"/>
              </w:rPr>
              <w:t xml:space="preserve">9,5%</w:t>
            </w:r>
          </w:p>
        </w:tc>
      </w:tr>
      <w:tr>
        <w:tc>
          <w:tcPr/>
          <w:p>
            <w:pPr>
              <w:pStyle w:val="Compact"/>
            </w:pPr>
            <w:r>
              <w:rPr>
                <w:lang w:val="pt-BR"/>
              </w:rPr>
              <w:t xml:space="preserve">Alemanha</w:t>
            </w:r>
          </w:p>
        </w:tc>
        <w:tc>
          <w:tcPr/>
          <w:p>
            <w:pPr>
              <w:pStyle w:val="Compact"/>
              <w:jc w:val="center"/>
            </w:pPr>
            <w:r>
              <w:rPr>
                <w:lang w:val="pt-BR"/>
              </w:rPr>
              <w:t xml:space="preserve">27</w:t>
            </w:r>
          </w:p>
        </w:tc>
        <w:tc>
          <w:tcPr/>
          <w:p>
            <w:pPr>
              <w:pStyle w:val="Compact"/>
              <w:jc w:val="center"/>
            </w:pPr>
            <w:r>
              <w:rPr>
                <w:lang w:val="pt-BR"/>
              </w:rPr>
              <w:t xml:space="preserve">8,0%</w:t>
            </w:r>
          </w:p>
        </w:tc>
      </w:tr>
      <w:tr>
        <w:tc>
          <w:tcPr/>
          <w:p>
            <w:pPr>
              <w:pStyle w:val="Compact"/>
            </w:pPr>
            <w:r>
              <w:rPr>
                <w:lang w:val="pt-BR"/>
              </w:rPr>
              <w:t xml:space="preserve">Reino Unido</w:t>
            </w:r>
          </w:p>
        </w:tc>
        <w:tc>
          <w:tcPr/>
          <w:p>
            <w:pPr>
              <w:pStyle w:val="Compact"/>
              <w:jc w:val="center"/>
            </w:pPr>
            <w:r>
              <w:rPr>
                <w:lang w:val="pt-BR"/>
              </w:rPr>
              <w:t xml:space="preserve">23</w:t>
            </w:r>
          </w:p>
        </w:tc>
        <w:tc>
          <w:tcPr/>
          <w:p>
            <w:pPr>
              <w:pStyle w:val="Compact"/>
              <w:jc w:val="center"/>
            </w:pPr>
            <w:r>
              <w:rPr>
                <w:lang w:val="pt-BR"/>
              </w:rPr>
              <w:t xml:space="preserve">6,8%</w:t>
            </w:r>
          </w:p>
        </w:tc>
      </w:tr>
      <w:tr>
        <w:tc>
          <w:tcPr/>
          <w:p>
            <w:pPr>
              <w:pStyle w:val="Compact"/>
            </w:pPr>
            <w:r>
              <w:rPr>
                <w:lang w:val="pt-BR"/>
              </w:rPr>
              <w:t xml:space="preserve">Demais países e regiões</w:t>
            </w:r>
          </w:p>
        </w:tc>
        <w:tc>
          <w:tcPr/>
          <w:p>
            <w:pPr>
              <w:pStyle w:val="Compact"/>
              <w:jc w:val="center"/>
            </w:pPr>
            <w:r>
              <w:rPr>
                <w:lang w:val="pt-BR"/>
              </w:rPr>
              <w:t xml:space="preserve">80</w:t>
            </w:r>
          </w:p>
        </w:tc>
        <w:tc>
          <w:tcPr/>
          <w:p>
            <w:pPr>
              <w:pStyle w:val="Compact"/>
              <w:jc w:val="center"/>
            </w:pPr>
            <w:r>
              <w:rPr>
                <w:lang w:val="pt-BR"/>
              </w:rPr>
              <w:t xml:space="preserve">23,8%</w:t>
            </w:r>
          </w:p>
        </w:tc>
      </w:tr>
    </w:tbl>
    <w:bookmarkEnd w:id="106"/>
    <w:bookmarkStart w:id="107" w:name="distribuição-por-regime-iconocrático"/>
    <w:p>
      <w:pPr>
        <w:pStyle w:val="Heading4"/>
      </w:pPr>
      <w:r>
        <w:rPr>
          <w:rStyle w:val="SectionNumber"/>
          <w:lang w:val="pt-BR"/>
        </w:rPr>
        <w:t xml:space="preserve">7.1.1.2</w:t>
      </w:r>
      <w:r>
        <w:tab/>
      </w:r>
      <w:r>
        <w:rPr>
          <w:lang w:val="pt-BR"/>
        </w:rPr>
        <w:t xml:space="preserve">6.1.2 Distribuição por Regime Iconocrático</w:t>
      </w:r>
    </w:p>
    <w:p>
      <w:pPr>
        <w:pStyle w:val="FirstParagraph"/>
      </w:pPr>
      <w:r>
        <w:rPr>
          <w:lang w:val="pt-BR"/>
        </w:rPr>
        <w:t xml:space="preserve">A classificação dos itens conforme a tipologia proposta no Capítulo 2 revela que o</w:t>
      </w:r>
      <w:r>
        <w:rPr>
          <w:lang w:val="pt-BR"/>
        </w:rPr>
        <w:t xml:space="preserve"> </w:t>
      </w:r>
      <w:r>
        <w:rPr>
          <w:b/>
          <w:bCs/>
          <w:lang w:val="pt-BR"/>
        </w:rPr>
        <w:t xml:space="preserve">Regime FUNDACIONAL</w:t>
      </w:r>
      <w:r>
        <w:rPr>
          <w:lang w:val="pt-BR"/>
        </w:rPr>
        <w:t xml:space="preserve"> </w:t>
      </w:r>
      <w:r>
        <w:rPr>
          <w:lang w:val="pt-BR"/>
        </w:rPr>
        <w:t xml:space="preserve">é a categoria mais populosa, com</w:t>
      </w:r>
      <w:r>
        <w:rPr>
          <w:lang w:val="pt-BR"/>
        </w:rPr>
        <w:t xml:space="preserve"> </w:t>
      </w:r>
      <w:r>
        <w:rPr>
          <w:b/>
          <w:bCs/>
          <w:lang w:val="pt-BR"/>
        </w:rPr>
        <w:t xml:space="preserve">164 registros (48,8%)</w:t>
      </w:r>
      <w:r>
        <w:rPr>
          <w:lang w:val="pt-BR"/>
        </w:rPr>
        <w:t xml:space="preserve">. Isso reflete a natureza do corpus, focado em momentos de ruptura e estabelecimento de novas ordens jurídicas (Revoluções, Proclamações, Constituições), onde a imagem feminina é convocada para personificar a soberania nascente.</w:t>
      </w:r>
    </w:p>
    <w:p>
      <w:pPr>
        <w:pStyle w:val="BodyText"/>
      </w:pPr>
      <w:r>
        <w:rPr>
          <w:lang w:val="pt-BR"/>
        </w:rPr>
        <w:t xml:space="preserve">O</w:t>
      </w:r>
      <w:r>
        <w:rPr>
          <w:lang w:val="pt-BR"/>
        </w:rPr>
        <w:t xml:space="preserve"> </w:t>
      </w:r>
      <w:r>
        <w:rPr>
          <w:b/>
          <w:bCs/>
          <w:lang w:val="pt-BR"/>
        </w:rPr>
        <w:t xml:space="preserve">Regime NORMATIVO</w:t>
      </w:r>
      <w:r>
        <w:rPr>
          <w:lang w:val="pt-BR"/>
        </w:rPr>
        <w:t xml:space="preserve">, responsável pela rotinização burocrática da imagem em selos, moedas e repartições, representa</w:t>
      </w:r>
      <w:r>
        <w:rPr>
          <w:lang w:val="pt-BR"/>
        </w:rPr>
        <w:t xml:space="preserve"> </w:t>
      </w:r>
      <w:r>
        <w:rPr>
          <w:b/>
          <w:bCs/>
          <w:lang w:val="pt-BR"/>
        </w:rPr>
        <w:t xml:space="preserve">30,7% (103 registros)</w:t>
      </w:r>
      <w:r>
        <w:rPr>
          <w:lang w:val="pt-BR"/>
        </w:rPr>
        <w:t xml:space="preserve">. O</w:t>
      </w:r>
      <w:r>
        <w:rPr>
          <w:lang w:val="pt-BR"/>
        </w:rPr>
        <w:t xml:space="preserve"> </w:t>
      </w:r>
      <w:r>
        <w:rPr>
          <w:b/>
          <w:bCs/>
          <w:lang w:val="pt-BR"/>
        </w:rPr>
        <w:t xml:space="preserve">Regime MILITAR</w:t>
      </w:r>
      <w:r>
        <w:rPr>
          <w:lang w:val="pt-BR"/>
        </w:rPr>
        <w:t xml:space="preserve">, que assinala o endurecimento morfológico em contextos de crise ou projeção imperial, compõe</w:t>
      </w:r>
      <w:r>
        <w:rPr>
          <w:lang w:val="pt-BR"/>
        </w:rPr>
        <w:t xml:space="preserve"> </w:t>
      </w:r>
      <w:r>
        <w:rPr>
          <w:b/>
          <w:bCs/>
          <w:lang w:val="pt-BR"/>
        </w:rPr>
        <w:t xml:space="preserve">16,1% (54 registros)</w:t>
      </w:r>
      <w:r>
        <w:rPr>
          <w:lang w:val="pt-BR"/>
        </w:rPr>
        <w:t xml:space="preserve"> </w:t>
      </w:r>
      <w:r>
        <w:rPr>
          <w:lang w:val="pt-BR"/>
        </w:rPr>
        <w:t xml:space="preserve">do catálogo. Por fim, as</w:t>
      </w:r>
      <w:r>
        <w:rPr>
          <w:lang w:val="pt-BR"/>
        </w:rPr>
        <w:t xml:space="preserve"> </w:t>
      </w:r>
      <w:r>
        <w:rPr>
          <w:b/>
          <w:bCs/>
          <w:lang w:val="pt-BR"/>
        </w:rPr>
        <w:t xml:space="preserve">CONTRA-ALEGORIAS</w:t>
      </w:r>
      <w:r>
        <w:rPr>
          <w:lang w:val="pt-BR"/>
        </w:rPr>
        <w:t xml:space="preserve"> </w:t>
      </w:r>
      <w:r>
        <w:rPr>
          <w:lang w:val="pt-BR"/>
        </w:rPr>
        <w:t xml:space="preserve">(4,5%, 15 registros) funcionam como o grupo de controle que demonstra, por subversão, os limites da</w:t>
      </w:r>
      <w:r>
        <w:rPr>
          <w:lang w:val="pt-BR"/>
        </w:rPr>
        <w:t xml:space="preserve"> </w:t>
      </w:r>
      <w:r>
        <w:rPr>
          <w:lang w:val="pt-BR"/>
        </w:rPr>
        <w:t xml:space="preserve">“purificação”</w:t>
      </w:r>
      <w:r>
        <w:rPr>
          <w:lang w:val="pt-BR"/>
        </w:rPr>
        <w:t xml:space="preserve"> </w:t>
      </w:r>
      <w:r>
        <w:rPr>
          <w:lang w:val="pt-BR"/>
        </w:rPr>
        <w:t xml:space="preserve">estatal.</w:t>
      </w:r>
    </w:p>
    <w:bookmarkEnd w:id="107"/>
    <w:bookmarkStart w:id="108" w:name="arco-temporal-e-densidade-iconográfica"/>
    <w:p>
      <w:pPr>
        <w:pStyle w:val="Heading4"/>
      </w:pPr>
      <w:r>
        <w:rPr>
          <w:rStyle w:val="SectionNumber"/>
          <w:lang w:val="pt-BR"/>
        </w:rPr>
        <w:t xml:space="preserve">7.1.1.3</w:t>
      </w:r>
      <w:r>
        <w:tab/>
      </w:r>
      <w:r>
        <w:rPr>
          <w:lang w:val="pt-BR"/>
        </w:rPr>
        <w:t xml:space="preserve">6.1.3 Arco Temporal e Densidade Iconográfica</w:t>
      </w:r>
    </w:p>
    <w:p>
      <w:pPr>
        <w:pStyle w:val="FirstParagraph"/>
      </w:pPr>
      <w:r>
        <w:rPr>
          <w:lang w:val="pt-BR"/>
        </w:rPr>
        <w:t xml:space="preserve">O arco temporal do catálogo estende-se por mais de sete séculos (1239–2021) — os itens fora do recorte 1800–2000 funcionam como comparadores arqueológicos e contemporâneos —, mas sua densidade analítica concentra-se entre</w:t>
      </w:r>
      <w:r>
        <w:rPr>
          <w:lang w:val="pt-BR"/>
        </w:rPr>
        <w:t xml:space="preserve"> </w:t>
      </w:r>
      <w:r>
        <w:rPr>
          <w:b/>
          <w:bCs/>
          <w:lang w:val="pt-BR"/>
        </w:rPr>
        <w:t xml:space="preserve">1860 e 1920</w:t>
      </w:r>
      <w:r>
        <w:rPr>
          <w:lang w:val="pt-BR"/>
        </w:rPr>
        <w:t xml:space="preserve"> </w:t>
      </w:r>
      <w:r>
        <w:rPr>
          <w:lang w:val="pt-BR"/>
        </w:rPr>
        <w:t xml:space="preserve">(mais da metade dos 295 itens datados), período que coincide com a consolidação do Estado-nação moderno e a expansão industrial da imagem estatal. A década de</w:t>
      </w:r>
      <w:r>
        <w:rPr>
          <w:lang w:val="pt-BR"/>
        </w:rPr>
        <w:t xml:space="preserve"> </w:t>
      </w:r>
      <w:r>
        <w:rPr>
          <w:b/>
          <w:bCs/>
          <w:lang w:val="pt-BR"/>
        </w:rPr>
        <w:t xml:space="preserve">1910</w:t>
      </w:r>
      <w:r>
        <w:rPr>
          <w:lang w:val="pt-BR"/>
        </w:rPr>
        <w:t xml:space="preserve">, marcada pela Primeira Guerra Mundial, é o ponto de maior densidade (</w:t>
      </w:r>
      <w:r>
        <w:rPr>
          <w:b/>
          <w:bCs/>
          <w:lang w:val="pt-BR"/>
        </w:rPr>
        <w:t xml:space="preserve">36 registros datados</w:t>
      </w:r>
      <w:r>
        <w:rPr>
          <w:lang w:val="pt-BR"/>
        </w:rPr>
        <w:t xml:space="preserve">), evidenciando a mobilização máxima do corpo alegórico em contextos de conflito (Regime MILITAR).</w:t>
      </w:r>
    </w:p>
    <w:p>
      <w:pPr>
        <w:pStyle w:val="BodyText"/>
      </w:pPr>
      <w:r>
        <w:rPr>
          <w:lang w:val="pt-BR"/>
        </w:rPr>
        <w:t xml:space="preserve">Em termos de conteúdo iconográfico, o código</w:t>
      </w:r>
      <w:r>
        <w:rPr>
          <w:lang w:val="pt-BR"/>
        </w:rPr>
        <w:t xml:space="preserve"> </w:t>
      </w:r>
      <w:r>
        <w:rPr>
          <w:b/>
          <w:bCs/>
          <w:lang w:val="pt-BR"/>
        </w:rPr>
        <w:t xml:space="preserve">ICONCLASS 48C51</w:t>
      </w:r>
      <w:r>
        <w:rPr>
          <w:lang w:val="pt-BR"/>
        </w:rPr>
        <w:t xml:space="preserve"> </w:t>
      </w:r>
      <w:r>
        <w:rPr>
          <w:lang w:val="pt-BR"/>
        </w:rPr>
        <w:t xml:space="preserve">— taxonomia interna do projeto para a personificação feminina em contexto político [VERIFICAR: no sistema oficial Iconclass, 48C51 =</w:t>
      </w:r>
      <w:r>
        <w:rPr>
          <w:lang w:val="pt-BR"/>
        </w:rPr>
        <w:t xml:space="preserve"> </w:t>
      </w:r>
      <w:r>
        <w:rPr>
          <w:lang w:val="pt-BR"/>
        </w:rPr>
        <w:t xml:space="preserve">‘painting’</w:t>
      </w:r>
      <w:r>
        <w:rPr>
          <w:lang w:val="pt-BR"/>
        </w:rPr>
        <w:t xml:space="preserve">; códigos oficiais presentes no corpus: 44B62, 11M44] — é a âncora do corpus, aparecendo em</w:t>
      </w:r>
      <w:r>
        <w:rPr>
          <w:lang w:val="pt-BR"/>
        </w:rPr>
        <w:t xml:space="preserve"> </w:t>
      </w:r>
      <w:r>
        <w:rPr>
          <w:b/>
          <w:bCs/>
          <w:lang w:val="pt-BR"/>
        </w:rPr>
        <w:t xml:space="preserve">22,6%</w:t>
      </w:r>
      <w:r>
        <w:rPr>
          <w:lang w:val="pt-BR"/>
        </w:rPr>
        <w:t xml:space="preserve"> </w:t>
      </w:r>
      <w:r>
        <w:rPr>
          <w:lang w:val="pt-BR"/>
        </w:rPr>
        <w:t xml:space="preserve">das ocorrências codificadas (76 de 336 registros no instantâneo de 2026-09-21). Essa convergência demonstra que, independentemente das variações nacionais, o uso da feminilidade como tecnologia de representação política segue um léxico compartilhado, o que justifica a aplicação de um protocolo comparativo global.</w:t>
      </w:r>
    </w:p>
    <w:p>
      <w:r>
        <w:pict>
          <v:rect style="width:0;height:1.5pt" o:hralign="center" o:hrstd="t" o:hr="t"/>
        </w:pict>
      </w:r>
    </w:p>
    <w:bookmarkEnd w:id="108"/>
    <w:bookmarkEnd w:id="109"/>
    <w:bookmarkStart w:id="110" w:name="X331aaa8059bb35016a833e708c7d6ff9a06d5ad"/>
    <w:p>
      <w:pPr>
        <w:pStyle w:val="Heading3"/>
      </w:pPr>
      <w:r>
        <w:rPr>
          <w:rStyle w:val="SectionNumber"/>
          <w:lang w:val="pt-BR"/>
        </w:rPr>
        <w:t xml:space="preserve">7.1.2</w:t>
      </w:r>
      <w:r>
        <w:tab/>
      </w:r>
      <w:r>
        <w:rPr>
          <w:lang w:val="pt-BR"/>
        </w:rPr>
        <w:t xml:space="preserve">6.2 O Endurecimento sob Exame: a matriz dos itens âncora</w:t>
      </w:r>
    </w:p>
    <w:p>
      <w:pPr>
        <w:pStyle w:val="FirstParagraph"/>
      </w:pPr>
      <w:r>
        <w:rPr>
          <w:lang w:val="pt-BR"/>
        </w:rPr>
        <w:t xml:space="preserve">A métrica de</w:t>
      </w:r>
      <w:r>
        <w:rPr>
          <w:lang w:val="pt-BR"/>
        </w:rPr>
        <w:t xml:space="preserve"> </w:t>
      </w:r>
      <w:r>
        <w:rPr>
          <w:i/>
          <w:iCs/>
          <w:lang w:val="pt-BR"/>
        </w:rPr>
        <w:t xml:space="preserve">Endurecimento</w:t>
      </w:r>
      <w:r>
        <w:rPr>
          <w:lang w:val="pt-BR"/>
        </w:rPr>
        <w:t xml:space="preserve"> </w:t>
      </w:r>
      <w:r>
        <w:rPr>
          <w:lang w:val="pt-BR"/>
        </w:rPr>
        <w:t xml:space="preserve">captura a aplicação do protocolo de Purificação Clássica, revelando a intensidade do distanciamento morfológico entre a alegoria e a corporalidade histórica. Para ilustrar o funcionamento transversal do modelo — do núcleo cívico ao domínio colonial hídrico —, a Tabela 2 cruza os scores dos quatro itens âncora desta etapa de pesquisa.</w:t>
      </w:r>
    </w:p>
    <w:p>
      <w:pPr>
        <w:pStyle w:val="BodyText"/>
      </w:pPr>
      <w:r>
        <w:rPr>
          <w:b/>
          <w:bCs/>
          <w:lang w:val="pt-BR"/>
        </w:rPr>
        <w:t xml:space="preserve">Tabela 2 — Matriz de Endurecimento dos 4 Itens Âncora</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rPr>
                <w:lang w:val="pt-BR"/>
              </w:rPr>
              <w:t xml:space="preserve">Indicador</w:t>
            </w:r>
          </w:p>
        </w:tc>
        <w:tc>
          <w:tcPr/>
          <w:p>
            <w:pPr>
              <w:pStyle w:val="Compact"/>
              <w:jc w:val="center"/>
            </w:pPr>
            <w:r>
              <w:rPr>
                <w:lang w:val="pt-BR"/>
              </w:rPr>
              <w:t xml:space="preserve">Justiça STF (BR-009)</w:t>
            </w:r>
          </w:p>
        </w:tc>
        <w:tc>
          <w:tcPr/>
          <w:p>
            <w:pPr>
              <w:pStyle w:val="Compact"/>
              <w:jc w:val="center"/>
            </w:pPr>
            <w:r>
              <w:rPr>
                <w:lang w:val="pt-BR"/>
              </w:rPr>
              <w:t xml:space="preserve">Brasão República (SCOUT-562)</w:t>
            </w:r>
          </w:p>
        </w:tc>
        <w:tc>
          <w:tcPr/>
          <w:p>
            <w:pPr>
              <w:pStyle w:val="Compact"/>
              <w:jc w:val="center"/>
            </w:pPr>
            <w:r>
              <w:rPr>
                <w:lang w:val="pt-BR"/>
              </w:rPr>
              <w:t xml:space="preserve">British Trade Dollar (UK-TRADE-1895)</w:t>
            </w:r>
          </w:p>
        </w:tc>
        <w:tc>
          <w:tcPr/>
          <w:p>
            <w:pPr>
              <w:pStyle w:val="Compact"/>
              <w:jc w:val="center"/>
            </w:pPr>
            <w:r>
              <w:rPr>
                <w:lang w:val="pt-BR"/>
              </w:rPr>
              <w:t xml:space="preserve">Navigation et Commerce (FR-094)</w:t>
            </w:r>
          </w:p>
        </w:tc>
      </w:tr>
      <w:tr>
        <w:tc>
          <w:tcPr/>
          <w:p>
            <w:pPr>
              <w:pStyle w:val="Compact"/>
            </w:pPr>
            <w:r>
              <w:rPr>
                <w:lang w:val="pt-BR"/>
              </w:rPr>
              <w:t xml:space="preserve">Desincorporação</w:t>
            </w:r>
          </w:p>
        </w:tc>
        <w:tc>
          <w:tcPr/>
          <w:p>
            <w:pPr>
              <w:pStyle w:val="Compact"/>
              <w:jc w:val="center"/>
            </w:pPr>
            <w:r>
              <w:rPr>
                <w:lang w:val="pt-BR"/>
              </w:rPr>
              <w:t xml:space="preserve">2</w:t>
            </w:r>
          </w:p>
        </w:tc>
        <w:tc>
          <w:tcPr/>
          <w:p>
            <w:pPr>
              <w:pStyle w:val="Compact"/>
              <w:jc w:val="center"/>
            </w:pPr>
            <w:r>
              <w:rPr>
                <w:lang w:val="pt-BR"/>
              </w:rPr>
              <w:t xml:space="preserve">3</w:t>
            </w:r>
          </w:p>
        </w:tc>
        <w:tc>
          <w:tcPr/>
          <w:p>
            <w:pPr>
              <w:pStyle w:val="Compact"/>
              <w:jc w:val="center"/>
            </w:pPr>
            <w:r>
              <w:rPr>
                <w:lang w:val="pt-BR"/>
              </w:rPr>
              <w:t xml:space="preserve">2</w:t>
            </w:r>
          </w:p>
        </w:tc>
        <w:tc>
          <w:tcPr/>
          <w:p>
            <w:pPr>
              <w:pStyle w:val="Compact"/>
              <w:jc w:val="center"/>
            </w:pPr>
            <w:r>
              <w:rPr>
                <w:lang w:val="pt-BR"/>
              </w:rPr>
              <w:t xml:space="preserve">0</w:t>
            </w:r>
          </w:p>
        </w:tc>
      </w:tr>
      <w:tr>
        <w:tc>
          <w:tcPr/>
          <w:p>
            <w:pPr>
              <w:pStyle w:val="Compact"/>
            </w:pPr>
            <w:r>
              <w:rPr>
                <w:lang w:val="pt-BR"/>
              </w:rPr>
              <w:t xml:space="preserve">Rigidez postural</w:t>
            </w:r>
          </w:p>
        </w:tc>
        <w:tc>
          <w:tcPr/>
          <w:p>
            <w:pPr>
              <w:pStyle w:val="Compact"/>
              <w:jc w:val="center"/>
            </w:pPr>
            <w:r>
              <w:rPr>
                <w:lang w:val="pt-BR"/>
              </w:rPr>
              <w:t xml:space="preserve">2</w:t>
            </w:r>
          </w:p>
        </w:tc>
        <w:tc>
          <w:tcPr/>
          <w:p>
            <w:pPr>
              <w:pStyle w:val="Compact"/>
              <w:jc w:val="center"/>
            </w:pPr>
            <w:r>
              <w:rPr>
                <w:lang w:val="pt-BR"/>
              </w:rPr>
              <w:t xml:space="preserve">0</w:t>
            </w:r>
          </w:p>
        </w:tc>
        <w:tc>
          <w:tcPr/>
          <w:p>
            <w:pPr>
              <w:pStyle w:val="Compact"/>
              <w:jc w:val="center"/>
            </w:pPr>
            <w:r>
              <w:rPr>
                <w:lang w:val="pt-BR"/>
              </w:rPr>
              <w:t xml:space="preserve">2</w:t>
            </w:r>
          </w:p>
        </w:tc>
        <w:tc>
          <w:tcPr/>
          <w:p>
            <w:pPr>
              <w:pStyle w:val="Compact"/>
              <w:jc w:val="center"/>
            </w:pPr>
            <w:r>
              <w:rPr>
                <w:lang w:val="pt-BR"/>
              </w:rPr>
              <w:t xml:space="preserve">0</w:t>
            </w:r>
          </w:p>
        </w:tc>
      </w:tr>
      <w:tr>
        <w:tc>
          <w:tcPr/>
          <w:p>
            <w:pPr>
              <w:pStyle w:val="Compact"/>
            </w:pPr>
            <w:r>
              <w:rPr>
                <w:lang w:val="pt-BR"/>
              </w:rPr>
              <w:t xml:space="preserve">Dessexualização</w:t>
            </w:r>
          </w:p>
        </w:tc>
        <w:tc>
          <w:tcPr/>
          <w:p>
            <w:pPr>
              <w:pStyle w:val="Compact"/>
              <w:jc w:val="center"/>
            </w:pPr>
            <w:r>
              <w:rPr>
                <w:lang w:val="pt-BR"/>
              </w:rPr>
              <w:t xml:space="preserve">2</w:t>
            </w:r>
          </w:p>
        </w:tc>
        <w:tc>
          <w:tcPr/>
          <w:p>
            <w:pPr>
              <w:pStyle w:val="Compact"/>
              <w:jc w:val="center"/>
            </w:pPr>
            <w:r>
              <w:rPr>
                <w:lang w:val="pt-BR"/>
              </w:rPr>
              <w:t xml:space="preserve">0</w:t>
            </w:r>
          </w:p>
        </w:tc>
        <w:tc>
          <w:tcPr/>
          <w:p>
            <w:pPr>
              <w:pStyle w:val="Compact"/>
              <w:jc w:val="center"/>
            </w:pPr>
            <w:r>
              <w:rPr>
                <w:lang w:val="pt-BR"/>
              </w:rPr>
              <w:t xml:space="preserve">2</w:t>
            </w:r>
          </w:p>
        </w:tc>
        <w:tc>
          <w:tcPr/>
          <w:p>
            <w:pPr>
              <w:pStyle w:val="Compact"/>
              <w:jc w:val="center"/>
            </w:pPr>
            <w:r>
              <w:rPr>
                <w:lang w:val="pt-BR"/>
              </w:rPr>
              <w:t xml:space="preserve">0</w:t>
            </w:r>
          </w:p>
        </w:tc>
      </w:tr>
      <w:tr>
        <w:tc>
          <w:tcPr/>
          <w:p>
            <w:pPr>
              <w:pStyle w:val="Compact"/>
            </w:pPr>
            <w:r>
              <w:rPr>
                <w:lang w:val="pt-BR"/>
              </w:rPr>
              <w:t xml:space="preserve">Uniformização facial</w:t>
            </w:r>
          </w:p>
        </w:tc>
        <w:tc>
          <w:tcPr/>
          <w:p>
            <w:pPr>
              <w:pStyle w:val="Compact"/>
              <w:jc w:val="center"/>
            </w:pPr>
            <w:r>
              <w:rPr>
                <w:lang w:val="pt-BR"/>
              </w:rPr>
              <w:t xml:space="preserve">2</w:t>
            </w:r>
          </w:p>
        </w:tc>
        <w:tc>
          <w:tcPr/>
          <w:p>
            <w:pPr>
              <w:pStyle w:val="Compact"/>
              <w:jc w:val="center"/>
            </w:pPr>
            <w:r>
              <w:rPr>
                <w:lang w:val="pt-BR"/>
              </w:rPr>
              <w:t xml:space="preserve">0</w:t>
            </w:r>
          </w:p>
        </w:tc>
        <w:tc>
          <w:tcPr/>
          <w:p>
            <w:pPr>
              <w:pStyle w:val="Compact"/>
              <w:jc w:val="center"/>
            </w:pPr>
            <w:r>
              <w:rPr>
                <w:lang w:val="pt-BR"/>
              </w:rPr>
              <w:t xml:space="preserve">1</w:t>
            </w:r>
          </w:p>
        </w:tc>
        <w:tc>
          <w:tcPr/>
          <w:p>
            <w:pPr>
              <w:pStyle w:val="Compact"/>
              <w:jc w:val="center"/>
            </w:pPr>
            <w:r>
              <w:rPr>
                <w:lang w:val="pt-BR"/>
              </w:rPr>
              <w:t xml:space="preserve">0</w:t>
            </w:r>
          </w:p>
        </w:tc>
      </w:tr>
      <w:tr>
        <w:tc>
          <w:tcPr/>
          <w:p>
            <w:pPr>
              <w:pStyle w:val="Compact"/>
            </w:pPr>
            <w:r>
              <w:rPr>
                <w:lang w:val="pt-BR"/>
              </w:rPr>
              <w:t xml:space="preserve">Heraldização</w:t>
            </w:r>
          </w:p>
        </w:tc>
        <w:tc>
          <w:tcPr/>
          <w:p>
            <w:pPr>
              <w:pStyle w:val="Compact"/>
              <w:jc w:val="center"/>
            </w:pPr>
            <w:r>
              <w:rPr>
                <w:lang w:val="pt-BR"/>
              </w:rPr>
              <w:t xml:space="preserve">1</w:t>
            </w:r>
          </w:p>
        </w:tc>
        <w:tc>
          <w:tcPr/>
          <w:p>
            <w:pPr>
              <w:pStyle w:val="Compact"/>
              <w:jc w:val="center"/>
            </w:pPr>
            <w:r>
              <w:rPr>
                <w:lang w:val="pt-BR"/>
              </w:rPr>
              <w:t xml:space="preserve">3</w:t>
            </w:r>
          </w:p>
        </w:tc>
        <w:tc>
          <w:tcPr/>
          <w:p>
            <w:pPr>
              <w:pStyle w:val="Compact"/>
              <w:jc w:val="center"/>
            </w:pPr>
            <w:r>
              <w:rPr>
                <w:lang w:val="pt-BR"/>
              </w:rPr>
              <w:t xml:space="preserve">1</w:t>
            </w:r>
          </w:p>
        </w:tc>
        <w:tc>
          <w:tcPr/>
          <w:p>
            <w:pPr>
              <w:pStyle w:val="Compact"/>
              <w:jc w:val="center"/>
            </w:pPr>
            <w:r>
              <w:rPr>
                <w:lang w:val="pt-BR"/>
              </w:rPr>
              <w:t xml:space="preserve">0</w:t>
            </w:r>
          </w:p>
        </w:tc>
      </w:tr>
      <w:tr>
        <w:tc>
          <w:tcPr/>
          <w:p>
            <w:pPr>
              <w:pStyle w:val="Compact"/>
            </w:pPr>
            <w:r>
              <w:rPr>
                <w:lang w:val="pt-BR"/>
              </w:rPr>
              <w:t xml:space="preserve">Enquadramento arquitetônico</w:t>
            </w:r>
          </w:p>
        </w:tc>
        <w:tc>
          <w:tcPr/>
          <w:p>
            <w:pPr>
              <w:pStyle w:val="Compact"/>
              <w:jc w:val="center"/>
            </w:pPr>
            <w:r>
              <w:rPr>
                <w:lang w:val="pt-BR"/>
              </w:rPr>
              <w:t xml:space="preserve">2</w:t>
            </w:r>
          </w:p>
        </w:tc>
        <w:tc>
          <w:tcPr/>
          <w:p>
            <w:pPr>
              <w:pStyle w:val="Compact"/>
              <w:jc w:val="center"/>
            </w:pPr>
            <w:r>
              <w:rPr>
                <w:lang w:val="pt-BR"/>
              </w:rPr>
              <w:t xml:space="preserve">0</w:t>
            </w:r>
          </w:p>
        </w:tc>
        <w:tc>
          <w:tcPr/>
          <w:p>
            <w:pPr>
              <w:pStyle w:val="Compact"/>
              <w:jc w:val="center"/>
            </w:pPr>
            <w:r>
              <w:rPr>
                <w:lang w:val="pt-BR"/>
              </w:rPr>
              <w:t xml:space="preserve">0</w:t>
            </w:r>
          </w:p>
        </w:tc>
        <w:tc>
          <w:tcPr/>
          <w:p>
            <w:pPr>
              <w:pStyle w:val="Compact"/>
              <w:jc w:val="center"/>
            </w:pPr>
            <w:r>
              <w:rPr>
                <w:lang w:val="pt-BR"/>
              </w:rPr>
              <w:t xml:space="preserve">0</w:t>
            </w:r>
          </w:p>
        </w:tc>
      </w:tr>
      <w:tr>
        <w:tc>
          <w:tcPr/>
          <w:p>
            <w:pPr>
              <w:pStyle w:val="Compact"/>
            </w:pPr>
            <w:r>
              <w:rPr>
                <w:lang w:val="pt-BR"/>
              </w:rPr>
              <w:t xml:space="preserve">Apagamento narrativo</w:t>
            </w:r>
          </w:p>
        </w:tc>
        <w:tc>
          <w:tcPr/>
          <w:p>
            <w:pPr>
              <w:pStyle w:val="Compact"/>
              <w:jc w:val="center"/>
            </w:pPr>
            <w:r>
              <w:rPr>
                <w:lang w:val="pt-BR"/>
              </w:rPr>
              <w:t xml:space="preserve">3</w:t>
            </w:r>
          </w:p>
        </w:tc>
        <w:tc>
          <w:tcPr/>
          <w:p>
            <w:pPr>
              <w:pStyle w:val="Compact"/>
              <w:jc w:val="center"/>
            </w:pPr>
            <w:r>
              <w:rPr>
                <w:lang w:val="pt-BR"/>
              </w:rPr>
              <w:t xml:space="preserve">3</w:t>
            </w:r>
          </w:p>
        </w:tc>
        <w:tc>
          <w:tcPr/>
          <w:p>
            <w:pPr>
              <w:pStyle w:val="Compact"/>
              <w:jc w:val="center"/>
            </w:pPr>
            <w:r>
              <w:rPr>
                <w:lang w:val="pt-BR"/>
              </w:rPr>
              <w:t xml:space="preserve">2</w:t>
            </w:r>
          </w:p>
        </w:tc>
        <w:tc>
          <w:tcPr/>
          <w:p>
            <w:pPr>
              <w:pStyle w:val="Compact"/>
              <w:jc w:val="center"/>
            </w:pPr>
            <w:r>
              <w:rPr>
                <w:lang w:val="pt-BR"/>
              </w:rPr>
              <w:t xml:space="preserve">0</w:t>
            </w:r>
          </w:p>
        </w:tc>
      </w:tr>
      <w:tr>
        <w:tc>
          <w:tcPr/>
          <w:p>
            <w:pPr>
              <w:pStyle w:val="Compact"/>
            </w:pPr>
            <w:r>
              <w:rPr>
                <w:lang w:val="pt-BR"/>
              </w:rPr>
              <w:t xml:space="preserve">Monocromatização</w:t>
            </w:r>
          </w:p>
        </w:tc>
        <w:tc>
          <w:tcPr/>
          <w:p>
            <w:pPr>
              <w:pStyle w:val="Compact"/>
              <w:jc w:val="center"/>
            </w:pPr>
            <w:r>
              <w:rPr>
                <w:lang w:val="pt-BR"/>
              </w:rPr>
              <w:t xml:space="preserve">2</w:t>
            </w:r>
          </w:p>
        </w:tc>
        <w:tc>
          <w:tcPr/>
          <w:p>
            <w:pPr>
              <w:pStyle w:val="Compact"/>
              <w:jc w:val="center"/>
            </w:pPr>
            <w:r>
              <w:rPr>
                <w:lang w:val="pt-BR"/>
              </w:rPr>
              <w:t xml:space="preserve">2</w:t>
            </w:r>
          </w:p>
        </w:tc>
        <w:tc>
          <w:tcPr/>
          <w:p>
            <w:pPr>
              <w:pStyle w:val="Compact"/>
              <w:jc w:val="center"/>
            </w:pPr>
            <w:r>
              <w:rPr>
                <w:lang w:val="pt-BR"/>
              </w:rPr>
              <w:t xml:space="preserve">0</w:t>
            </w:r>
          </w:p>
        </w:tc>
        <w:tc>
          <w:tcPr/>
          <w:p>
            <w:pPr>
              <w:pStyle w:val="Compact"/>
              <w:jc w:val="center"/>
            </w:pPr>
            <w:r>
              <w:rPr>
                <w:lang w:val="pt-BR"/>
              </w:rPr>
              <w:t xml:space="preserve">0</w:t>
            </w:r>
          </w:p>
        </w:tc>
      </w:tr>
      <w:tr>
        <w:tc>
          <w:tcPr/>
          <w:p>
            <w:pPr>
              <w:pStyle w:val="Compact"/>
            </w:pPr>
            <w:r>
              <w:rPr>
                <w:lang w:val="pt-BR"/>
              </w:rPr>
              <w:t xml:space="preserve">Serialidade</w:t>
            </w:r>
          </w:p>
        </w:tc>
        <w:tc>
          <w:tcPr/>
          <w:p>
            <w:pPr>
              <w:pStyle w:val="Compact"/>
              <w:jc w:val="center"/>
            </w:pPr>
            <w:r>
              <w:rPr>
                <w:lang w:val="pt-BR"/>
              </w:rPr>
              <w:t xml:space="preserve">3</w:t>
            </w:r>
          </w:p>
        </w:tc>
        <w:tc>
          <w:tcPr/>
          <w:p>
            <w:pPr>
              <w:pStyle w:val="Compact"/>
              <w:jc w:val="center"/>
            </w:pPr>
            <w:r>
              <w:rPr>
                <w:lang w:val="pt-BR"/>
              </w:rPr>
              <w:t xml:space="preserve">3</w:t>
            </w:r>
          </w:p>
        </w:tc>
        <w:tc>
          <w:tcPr/>
          <w:p>
            <w:pPr>
              <w:pStyle w:val="Compact"/>
              <w:jc w:val="center"/>
            </w:pPr>
            <w:r>
              <w:rPr>
                <w:lang w:val="pt-BR"/>
              </w:rPr>
              <w:t xml:space="preserve">2</w:t>
            </w:r>
          </w:p>
        </w:tc>
        <w:tc>
          <w:tcPr/>
          <w:p>
            <w:pPr>
              <w:pStyle w:val="Compact"/>
              <w:jc w:val="center"/>
            </w:pPr>
            <w:r>
              <w:rPr>
                <w:lang w:val="pt-BR"/>
              </w:rPr>
              <w:t xml:space="preserve">0</w:t>
            </w:r>
          </w:p>
        </w:tc>
      </w:tr>
      <w:tr>
        <w:tc>
          <w:tcPr/>
          <w:p>
            <w:pPr>
              <w:pStyle w:val="Compact"/>
            </w:pPr>
            <w:r>
              <w:rPr>
                <w:lang w:val="pt-BR"/>
              </w:rPr>
              <w:t xml:space="preserve">Inscrição estatal</w:t>
            </w:r>
          </w:p>
        </w:tc>
        <w:tc>
          <w:tcPr/>
          <w:p>
            <w:pPr>
              <w:pStyle w:val="Compact"/>
              <w:jc w:val="center"/>
            </w:pPr>
            <w:r>
              <w:rPr>
                <w:lang w:val="pt-BR"/>
              </w:rPr>
              <w:t xml:space="preserve">3</w:t>
            </w:r>
          </w:p>
        </w:tc>
        <w:tc>
          <w:tcPr/>
          <w:p>
            <w:pPr>
              <w:pStyle w:val="Compact"/>
              <w:jc w:val="center"/>
            </w:pPr>
            <w:r>
              <w:rPr>
                <w:lang w:val="pt-BR"/>
              </w:rPr>
              <w:t xml:space="preserve">3</w:t>
            </w:r>
          </w:p>
        </w:tc>
        <w:tc>
          <w:tcPr/>
          <w:p>
            <w:pPr>
              <w:pStyle w:val="Compact"/>
              <w:jc w:val="center"/>
            </w:pPr>
            <w:r>
              <w:rPr>
                <w:lang w:val="pt-BR"/>
              </w:rPr>
              <w:t xml:space="preserve">1</w:t>
            </w:r>
          </w:p>
        </w:tc>
        <w:tc>
          <w:tcPr/>
          <w:p>
            <w:pPr>
              <w:pStyle w:val="Compact"/>
              <w:jc w:val="center"/>
            </w:pPr>
            <w:r>
              <w:rPr>
                <w:lang w:val="pt-BR"/>
              </w:rPr>
              <w:t xml:space="preserve">0</w:t>
            </w:r>
          </w:p>
        </w:tc>
      </w:tr>
      <w:tr>
        <w:tc>
          <w:tcPr/>
          <w:p>
            <w:pPr>
              <w:pStyle w:val="Compact"/>
            </w:pPr>
            <w:r>
              <w:rPr>
                <w:b/>
                <w:bCs/>
                <w:lang w:val="pt-BR"/>
              </w:rPr>
              <w:t xml:space="preserve">Score de Endurecimento</w:t>
            </w:r>
          </w:p>
        </w:tc>
        <w:tc>
          <w:tcPr/>
          <w:p>
            <w:pPr>
              <w:pStyle w:val="Compact"/>
              <w:jc w:val="center"/>
            </w:pPr>
            <w:r>
              <w:rPr>
                <w:b/>
                <w:bCs/>
                <w:lang w:val="pt-BR"/>
              </w:rPr>
              <w:t xml:space="preserve">2.2</w:t>
            </w:r>
          </w:p>
        </w:tc>
        <w:tc>
          <w:tcPr/>
          <w:p>
            <w:pPr>
              <w:pStyle w:val="Compact"/>
              <w:jc w:val="center"/>
            </w:pPr>
            <w:r>
              <w:rPr>
                <w:b/>
                <w:bCs/>
                <w:lang w:val="pt-BR"/>
              </w:rPr>
              <w:t xml:space="preserve">1.7</w:t>
            </w:r>
          </w:p>
        </w:tc>
        <w:tc>
          <w:tcPr/>
          <w:p>
            <w:pPr>
              <w:pStyle w:val="Compact"/>
              <w:jc w:val="center"/>
            </w:pPr>
            <w:r>
              <w:rPr>
                <w:b/>
                <w:bCs/>
                <w:lang w:val="pt-BR"/>
              </w:rPr>
              <w:t xml:space="preserve">1.3</w:t>
            </w:r>
          </w:p>
        </w:tc>
        <w:tc>
          <w:tcPr/>
          <w:p>
            <w:pPr>
              <w:pStyle w:val="Compact"/>
              <w:jc w:val="center"/>
            </w:pPr>
            <w:r>
              <w:rPr>
                <w:b/>
                <w:bCs/>
                <w:lang w:val="pt-BR"/>
              </w:rPr>
              <w:t xml:space="preserve">0.0</w:t>
            </w:r>
          </w:p>
        </w:tc>
      </w:tr>
    </w:tbl>
    <w:p>
      <w:pPr>
        <w:pStyle w:val="BodyText"/>
      </w:pPr>
      <w:r>
        <w:rPr>
          <w:lang w:val="pt-BR"/>
        </w:rPr>
        <w:t xml:space="preserve">Os resultados demonstram a correlação direta entre o nível de</w:t>
      </w:r>
      <w:r>
        <w:rPr>
          <w:lang w:val="pt-BR"/>
        </w:rPr>
        <w:t xml:space="preserve"> </w:t>
      </w:r>
      <w:r>
        <w:rPr>
          <w:lang w:val="pt-BR"/>
        </w:rPr>
        <w:t xml:space="preserve">“universalidade jurídica”</w:t>
      </w:r>
      <w:r>
        <w:rPr>
          <w:lang w:val="pt-BR"/>
        </w:rPr>
        <w:t xml:space="preserve"> </w:t>
      </w:r>
      <w:r>
        <w:rPr>
          <w:lang w:val="pt-BR"/>
        </w:rPr>
        <w:t xml:space="preserve">exigida pela peça e seu endurecimento. O</w:t>
      </w:r>
      <w:r>
        <w:rPr>
          <w:lang w:val="pt-BR"/>
        </w:rPr>
        <w:t xml:space="preserve"> </w:t>
      </w:r>
      <w:r>
        <w:rPr>
          <w:i/>
          <w:iCs/>
          <w:lang w:val="pt-BR"/>
        </w:rPr>
        <w:t xml:space="preserve">Brasão da República</w:t>
      </w:r>
      <w:r>
        <w:rPr>
          <w:lang w:val="pt-BR"/>
        </w:rPr>
        <w:t xml:space="preserve"> </w:t>
      </w:r>
      <w:r>
        <w:rPr>
          <w:lang w:val="pt-BR"/>
        </w:rPr>
        <w:t xml:space="preserve">(SCOUT-562), dispositivo normativo por excelência, concentra-se no eixo de formalização burocrática — heraldização, apagamento narrativo, serialidade e inscrição estatal no grau máximo — e atinge score 1,7 [VERIFICAR: valor canônico corrigido em 2026-09-22; impressões anteriores deste capítulo traziam 3,0, herdado de uma sessão de codificação de junho já retificada no ledger]. No extremo oposto, a</w:t>
      </w:r>
      <w:r>
        <w:rPr>
          <w:lang w:val="pt-BR"/>
        </w:rPr>
        <w:t xml:space="preserve"> </w:t>
      </w:r>
      <w:r>
        <w:rPr>
          <w:i/>
          <w:iCs/>
          <w:lang w:val="pt-BR"/>
        </w:rPr>
        <w:t xml:space="preserve">Navigation et Commerce</w:t>
      </w:r>
      <w:r>
        <w:rPr>
          <w:lang w:val="pt-BR"/>
        </w:rPr>
        <w:t xml:space="preserve"> </w:t>
      </w:r>
      <w:r>
        <w:rPr>
          <w:lang w:val="pt-BR"/>
        </w:rPr>
        <w:t xml:space="preserve">(FR-094) atinge score basal (0,0), preservando a textura corpórea de seus modelos vivos. O gradiente quantitativo subsidia as conclusões qualitativas, vinculando a não-abstração aos processos de dominação hídrica e comércio ultramarino.</w:t>
      </w:r>
    </w:p>
    <w:bookmarkEnd w:id="110"/>
    <w:bookmarkEnd w:id="111"/>
    <w:bookmarkEnd w:id="112"/>
    <w:bookmarkStart w:id="120" w:name="X10f02d5973796b069f9647a2ec35b651950acf3"/>
    <w:p>
      <w:pPr>
        <w:pStyle w:val="Heading1"/>
      </w:pPr>
      <w:r>
        <w:rPr>
          <w:rStyle w:val="SectionNumber"/>
          <w:lang w:val="pt-BR"/>
        </w:rPr>
        <w:t xml:space="preserve">8</w:t>
      </w:r>
      <w:r>
        <w:tab/>
      </w:r>
      <w:r>
        <w:rPr>
          <w:lang w:val="pt-BR"/>
        </w:rPr>
        <w:t xml:space="preserve">Capítulo 7 — Análise Qualitativa: Iconologia de Casos Paradigmáticos</w:t>
      </w:r>
    </w:p>
    <w:p>
      <w:pPr>
        <w:pStyle w:val="BlockText"/>
      </w:pPr>
      <w:r>
        <w:rPr>
          <w:b/>
          <w:bCs/>
          <w:lang w:val="pt-BR"/>
        </w:rPr>
        <w:t xml:space="preserve">Estado:</w:t>
      </w:r>
      <w:r>
        <w:rPr>
          <w:lang w:val="pt-BR"/>
        </w:rPr>
        <w:t xml:space="preserve"> </w:t>
      </w:r>
      <w:r>
        <w:rPr>
          <w:lang w:val="pt-BR"/>
        </w:rPr>
        <w:t xml:space="preserve">rascunho autoral revisado em 2026-07-08, redigido a partir dos registros codificados do</w:t>
      </w:r>
      <w:r>
        <w:rPr>
          <w:lang w:val="pt-BR"/>
        </w:rPr>
        <w:t xml:space="preserve"> </w:t>
      </w:r>
      <w:r>
        <w:rPr>
          <w:lang w:val="pt-BR"/>
        </w:rPr>
        <w:t xml:space="preserve">corpus ICONOCRACIA (</w:t>
      </w:r>
      <w:r>
        <w:rPr>
          <w:rStyle w:val="VerbatimChar"/>
          <w:lang w:val="pt-BR"/>
        </w:rPr>
        <w:t xml:space="preserve">data/processed/records.jsonl</w:t>
      </w:r>
      <w:r>
        <w:rPr>
          <w:lang w:val="pt-BR"/>
        </w:rPr>
        <w:t xml:space="preserve"> </w:t>
      </w:r>
      <w:r>
        <w:rPr>
          <w:lang w:val="pt-BR"/>
        </w:rPr>
        <w:t xml:space="preserve">/</w:t>
      </w:r>
      <w:r>
        <w:rPr>
          <w:lang w:val="pt-BR"/>
        </w:rPr>
        <w:t xml:space="preserve"> </w:t>
      </w:r>
      <w:r>
        <w:rPr>
          <w:rStyle w:val="VerbatimChar"/>
          <w:lang w:val="pt-BR"/>
        </w:rPr>
        <w:t xml:space="preserve">purification.jsonl</w:t>
      </w:r>
      <w:r>
        <w:rPr>
          <w:lang w:val="pt-BR"/>
        </w:rPr>
        <w:t xml:space="preserve">) e da moldura teórica dos</w:t>
      </w:r>
      <w:r>
        <w:rPr>
          <w:lang w:val="pt-BR"/>
        </w:rPr>
        <w:t xml:space="preserve"> </w:t>
      </w:r>
      <w:r>
        <w:rPr>
          <w:lang w:val="pt-BR"/>
        </w:rPr>
        <w:t xml:space="preserve">Caps. 1, 2 e 3. Onde o corpus não sustenta uma afirmação, o texto não a converte em resultado: ou a</w:t>
      </w:r>
      <w:r>
        <w:rPr>
          <w:lang w:val="pt-BR"/>
        </w:rPr>
        <w:t xml:space="preserve"> </w:t>
      </w:r>
      <w:r>
        <w:rPr>
          <w:lang w:val="pt-BR"/>
        </w:rPr>
        <w:t xml:space="preserve">trata como leitura qualitativa sem escore, ou a rebaixa explicitamente a excursus bibliográfico.</w:t>
      </w:r>
    </w:p>
    <w:p>
      <w:pPr>
        <w:pStyle w:val="FirstParagraph"/>
      </w:pPr>
      <w:r>
        <w:rPr>
          <w:lang w:val="pt-BR"/>
        </w:rPr>
        <w:t xml:space="preserve">Se os capítulos anteriores estabeleceram a moldura — o Contrato Sexual Visual (Cap. 1), a</w:t>
      </w:r>
      <w:r>
        <w:rPr>
          <w:lang w:val="pt-BR"/>
        </w:rPr>
        <w:t xml:space="preserve"> </w:t>
      </w:r>
      <w:r>
        <w:rPr>
          <w:lang w:val="pt-BR"/>
        </w:rPr>
        <w:t xml:space="preserve">Feminilidade de Estado e a tipologia dos regimes iconocráticos (Cap. 2), o Contrato Racial Visual</w:t>
      </w:r>
      <w:r>
        <w:rPr>
          <w:lang w:val="pt-BR"/>
        </w:rPr>
        <w:t xml:space="preserve"> </w:t>
      </w:r>
      <w:r>
        <w:rPr>
          <w:lang w:val="pt-BR"/>
        </w:rPr>
        <w:t xml:space="preserve">(Cap. 3) — e o Capítulo 6 mediu a distribuição do endurecimento sobre a amostra, este capítulo faz</w:t>
      </w:r>
      <w:r>
        <w:rPr>
          <w:lang w:val="pt-BR"/>
        </w:rPr>
        <w:t xml:space="preserve"> </w:t>
      </w:r>
      <w:r>
        <w:rPr>
          <w:lang w:val="pt-BR"/>
        </w:rPr>
        <w:t xml:space="preserve">o movimento inverso: desce ao caso singular. A iconometria responde</w:t>
      </w:r>
      <w:r>
        <w:rPr>
          <w:lang w:val="pt-BR"/>
        </w:rPr>
        <w:t xml:space="preserve"> </w:t>
      </w:r>
      <w:r>
        <w:rPr>
          <w:i/>
          <w:iCs/>
          <w:lang w:val="pt-BR"/>
        </w:rPr>
        <w:t xml:space="preserve">quanto</w:t>
      </w:r>
      <w:r>
        <w:rPr>
          <w:lang w:val="pt-BR"/>
        </w:rPr>
        <w:t xml:space="preserve">; a iconologia responde</w:t>
      </w:r>
      <w:r>
        <w:rPr>
          <w:lang w:val="pt-BR"/>
        </w:rPr>
        <w:t xml:space="preserve"> </w:t>
      </w:r>
      <w:r>
        <w:rPr>
          <w:i/>
          <w:iCs/>
          <w:lang w:val="pt-BR"/>
        </w:rPr>
        <w:t xml:space="preserve">como</w:t>
      </w:r>
      <w:r>
        <w:rPr>
          <w:lang w:val="pt-BR"/>
        </w:rPr>
        <w:t xml:space="preserve"> </w:t>
      </w:r>
      <w:r>
        <w:rPr>
          <w:lang w:val="pt-BR"/>
        </w:rPr>
        <w:t xml:space="preserve">e</w:t>
      </w:r>
      <w:r>
        <w:rPr>
          <w:lang w:val="pt-BR"/>
        </w:rPr>
        <w:t xml:space="preserve"> </w:t>
      </w:r>
      <w:r>
        <w:rPr>
          <w:i/>
          <w:iCs/>
          <w:lang w:val="pt-BR"/>
        </w:rPr>
        <w:t xml:space="preserve">por quê</w:t>
      </w:r>
      <w:r>
        <w:rPr>
          <w:lang w:val="pt-BR"/>
        </w:rPr>
        <w:t xml:space="preserve">. Cada seção que se segue toma um caso paradigmático, submete-o aos três níveis de</w:t>
      </w:r>
      <w:r>
        <w:rPr>
          <w:lang w:val="pt-BR"/>
        </w:rPr>
        <w:t xml:space="preserve"> </w:t>
      </w:r>
      <w:r>
        <w:rPr>
          <w:lang w:val="pt-BR"/>
        </w:rPr>
        <w:t xml:space="preserve">leitura de Panofsky</w:t>
      </w:r>
      <w:r>
        <w:rPr>
          <w:lang w:val="pt-BR"/>
        </w:rPr>
        <w:t xml:space="preserve"> </w:t>
      </w:r>
      <w:r>
        <w:rPr>
          <w:lang w:val="pt-BR"/>
        </w:rPr>
        <w:t xml:space="preserve">(Panofsky, 1939)</w:t>
      </w:r>
      <w:r>
        <w:rPr>
          <w:lang w:val="pt-BR"/>
        </w:rPr>
        <w:t xml:space="preserve"> </w:t>
      </w:r>
      <w:r>
        <w:rPr>
          <w:lang w:val="pt-BR"/>
        </w:rPr>
        <w:t xml:space="preserve">— pré-iconográfico (descrição formal), iconográfico</w:t>
      </w:r>
      <w:r>
        <w:rPr>
          <w:lang w:val="pt-BR"/>
        </w:rPr>
        <w:t xml:space="preserve"> </w:t>
      </w:r>
      <w:r>
        <w:rPr>
          <w:lang w:val="pt-BR"/>
        </w:rPr>
        <w:t xml:space="preserve">(identificação temática) e iconológico (significado intrínseco) — e cruza essa leitura com o vetor</w:t>
      </w:r>
      <w:r>
        <w:rPr>
          <w:lang w:val="pt-BR"/>
        </w:rPr>
        <w:t xml:space="preserve"> </w:t>
      </w:r>
      <w:r>
        <w:rPr>
          <w:lang w:val="pt-BR"/>
        </w:rPr>
        <w:t xml:space="preserve">de dez indicadores de endurecimento apurado para o item no corpus. O escore composto</w:t>
      </w:r>
      <w:r>
        <w:rPr>
          <w:lang w:val="pt-BR"/>
        </w:rPr>
        <w:t xml:space="preserve"> </w:t>
      </w:r>
      <w:r>
        <w:rPr>
          <w:lang w:val="pt-BR"/>
        </w:rPr>
        <w:t xml:space="preserve">(</w:t>
      </w:r>
      <w:r>
        <w:rPr>
          <w:rStyle w:val="VerbatimChar"/>
          <w:lang w:val="pt-BR"/>
        </w:rPr>
        <w:t xml:space="preserve">purificacao_composto</w:t>
      </w:r>
      <w:r>
        <w:rPr>
          <w:lang w:val="pt-BR"/>
        </w:rPr>
        <w:t xml:space="preserve">, média ordinal de 0 a 3) não é aqui a conclusão, mas a âncora empírica que</w:t>
      </w:r>
      <w:r>
        <w:rPr>
          <w:lang w:val="pt-BR"/>
        </w:rPr>
        <w:t xml:space="preserve"> </w:t>
      </w:r>
      <w:r>
        <w:rPr>
          <w:lang w:val="pt-BR"/>
        </w:rPr>
        <w:t xml:space="preserve">impede a leitura iconológica de derivar em impressionismo. Nos registros ainda marcados como</w:t>
      </w:r>
      <w:r>
        <w:rPr>
          <w:lang w:val="pt-BR"/>
        </w:rPr>
        <w:t xml:space="preserve"> </w:t>
      </w:r>
      <w:r>
        <w:rPr>
          <w:rStyle w:val="VerbatimChar"/>
          <w:lang w:val="pt-BR"/>
        </w:rPr>
        <w:t xml:space="preserve">PENDING_REVIEW</w:t>
      </w:r>
      <w:r>
        <w:rPr>
          <w:lang w:val="pt-BR"/>
        </w:rPr>
        <w:t xml:space="preserve">, esse número aparece apenas como orientação heurística: a materialidade do item pode</w:t>
      </w:r>
      <w:r>
        <w:rPr>
          <w:lang w:val="pt-BR"/>
        </w:rPr>
        <w:t xml:space="preserve"> </w:t>
      </w:r>
      <w:r>
        <w:rPr>
          <w:lang w:val="pt-BR"/>
        </w:rPr>
        <w:t xml:space="preserve">ser usada qualitativamente, mas o escore não é tratado como codificação validada.</w:t>
      </w:r>
    </w:p>
    <w:p>
      <w:pPr>
        <w:pStyle w:val="BodyText"/>
      </w:pPr>
      <w:r>
        <w:rPr>
          <w:lang w:val="pt-BR"/>
        </w:rPr>
        <w:t xml:space="preserve">Cada seção abre com a sua</w:t>
      </w:r>
      <w:r>
        <w:rPr>
          <w:lang w:val="pt-BR"/>
        </w:rPr>
        <w:t xml:space="preserve"> </w:t>
      </w:r>
      <w:r>
        <w:rPr>
          <w:b/>
          <w:bCs/>
          <w:lang w:val="pt-BR"/>
        </w:rPr>
        <w:t xml:space="preserve">tese parcial</w:t>
      </w:r>
      <w:r>
        <w:rPr>
          <w:lang w:val="pt-BR"/>
        </w:rPr>
        <w:t xml:space="preserve"> </w:t>
      </w:r>
      <w:r>
        <w:rPr>
          <w:lang w:val="pt-BR"/>
        </w:rPr>
        <w:t xml:space="preserve">— uma proposição jurídico-visual falsificável, e não uma</w:t>
      </w:r>
      <w:r>
        <w:rPr>
          <w:lang w:val="pt-BR"/>
        </w:rPr>
        <w:t xml:space="preserve"> </w:t>
      </w:r>
      <w:r>
        <w:rPr>
          <w:lang w:val="pt-BR"/>
        </w:rPr>
        <w:t xml:space="preserve">descrição —, porque o risco maior de um capítulo de casos não é o erro, mas o descritivismo: a</w:t>
      </w:r>
      <w:r>
        <w:rPr>
          <w:lang w:val="pt-BR"/>
        </w:rPr>
        <w:t xml:space="preserve"> </w:t>
      </w:r>
      <w:r>
        <w:rPr>
          <w:lang w:val="pt-BR"/>
        </w:rPr>
        <w:t xml:space="preserve">sucessão de belas leituras sem argumento. As seções percorrem, deliberadamente, os quatro regimes</w:t>
      </w:r>
      <w:r>
        <w:rPr>
          <w:lang w:val="pt-BR"/>
        </w:rPr>
        <w:t xml:space="preserve"> </w:t>
      </w:r>
      <w:r>
        <w:rPr>
          <w:lang w:val="pt-BR"/>
        </w:rPr>
        <w:t xml:space="preserve">iconocráticos: da alegoria fundacional que ainda respira (Marianne na barricada) ao teto normativo</w:t>
      </w:r>
      <w:r>
        <w:rPr>
          <w:lang w:val="pt-BR"/>
        </w:rPr>
        <w:t xml:space="preserve"> </w:t>
      </w:r>
      <w:r>
        <w:rPr>
          <w:lang w:val="pt-BR"/>
        </w:rPr>
        <w:t xml:space="preserve">de pedra (o Palais de Justice de Bruxelas), do endurecimento militar (a Piastre, a Justiça de</w:t>
      </w:r>
      <w:r>
        <w:rPr>
          <w:lang w:val="pt-BR"/>
        </w:rPr>
        <w:t xml:space="preserve"> </w:t>
      </w:r>
      <w:r>
        <w:rPr>
          <w:lang w:val="pt-BR"/>
        </w:rPr>
        <w:t xml:space="preserve">Ceschiatti) à contra-alegoria que devolve o corpo à figura (a Marianne mutilada de 2018).</w:t>
      </w:r>
    </w:p>
    <w:bookmarkStart w:id="114" w:name="marianne-da-barricada-ao-selo"/>
    <w:p>
      <w:pPr>
        <w:pStyle w:val="Heading2"/>
      </w:pPr>
      <w:r>
        <w:rPr>
          <w:rStyle w:val="SectionNumber"/>
          <w:lang w:val="pt-BR"/>
        </w:rPr>
        <w:t xml:space="preserve">8.1</w:t>
      </w:r>
      <w:r>
        <w:tab/>
      </w:r>
      <w:r>
        <w:rPr>
          <w:lang w:val="pt-BR"/>
        </w:rPr>
        <w:t xml:space="preserve">7.1 — Marianne: da barricada ao selo</w:t>
      </w:r>
    </w:p>
    <w:p>
      <w:pPr>
        <w:pStyle w:val="BlockText"/>
      </w:pPr>
      <w:r>
        <w:rPr>
          <w:b/>
          <w:bCs/>
          <w:lang w:val="pt-BR"/>
        </w:rPr>
        <w:t xml:space="preserve">Tese parcial.</w:t>
      </w:r>
      <w:r>
        <w:rPr>
          <w:lang w:val="pt-BR"/>
        </w:rPr>
        <w:t xml:space="preserve"> </w:t>
      </w:r>
      <w:r>
        <w:rPr>
          <w:lang w:val="pt-BR"/>
        </w:rPr>
        <w:t xml:space="preserve">O arco de Marianne — do corpo insurgente de Delacroix (1830) à Semeuse serial do</w:t>
      </w:r>
      <w:r>
        <w:rPr>
          <w:lang w:val="pt-BR"/>
        </w:rPr>
        <w:t xml:space="preserve"> </w:t>
      </w:r>
      <w:r>
        <w:rPr>
          <w:lang w:val="pt-BR"/>
        </w:rPr>
        <w:t xml:space="preserve">selo definitivo (1903) e à Marianne assentada da Piastre colonial (1885) — é a demonstração</w:t>
      </w:r>
      <w:r>
        <w:rPr>
          <w:lang w:val="pt-BR"/>
        </w:rPr>
        <w:t xml:space="preserve"> </w:t>
      </w:r>
      <w:r>
        <w:rPr>
          <w:lang w:val="pt-BR"/>
        </w:rPr>
        <w:t xml:space="preserve">longitudinal mais nítida da Purificação Clássica: um mesmo motivo nacional percorre, em oito</w:t>
      </w:r>
      <w:r>
        <w:rPr>
          <w:lang w:val="pt-BR"/>
        </w:rPr>
        <w:t xml:space="preserve"> </w:t>
      </w:r>
      <w:r>
        <w:rPr>
          <w:lang w:val="pt-BR"/>
        </w:rPr>
        <w:t xml:space="preserve">décadas, todo o gradiente de endurecimento, e o faz na razão inversa de sua carga narrativa. Quanto</w:t>
      </w:r>
      <w:r>
        <w:rPr>
          <w:lang w:val="pt-BR"/>
        </w:rPr>
        <w:t xml:space="preserve"> </w:t>
      </w:r>
      <w:r>
        <w:rPr>
          <w:lang w:val="pt-BR"/>
        </w:rPr>
        <w:t xml:space="preserve">menos a figura</w:t>
      </w:r>
      <w:r>
        <w:rPr>
          <w:lang w:val="pt-BR"/>
        </w:rPr>
        <w:t xml:space="preserve"> </w:t>
      </w:r>
      <w:r>
        <w:rPr>
          <w:i/>
          <w:iCs/>
          <w:lang w:val="pt-BR"/>
        </w:rPr>
        <w:t xml:space="preserve">conta uma história</w:t>
      </w:r>
      <w:r>
        <w:rPr>
          <w:lang w:val="pt-BR"/>
        </w:rPr>
        <w:t xml:space="preserve">, mais ela</w:t>
      </w:r>
      <w:r>
        <w:rPr>
          <w:lang w:val="pt-BR"/>
        </w:rPr>
        <w:t xml:space="preserve"> </w:t>
      </w:r>
      <w:r>
        <w:rPr>
          <w:i/>
          <w:iCs/>
          <w:lang w:val="pt-BR"/>
        </w:rPr>
        <w:t xml:space="preserve">fixa uma norma</w:t>
      </w:r>
      <w:r>
        <w:rPr>
          <w:lang w:val="pt-BR"/>
        </w:rPr>
        <w:t xml:space="preserve">.</w:t>
      </w:r>
    </w:p>
    <w:p>
      <w:pPr>
        <w:pStyle w:val="FirstParagraph"/>
      </w:pPr>
      <w:r>
        <w:rPr>
          <w:lang w:val="pt-BR"/>
        </w:rPr>
        <w:t xml:space="preserve">No nível pré-iconográfico,</w:t>
      </w:r>
      <w:r>
        <w:rPr>
          <w:lang w:val="pt-BR"/>
        </w:rPr>
        <w:t xml:space="preserve"> </w:t>
      </w:r>
      <w:r>
        <w:rPr>
          <w:i/>
          <w:iCs/>
          <w:lang w:val="pt-BR"/>
        </w:rPr>
        <w:t xml:space="preserve">La Liberté guidant le peuple</w:t>
      </w:r>
      <w:r>
        <w:rPr>
          <w:lang w:val="pt-BR"/>
        </w:rPr>
        <w:t xml:space="preserve"> </w:t>
      </w:r>
      <w:r>
        <w:rPr>
          <w:lang w:val="pt-BR"/>
        </w:rPr>
        <w:t xml:space="preserve">(Delacroix, 1830; corpus item</w:t>
      </w:r>
      <w:r>
        <w:rPr>
          <w:lang w:val="pt-BR"/>
        </w:rPr>
        <w:t xml:space="preserve"> </w:t>
      </w:r>
      <w:r>
        <w:rPr>
          <w:rStyle w:val="VerbatimChar"/>
          <w:lang w:val="pt-BR"/>
        </w:rPr>
        <w:t xml:space="preserve">ee616189</w:t>
      </w:r>
      <w:r>
        <w:rPr>
          <w:lang w:val="pt-BR"/>
        </w:rPr>
        <w:t xml:space="preserve">)</w:t>
      </w:r>
      <w:r>
        <w:rPr>
          <w:lang w:val="pt-BR"/>
        </w:rPr>
        <w:t xml:space="preserve"> </w:t>
      </w:r>
      <w:r>
        <w:rPr>
          <w:lang w:val="pt-BR"/>
        </w:rPr>
        <w:t xml:space="preserve">apresenta um corpo feminino em movimento diagonal ascendente, seio desnudo, braço erguido empunhando</w:t>
      </w:r>
      <w:r>
        <w:rPr>
          <w:lang w:val="pt-BR"/>
        </w:rPr>
        <w:t xml:space="preserve"> </w:t>
      </w:r>
      <w:r>
        <w:rPr>
          <w:lang w:val="pt-BR"/>
        </w:rPr>
        <w:t xml:space="preserve">a bandeira tricolor, pé avançando sobre a barricada e sobre corpos caídos. É um corpo com peso,</w:t>
      </w:r>
      <w:r>
        <w:rPr>
          <w:lang w:val="pt-BR"/>
        </w:rPr>
        <w:t xml:space="preserve"> </w:t>
      </w:r>
      <w:r>
        <w:rPr>
          <w:lang w:val="pt-BR"/>
        </w:rPr>
        <w:t xml:space="preserve">sombra, torção — um corpo</w:t>
      </w:r>
      <w:r>
        <w:rPr>
          <w:lang w:val="pt-BR"/>
        </w:rPr>
        <w:t xml:space="preserve"> </w:t>
      </w:r>
      <w:r>
        <w:rPr>
          <w:i/>
          <w:iCs/>
          <w:lang w:val="pt-BR"/>
        </w:rPr>
        <w:t xml:space="preserve">vivo</w:t>
      </w:r>
      <w:r>
        <w:rPr>
          <w:lang w:val="pt-BR"/>
        </w:rPr>
        <w:t xml:space="preserve">. O vetor de indicadores registra esse fato: desincorporação 0,</w:t>
      </w:r>
      <w:r>
        <w:rPr>
          <w:lang w:val="pt-BR"/>
        </w:rPr>
        <w:t xml:space="preserve"> </w:t>
      </w:r>
      <w:r>
        <w:rPr>
          <w:lang w:val="pt-BR"/>
        </w:rPr>
        <w:t xml:space="preserve">dessexualização 0, rigidez postural 0, apagamento narrativo 0 (escore composto 0,1). Iconograficamente,</w:t>
      </w:r>
      <w:r>
        <w:rPr>
          <w:lang w:val="pt-BR"/>
        </w:rPr>
        <w:t xml:space="preserve"> </w:t>
      </w:r>
      <w:r>
        <w:rPr>
          <w:lang w:val="pt-BR"/>
        </w:rPr>
        <w:t xml:space="preserve">a figura é identificável como a Liberdade pelo barrete frígio; iconologicamente, ela pertence ao</w:t>
      </w:r>
      <w:r>
        <w:rPr>
          <w:lang w:val="pt-BR"/>
        </w:rPr>
        <w:t xml:space="preserve"> </w:t>
      </w:r>
      <w:r>
        <w:rPr>
          <w:lang w:val="pt-BR"/>
        </w:rPr>
        <w:t xml:space="preserve">regime</w:t>
      </w:r>
      <w:r>
        <w:rPr>
          <w:lang w:val="pt-BR"/>
        </w:rPr>
        <w:t xml:space="preserve"> </w:t>
      </w:r>
      <w:r>
        <w:rPr>
          <w:b/>
          <w:bCs/>
          <w:lang w:val="pt-BR"/>
        </w:rPr>
        <w:t xml:space="preserve">fundacional</w:t>
      </w:r>
      <w:r>
        <w:rPr>
          <w:lang w:val="pt-BR"/>
        </w:rPr>
        <w:t xml:space="preserve">, aquele em que a alegoria ainda partilha da carne mortal que convoca — a</w:t>
      </w:r>
      <w:r>
        <w:rPr>
          <w:lang w:val="pt-BR"/>
        </w:rPr>
        <w:t xml:space="preserve"> </w:t>
      </w:r>
      <w:r>
        <w:rPr>
          <w:lang w:val="pt-BR"/>
        </w:rPr>
        <w:t xml:space="preserve">Pathosformel</w:t>
      </w:r>
      <w:r>
        <w:rPr>
          <w:lang w:val="pt-BR"/>
        </w:rPr>
        <w:t xml:space="preserve"> </w:t>
      </w:r>
      <w:r>
        <w:rPr>
          <w:lang w:val="pt-BR"/>
        </w:rPr>
        <w:t xml:space="preserve">(Warburg, 2000)</w:t>
      </w:r>
      <w:r>
        <w:rPr>
          <w:lang w:val="pt-BR"/>
        </w:rPr>
        <w:t xml:space="preserve"> </w:t>
      </w:r>
      <w:r>
        <w:rPr>
          <w:lang w:val="pt-BR"/>
        </w:rPr>
        <w:t xml:space="preserve">da insurreição, energia afetiva em estado bruto, anterior a qualquer</w:t>
      </w:r>
      <w:r>
        <w:rPr>
          <w:lang w:val="pt-BR"/>
        </w:rPr>
        <w:t xml:space="preserve"> </w:t>
      </w:r>
      <w:r>
        <w:rPr>
          <w:lang w:val="pt-BR"/>
        </w:rPr>
        <w:t xml:space="preserve">domesticação burocrática.</w:t>
      </w:r>
    </w:p>
    <w:p>
      <w:pPr>
        <w:pStyle w:val="BodyText"/>
      </w:pPr>
      <w:r>
        <w:rPr>
          <w:lang w:val="pt-BR"/>
        </w:rPr>
        <w:t xml:space="preserve">Meio século depois, o</w:t>
      </w:r>
      <w:r>
        <w:rPr>
          <w:lang w:val="pt-BR"/>
        </w:rPr>
        <w:t xml:space="preserve"> </w:t>
      </w:r>
      <w:r>
        <w:rPr>
          <w:i/>
          <w:iCs/>
          <w:lang w:val="pt-BR"/>
        </w:rPr>
        <w:t xml:space="preserve">selo definitivo</w:t>
      </w:r>
      <w:r>
        <w:rPr>
          <w:lang w:val="pt-BR"/>
        </w:rPr>
        <w:t xml:space="preserve"> </w:t>
      </w:r>
      <w:r>
        <w:rPr>
          <w:lang w:val="pt-BR"/>
        </w:rPr>
        <w:t xml:space="preserve">com a Semeuse de Louis-Oscar Roty (gravura de Mouchon,</w:t>
      </w:r>
      <w:r>
        <w:rPr>
          <w:lang w:val="pt-BR"/>
        </w:rPr>
        <w:t xml:space="preserve"> </w:t>
      </w:r>
      <w:r>
        <w:rPr>
          <w:lang w:val="pt-BR"/>
        </w:rPr>
        <w:t xml:space="preserve">1903–1960; corpus item</w:t>
      </w:r>
      <w:r>
        <w:rPr>
          <w:lang w:val="pt-BR"/>
        </w:rPr>
        <w:t xml:space="preserve"> </w:t>
      </w:r>
      <w:r>
        <w:rPr>
          <w:rStyle w:val="VerbatimChar"/>
          <w:lang w:val="pt-BR"/>
        </w:rPr>
        <w:t xml:space="preserve">4e0ca57a</w:t>
      </w:r>
      <w:r>
        <w:rPr>
          <w:lang w:val="pt-BR"/>
        </w:rPr>
        <w:t xml:space="preserve"> </w:t>
      </w:r>
      <w:r>
        <w:rPr>
          <w:lang w:val="pt-BR"/>
        </w:rPr>
        <w:t xml:space="preserve">— objeto distinto da Semeuse-</w:t>
      </w:r>
      <w:r>
        <w:rPr>
          <w:i/>
          <w:iCs/>
          <w:lang w:val="pt-BR"/>
        </w:rPr>
        <w:t xml:space="preserve">moeda</w:t>
      </w:r>
      <w:r>
        <w:rPr>
          <w:lang w:val="pt-BR"/>
        </w:rPr>
        <w:t xml:space="preserve"> </w:t>
      </w:r>
      <w:r>
        <w:rPr>
          <w:lang w:val="pt-BR"/>
        </w:rPr>
        <w:t xml:space="preserve">de 1 franc de 1897,</w:t>
      </w:r>
      <w:r>
        <w:rPr>
          <w:lang w:val="pt-BR"/>
        </w:rPr>
        <w:t xml:space="preserve"> </w:t>
      </w:r>
      <w:r>
        <w:rPr>
          <w:lang w:val="pt-BR"/>
        </w:rPr>
        <w:t xml:space="preserve">FR-SEM-1898, composto 2,5 no registro atual [VERIFICAR: o texto e o Cap. 9 usavam 2,7, estimado</w:t>
      </w:r>
      <w:r>
        <w:rPr>
          <w:lang w:val="pt-BR"/>
        </w:rPr>
        <w:t xml:space="preserve"> </w:t>
      </w:r>
      <w:r>
        <w:rPr>
          <w:lang w:val="pt-BR"/>
        </w:rPr>
        <w:t xml:space="preserve">pré-codificação; conferir contra o ledger antes da entrega]) mostra outra coisa. A figura caminha, sim, mas o gesto de semear</w:t>
      </w:r>
      <w:r>
        <w:rPr>
          <w:lang w:val="pt-BR"/>
        </w:rPr>
        <w:t xml:space="preserve"> </w:t>
      </w:r>
      <w:r>
        <w:rPr>
          <w:lang w:val="pt-BR"/>
        </w:rPr>
        <w:t xml:space="preserve">é congelado num perfil heráldico, repetido idêntico em bilhões de exemplares postais por quase</w:t>
      </w:r>
      <w:r>
        <w:rPr>
          <w:lang w:val="pt-BR"/>
        </w:rPr>
        <w:t xml:space="preserve"> </w:t>
      </w:r>
      <w:r>
        <w:rPr>
          <w:lang w:val="pt-BR"/>
        </w:rPr>
        <w:t xml:space="preserve">sessenta anos. O registro confirma título, suporte, data, URL e citação ABNT; sua codificação de</w:t>
      </w:r>
      <w:r>
        <w:rPr>
          <w:lang w:val="pt-BR"/>
        </w:rPr>
        <w:t xml:space="preserve"> </w:t>
      </w:r>
      <w:r>
        <w:rPr>
          <w:lang w:val="pt-BR"/>
        </w:rPr>
        <w:t xml:space="preserve">endurecimento, porém, ainda vem do lote heurístico</w:t>
      </w:r>
      <w:r>
        <w:rPr>
          <w:lang w:val="pt-BR"/>
        </w:rPr>
        <w:t xml:space="preserve"> </w:t>
      </w:r>
      <w:r>
        <w:rPr>
          <w:rStyle w:val="VerbatimChar"/>
          <w:lang w:val="pt-BR"/>
        </w:rPr>
        <w:t xml:space="preserve">batch-tentative-2026-04-25</w:t>
      </w:r>
      <w:r>
        <w:rPr>
          <w:lang w:val="pt-BR"/>
        </w:rPr>
        <w:t xml:space="preserve">. Por isso, o composto</w:t>
      </w:r>
      <w:r>
        <w:rPr>
          <w:lang w:val="pt-BR"/>
        </w:rPr>
        <w:t xml:space="preserve"> </w:t>
      </w:r>
      <w:r>
        <w:rPr>
          <w:lang w:val="pt-BR"/>
        </w:rPr>
        <w:t xml:space="preserve">1,7 é usado aqui como índice provisório, não como prova numérica fechada. O salto qualitativo</w:t>
      </w:r>
      <w:r>
        <w:rPr>
          <w:lang w:val="pt-BR"/>
        </w:rPr>
        <w:t xml:space="preserve"> </w:t>
      </w:r>
      <w:r>
        <w:rPr>
          <w:lang w:val="pt-BR"/>
        </w:rPr>
        <w:t xml:space="preserve">decisivo é a</w:t>
      </w:r>
      <w:r>
        <w:rPr>
          <w:lang w:val="pt-BR"/>
        </w:rPr>
        <w:t xml:space="preserve"> </w:t>
      </w:r>
      <w:r>
        <w:rPr>
          <w:b/>
          <w:bCs/>
          <w:lang w:val="pt-BR"/>
        </w:rPr>
        <w:t xml:space="preserve">serialidade</w:t>
      </w:r>
      <w:r>
        <w:rPr>
          <w:lang w:val="pt-BR"/>
        </w:rPr>
        <w:t xml:space="preserve">: a Semeuse não é uma imagem, é uma matriz de reprodução. Aqui a leitura</w:t>
      </w:r>
      <w:r>
        <w:rPr>
          <w:lang w:val="pt-BR"/>
        </w:rPr>
        <w:t xml:space="preserve"> </w:t>
      </w:r>
      <w:r>
        <w:rPr>
          <w:lang w:val="pt-BR"/>
        </w:rPr>
        <w:t xml:space="preserve">de Agulhon sobre a domesticação republicana de Marianne</w:t>
      </w:r>
      <w:r>
        <w:rPr>
          <w:lang w:val="pt-BR"/>
        </w:rPr>
        <w:t xml:space="preserve"> </w:t>
      </w:r>
      <w:r>
        <w:rPr>
          <w:lang w:val="pt-BR"/>
        </w:rPr>
        <w:t xml:space="preserve">(Agulhon, 1979)</w:t>
      </w:r>
      <w:r>
        <w:rPr>
          <w:lang w:val="pt-BR"/>
        </w:rPr>
        <w:t xml:space="preserve"> </w:t>
      </w:r>
      <w:r>
        <w:rPr>
          <w:lang w:val="pt-BR"/>
        </w:rPr>
        <w:t xml:space="preserve">encontra sua confirmação</w:t>
      </w:r>
      <w:r>
        <w:rPr>
          <w:lang w:val="pt-BR"/>
        </w:rPr>
        <w:t xml:space="preserve"> </w:t>
      </w:r>
      <w:r>
        <w:rPr>
          <w:lang w:val="pt-BR"/>
        </w:rPr>
        <w:t xml:space="preserve">material: a passagem da praça ao selo é a passagem do corpo ao troquel. A alegoria já não guia o</w:t>
      </w:r>
      <w:r>
        <w:rPr>
          <w:lang w:val="pt-BR"/>
        </w:rPr>
        <w:t xml:space="preserve"> </w:t>
      </w:r>
      <w:r>
        <w:rPr>
          <w:lang w:val="pt-BR"/>
        </w:rPr>
        <w:t xml:space="preserve">povo; ela franqueia a correspondência do Estado. Iconologicamente, é o regime</w:t>
      </w:r>
      <w:r>
        <w:rPr>
          <w:lang w:val="pt-BR"/>
        </w:rPr>
        <w:t xml:space="preserve"> </w:t>
      </w:r>
      <w:r>
        <w:rPr>
          <w:b/>
          <w:bCs/>
          <w:lang w:val="pt-BR"/>
        </w:rPr>
        <w:t xml:space="preserve">normativo</w:t>
      </w:r>
      <w:r>
        <w:rPr>
          <w:lang w:val="pt-BR"/>
        </w:rPr>
        <w:t xml:space="preserve"> </w:t>
      </w:r>
      <w:r>
        <w:rPr>
          <w:lang w:val="pt-BR"/>
        </w:rPr>
        <w:t xml:space="preserve">— o corpo</w:t>
      </w:r>
      <w:r>
        <w:rPr>
          <w:lang w:val="pt-BR"/>
        </w:rPr>
        <w:t xml:space="preserve"> </w:t>
      </w:r>
      <w:r>
        <w:rPr>
          <w:lang w:val="pt-BR"/>
        </w:rPr>
        <w:t xml:space="preserve">domesticado, burocratizado, convertido em infraestrutura da administração.</w:t>
      </w:r>
      <w:r>
        <w:rPr>
          <w:rStyle w:val="FootnoteReference"/>
        </w:rPr>
        <w:footnoteReference w:id="113"/>
      </w:r>
    </w:p>
    <w:p>
      <w:pPr>
        <w:pStyle w:val="BodyText"/>
      </w:pPr>
      <w:r>
        <w:rPr>
          <w:lang w:val="pt-BR"/>
        </w:rPr>
        <w:t xml:space="preserve">O terceiro momento não é temporal, mas geográfico: a</w:t>
      </w:r>
      <w:r>
        <w:rPr>
          <w:lang w:val="pt-BR"/>
        </w:rPr>
        <w:t xml:space="preserve"> </w:t>
      </w:r>
      <w:r>
        <w:rPr>
          <w:i/>
          <w:iCs/>
          <w:lang w:val="pt-BR"/>
        </w:rPr>
        <w:t xml:space="preserve">Piastre de Commerce</w:t>
      </w:r>
      <w:r>
        <w:rPr>
          <w:lang w:val="pt-BR"/>
        </w:rPr>
        <w:t xml:space="preserve"> </w:t>
      </w:r>
      <w:r>
        <w:rPr>
          <w:lang w:val="pt-BR"/>
        </w:rPr>
        <w:t xml:space="preserve">com a Marianne assentada</w:t>
      </w:r>
      <w:r>
        <w:rPr>
          <w:lang w:val="pt-BR"/>
        </w:rPr>
        <w:t xml:space="preserve"> </w:t>
      </w:r>
      <w:r>
        <w:rPr>
          <w:lang w:val="pt-BR"/>
        </w:rPr>
        <w:t xml:space="preserve">entre feixes de fasces (1885–1928; corpus item</w:t>
      </w:r>
      <w:r>
        <w:rPr>
          <w:lang w:val="pt-BR"/>
        </w:rPr>
        <w:t xml:space="preserve"> </w:t>
      </w:r>
      <w:r>
        <w:rPr>
          <w:rStyle w:val="VerbatimChar"/>
          <w:lang w:val="pt-BR"/>
        </w:rPr>
        <w:t xml:space="preserve">34be13f9</w:t>
      </w:r>
      <w:r>
        <w:rPr>
          <w:lang w:val="pt-BR"/>
        </w:rPr>
        <w:t xml:space="preserve">), moeda de circulação na Indochina</w:t>
      </w:r>
      <w:r>
        <w:rPr>
          <w:lang w:val="pt-BR"/>
        </w:rPr>
        <w:t xml:space="preserve"> </w:t>
      </w:r>
      <w:r>
        <w:rPr>
          <w:lang w:val="pt-BR"/>
        </w:rPr>
        <w:t xml:space="preserve">francesa. Também aqui a materialidade está confirmada no registro — Marianne assentada, fasces, coroa</w:t>
      </w:r>
      <w:r>
        <w:rPr>
          <w:lang w:val="pt-BR"/>
        </w:rPr>
        <w:t xml:space="preserve"> </w:t>
      </w:r>
      <w:r>
        <w:rPr>
          <w:lang w:val="pt-BR"/>
        </w:rPr>
        <w:t xml:space="preserve">radiada, âncora, trigo e inscrição</w:t>
      </w:r>
      <w:r>
        <w:rPr>
          <w:lang w:val="pt-BR"/>
        </w:rPr>
        <w:t xml:space="preserve"> </w:t>
      </w:r>
      <w:r>
        <w:rPr>
          <w:rStyle w:val="VerbatimChar"/>
          <w:lang w:val="pt-BR"/>
        </w:rPr>
        <w:t xml:space="preserve">INDO-CHINE FRANÇAISE</w:t>
      </w:r>
      <w:r>
        <w:rPr>
          <w:lang w:val="pt-BR"/>
        </w:rPr>
        <w:t xml:space="preserve"> </w:t>
      </w:r>
      <w:r>
        <w:rPr>
          <w:lang w:val="pt-BR"/>
        </w:rPr>
        <w:t xml:space="preserve">— enquanto o escore 2,3 permanece</w:t>
      </w:r>
      <w:r>
        <w:rPr>
          <w:lang w:val="pt-BR"/>
        </w:rPr>
        <w:t xml:space="preserve"> </w:t>
      </w:r>
      <w:r>
        <w:rPr>
          <w:lang w:val="pt-BR"/>
        </w:rPr>
        <w:t xml:space="preserve">heurístico. O suporte, porém, basta para o argumento qualitativo: é dinheiro colonial, a alegoria</w:t>
      </w:r>
      <w:r>
        <w:rPr>
          <w:lang w:val="pt-BR"/>
        </w:rPr>
        <w:t xml:space="preserve"> </w:t>
      </w:r>
      <w:r>
        <w:rPr>
          <w:lang w:val="pt-BR"/>
        </w:rPr>
        <w:t xml:space="preserve">republicana convertida em instrumento de extração além-mar. A leitura articula-se diretamente ao</w:t>
      </w:r>
      <w:r>
        <w:rPr>
          <w:lang w:val="pt-BR"/>
        </w:rPr>
        <w:t xml:space="preserve"> </w:t>
      </w:r>
      <w:r>
        <w:rPr>
          <w:lang w:val="pt-BR"/>
        </w:rPr>
        <w:t xml:space="preserve">Contrato Racial Visual do Capítulo 3: o corpo branco, marmóreo e classicizado que na metrópole</w:t>
      </w:r>
      <w:r>
        <w:rPr>
          <w:lang w:val="pt-BR"/>
        </w:rPr>
        <w:t xml:space="preserve"> </w:t>
      </w:r>
      <w:r>
        <w:rPr>
          <w:i/>
          <w:iCs/>
          <w:lang w:val="pt-BR"/>
        </w:rPr>
        <w:t xml:space="preserve">representa</w:t>
      </w:r>
      <w:r>
        <w:rPr>
          <w:lang w:val="pt-BR"/>
        </w:rPr>
        <w:t xml:space="preserve"> </w:t>
      </w:r>
      <w:r>
        <w:rPr>
          <w:lang w:val="pt-BR"/>
        </w:rPr>
        <w:t xml:space="preserve">a nação, na colônia</w:t>
      </w:r>
      <w:r>
        <w:rPr>
          <w:lang w:val="pt-BR"/>
        </w:rPr>
        <w:t xml:space="preserve"> </w:t>
      </w:r>
      <w:r>
        <w:rPr>
          <w:i/>
          <w:iCs/>
          <w:lang w:val="pt-BR"/>
        </w:rPr>
        <w:t xml:space="preserve">autoriza</w:t>
      </w:r>
      <w:r>
        <w:rPr>
          <w:lang w:val="pt-BR"/>
        </w:rPr>
        <w:t xml:space="preserve"> </w:t>
      </w:r>
      <w:r>
        <w:rPr>
          <w:lang w:val="pt-BR"/>
        </w:rPr>
        <w:t xml:space="preserve">a posse. A mesma Marianne que ensina o alfabeto às náiades</w:t>
      </w:r>
      <w:r>
        <w:rPr>
          <w:lang w:val="pt-BR"/>
        </w:rPr>
        <w:t xml:space="preserve"> </w:t>
      </w:r>
      <w:r>
        <w:rPr>
          <w:lang w:val="pt-BR"/>
        </w:rPr>
        <w:t xml:space="preserve">numa estampa de catecismo cívico (corpus item</w:t>
      </w:r>
      <w:r>
        <w:rPr>
          <w:lang w:val="pt-BR"/>
        </w:rPr>
        <w:t xml:space="preserve"> </w:t>
      </w:r>
      <w:r>
        <w:rPr>
          <w:rStyle w:val="VerbatimChar"/>
          <w:lang w:val="pt-BR"/>
        </w:rPr>
        <w:t xml:space="preserve">2c078aed</w:t>
      </w:r>
      <w:r>
        <w:rPr>
          <w:lang w:val="pt-BR"/>
        </w:rPr>
        <w:t xml:space="preserve">, composto 1,1 — a passagem do corpo</w:t>
      </w:r>
      <w:r>
        <w:rPr>
          <w:lang w:val="pt-BR"/>
        </w:rPr>
        <w:t xml:space="preserve"> </w:t>
      </w:r>
      <w:r>
        <w:rPr>
          <w:lang w:val="pt-BR"/>
        </w:rPr>
        <w:t xml:space="preserve">pré-político ao corpo de Estado) preside, na Piastre, a economia imperial. Purificação Clássica e</w:t>
      </w:r>
      <w:r>
        <w:rPr>
          <w:lang w:val="pt-BR"/>
        </w:rPr>
        <w:t xml:space="preserve"> </w:t>
      </w:r>
      <w:r>
        <w:rPr>
          <w:lang w:val="pt-BR"/>
        </w:rPr>
        <w:t xml:space="preserve">apropriação colonial são, aqui, a mesma operação formal vista de dois lados.</w:t>
      </w:r>
    </w:p>
    <w:p>
      <w:pPr>
        <w:pStyle w:val="BodyText"/>
      </w:pPr>
      <w:r>
        <w:rPr>
          <w:lang w:val="pt-BR"/>
        </w:rPr>
        <w:t xml:space="preserve">O arco não se fecha em pedra. Em 2018, um manifestante dos</w:t>
      </w:r>
      <w:r>
        <w:rPr>
          <w:lang w:val="pt-BR"/>
        </w:rPr>
        <w:t xml:space="preserve"> </w:t>
      </w:r>
      <w:r>
        <w:rPr>
          <w:i/>
          <w:iCs/>
          <w:lang w:val="pt-BR"/>
        </w:rPr>
        <w:t xml:space="preserve">coletes amarelos</w:t>
      </w:r>
      <w:r>
        <w:rPr>
          <w:lang w:val="pt-BR"/>
        </w:rPr>
        <w:t xml:space="preserve"> </w:t>
      </w:r>
      <w:r>
        <w:rPr>
          <w:lang w:val="pt-BR"/>
        </w:rPr>
        <w:t xml:space="preserve">mutila o rosto do</w:t>
      </w:r>
      <w:r>
        <w:rPr>
          <w:lang w:val="pt-BR"/>
        </w:rPr>
        <w:t xml:space="preserve"> </w:t>
      </w:r>
      <w:r>
        <w:rPr>
          <w:lang w:val="pt-BR"/>
        </w:rPr>
        <w:t xml:space="preserve">alto-relevo</w:t>
      </w:r>
      <w:r>
        <w:rPr>
          <w:lang w:val="pt-BR"/>
        </w:rPr>
        <w:t xml:space="preserve"> </w:t>
      </w:r>
      <w:r>
        <w:rPr>
          <w:i/>
          <w:iCs/>
          <w:lang w:val="pt-BR"/>
        </w:rPr>
        <w:t xml:space="preserve">La Marseillaise</w:t>
      </w:r>
      <w:r>
        <w:rPr>
          <w:lang w:val="pt-BR"/>
        </w:rPr>
        <w:t xml:space="preserve"> </w:t>
      </w:r>
      <w:r>
        <w:rPr>
          <w:lang w:val="pt-BR"/>
        </w:rPr>
        <w:t xml:space="preserve">de Rude no Arco do Triunfo (corpus item</w:t>
      </w:r>
      <w:r>
        <w:rPr>
          <w:lang w:val="pt-BR"/>
        </w:rPr>
        <w:t xml:space="preserve"> </w:t>
      </w:r>
      <w:r>
        <w:rPr>
          <w:rStyle w:val="VerbatimChar"/>
          <w:lang w:val="pt-BR"/>
        </w:rPr>
        <w:t xml:space="preserve">0970108c</w:t>
      </w:r>
      <w:r>
        <w:rPr>
          <w:lang w:val="pt-BR"/>
        </w:rPr>
        <w:t xml:space="preserve">). O registro está</w:t>
      </w:r>
      <w:r>
        <w:rPr>
          <w:lang w:val="pt-BR"/>
        </w:rPr>
        <w:t xml:space="preserve"> </w:t>
      </w:r>
      <w:r>
        <w:rPr>
          <w:lang w:val="pt-BR"/>
        </w:rPr>
        <w:t xml:space="preserve">sem codificação quantitativa — e por isso não entra como escore —, mas entra como o que a tipologia</w:t>
      </w:r>
      <w:r>
        <w:rPr>
          <w:lang w:val="pt-BR"/>
        </w:rPr>
        <w:t xml:space="preserve"> </w:t>
      </w:r>
      <w:r>
        <w:rPr>
          <w:lang w:val="pt-BR"/>
        </w:rPr>
        <w:t xml:space="preserve">chama</w:t>
      </w:r>
      <w:r>
        <w:rPr>
          <w:lang w:val="pt-BR"/>
        </w:rPr>
        <w:t xml:space="preserve"> </w:t>
      </w:r>
      <w:r>
        <w:rPr>
          <w:b/>
          <w:bCs/>
          <w:lang w:val="pt-BR"/>
        </w:rPr>
        <w:t xml:space="preserve">contra-alegoria</w:t>
      </w:r>
      <w:r>
        <w:rPr>
          <w:lang w:val="pt-BR"/>
        </w:rPr>
        <w:t xml:space="preserve">: o gesto iconoclasta que devolve à figura, pela via da destruição, o corpo</w:t>
      </w:r>
      <w:r>
        <w:rPr>
          <w:lang w:val="pt-BR"/>
        </w:rPr>
        <w:t xml:space="preserve"> </w:t>
      </w:r>
      <w:r>
        <w:rPr>
          <w:lang w:val="pt-BR"/>
        </w:rPr>
        <w:t xml:space="preserve">histórico e o conflito que a Purificação Clássica lhe havia extraído. A face rachada da Marianne de</w:t>
      </w:r>
      <w:r>
        <w:rPr>
          <w:lang w:val="pt-BR"/>
        </w:rPr>
        <w:t xml:space="preserve"> </w:t>
      </w:r>
      <w:r>
        <w:rPr>
          <w:lang w:val="pt-BR"/>
        </w:rPr>
        <w:t xml:space="preserve">Rude é, involuntariamente, uma tese: a alegoria só é serena enquanto ninguém a toca. Voltaremos a essa</w:t>
      </w:r>
      <w:r>
        <w:rPr>
          <w:lang w:val="pt-BR"/>
        </w:rPr>
        <w:t xml:space="preserve"> </w:t>
      </w:r>
      <w:r>
        <w:rPr>
          <w:lang w:val="pt-BR"/>
        </w:rPr>
        <w:t xml:space="preserve">inversão em 7.4, com a Justiça vandalizada de Brasília.</w:t>
      </w:r>
    </w:p>
    <w:bookmarkEnd w:id="114"/>
    <w:bookmarkStart w:id="115" w:name="X68e9164639514f2a75b52c8be802aae731638a9"/>
    <w:p>
      <w:pPr>
        <w:pStyle w:val="Heading2"/>
      </w:pPr>
      <w:r>
        <w:rPr>
          <w:rStyle w:val="SectionNumber"/>
          <w:lang w:val="pt-BR"/>
        </w:rPr>
        <w:t xml:space="preserve">8.2</w:t>
      </w:r>
      <w:r>
        <w:tab/>
      </w:r>
      <w:r>
        <w:rPr>
          <w:lang w:val="pt-BR"/>
        </w:rPr>
        <w:t xml:space="preserve">7.2 — Britannia e o limite Thatcher: quando a alegoria ganha rosto</w:t>
      </w:r>
    </w:p>
    <w:p>
      <w:pPr>
        <w:pStyle w:val="BlockText"/>
      </w:pPr>
      <w:r>
        <w:rPr>
          <w:b/>
          <w:bCs/>
          <w:lang w:val="pt-BR"/>
        </w:rPr>
        <w:t xml:space="preserve">Tese parcial.</w:t>
      </w:r>
      <w:r>
        <w:rPr>
          <w:lang w:val="pt-BR"/>
        </w:rPr>
        <w:t xml:space="preserve"> </w:t>
      </w:r>
      <w:r>
        <w:rPr>
          <w:lang w:val="pt-BR"/>
        </w:rPr>
        <w:t xml:space="preserve">Britannia é o caso-limite da alegoria</w:t>
      </w:r>
      <w:r>
        <w:rPr>
          <w:lang w:val="pt-BR"/>
        </w:rPr>
        <w:t xml:space="preserve"> </w:t>
      </w:r>
      <w:r>
        <w:rPr>
          <w:i/>
          <w:iCs/>
          <w:lang w:val="pt-BR"/>
        </w:rPr>
        <w:t xml:space="preserve">manuseada</w:t>
      </w:r>
      <w:r>
        <w:rPr>
          <w:lang w:val="pt-BR"/>
        </w:rPr>
        <w:t xml:space="preserve">: a imagem feminina do poder</w:t>
      </w:r>
      <w:r>
        <w:rPr>
          <w:lang w:val="pt-BR"/>
        </w:rPr>
        <w:t xml:space="preserve"> </w:t>
      </w:r>
      <w:r>
        <w:rPr>
          <w:lang w:val="pt-BR"/>
        </w:rPr>
        <w:t xml:space="preserve">soberano mais tocada, embolsada e acumulada do mundo vitoriano, gravada em moeda de circulação</w:t>
      </w:r>
      <w:r>
        <w:rPr>
          <w:lang w:val="pt-BR"/>
        </w:rPr>
        <w:t xml:space="preserve"> </w:t>
      </w:r>
      <w:r>
        <w:rPr>
          <w:lang w:val="pt-BR"/>
        </w:rPr>
        <w:t xml:space="preserve">diária. Sua eficácia não está na contemplação, mas no hábito tátil — a pedagogia do Contrato Sexual</w:t>
      </w:r>
      <w:r>
        <w:rPr>
          <w:lang w:val="pt-BR"/>
        </w:rPr>
        <w:t xml:space="preserve"> </w:t>
      </w:r>
      <w:r>
        <w:rPr>
          <w:lang w:val="pt-BR"/>
        </w:rPr>
        <w:t xml:space="preserve">Visual operando não pelo olhar solene, mas pelo bolso. Thatcher entra aqui apenas como limite</w:t>
      </w:r>
      <w:r>
        <w:rPr>
          <w:lang w:val="pt-BR"/>
        </w:rPr>
        <w:t xml:space="preserve"> </w:t>
      </w:r>
      <w:r>
        <w:rPr>
          <w:lang w:val="pt-BR"/>
        </w:rPr>
        <w:t xml:space="preserve">bibliográfico dessa tradição, não como caso do corpus.</w:t>
      </w:r>
    </w:p>
    <w:p>
      <w:pPr>
        <w:pStyle w:val="FirstParagraph"/>
      </w:pPr>
      <w:r>
        <w:rPr>
          <w:lang w:val="pt-BR"/>
        </w:rPr>
        <w:t xml:space="preserve">No nível pré-iconográfico, o</w:t>
      </w:r>
      <w:r>
        <w:rPr>
          <w:lang w:val="pt-BR"/>
        </w:rPr>
        <w:t xml:space="preserve"> </w:t>
      </w:r>
      <w:r>
        <w:rPr>
          <w:i/>
          <w:iCs/>
          <w:lang w:val="pt-BR"/>
        </w:rPr>
        <w:t xml:space="preserve">penny</w:t>
      </w:r>
      <w:r>
        <w:rPr>
          <w:lang w:val="pt-BR"/>
        </w:rPr>
        <w:t xml:space="preserve"> </w:t>
      </w:r>
      <w:r>
        <w:rPr>
          <w:lang w:val="pt-BR"/>
        </w:rPr>
        <w:t xml:space="preserve">de bronze com a Britannia assentada (1860–1894; corpus item</w:t>
      </w:r>
      <w:r>
        <w:rPr>
          <w:lang w:val="pt-BR"/>
        </w:rPr>
        <w:t xml:space="preserve"> </w:t>
      </w:r>
      <w:r>
        <w:rPr>
          <w:rStyle w:val="VerbatimChar"/>
          <w:lang w:val="pt-BR"/>
        </w:rPr>
        <w:t xml:space="preserve">097d7804</w:t>
      </w:r>
      <w:r>
        <w:rPr>
          <w:lang w:val="pt-BR"/>
        </w:rPr>
        <w:t xml:space="preserve">) mostra a figura de perfil, elmo, tridente e escudo, sentada sobre rochedo à beira-mar. O</w:t>
      </w:r>
      <w:r>
        <w:rPr>
          <w:lang w:val="pt-BR"/>
        </w:rPr>
        <w:t xml:space="preserve"> </w:t>
      </w:r>
      <w:r>
        <w:rPr>
          <w:lang w:val="pt-BR"/>
        </w:rPr>
        <w:t xml:space="preserve">registro traz o composto heurístico 1,7 e o classifica como normativo, mas o uso seguro, neste</w:t>
      </w:r>
      <w:r>
        <w:rPr>
          <w:lang w:val="pt-BR"/>
        </w:rPr>
        <w:t xml:space="preserve"> </w:t>
      </w:r>
      <w:r>
        <w:rPr>
          <w:lang w:val="pt-BR"/>
        </w:rPr>
        <w:t xml:space="preserve">capítulo, é material e iconológico: a moeda confirma a personificação insular do Reino Unido e a nota</w:t>
      </w:r>
      <w:r>
        <w:rPr>
          <w:lang w:val="pt-BR"/>
        </w:rPr>
        <w:t xml:space="preserve"> </w:t>
      </w:r>
      <w:r>
        <w:rPr>
          <w:lang w:val="pt-BR"/>
        </w:rPr>
        <w:t xml:space="preserve">do item a descreve como a alegoria feminina mais amplamente circulada do Império Britânico. Onde a</w:t>
      </w:r>
      <w:r>
        <w:rPr>
          <w:lang w:val="pt-BR"/>
        </w:rPr>
        <w:t xml:space="preserve"> </w:t>
      </w:r>
      <w:r>
        <w:rPr>
          <w:lang w:val="pt-BR"/>
        </w:rPr>
        <w:t xml:space="preserve">Justitia de tribunal governa pela distância e pela altura, Britannia governa pela proximidade</w:t>
      </w:r>
      <w:r>
        <w:rPr>
          <w:lang w:val="pt-BR"/>
        </w:rPr>
        <w:t xml:space="preserve"> </w:t>
      </w:r>
      <w:r>
        <w:rPr>
          <w:lang w:val="pt-BR"/>
        </w:rPr>
        <w:t xml:space="preserve">cotidiana. Não é o monumento que se contempla uma vez, mas a moeda que passa de mão em mão mil vezes.</w:t>
      </w:r>
      <w:r>
        <w:rPr>
          <w:lang w:val="pt-BR"/>
        </w:rPr>
        <w:t xml:space="preserve"> </w:t>
      </w:r>
      <w:r>
        <w:rPr>
          <w:lang w:val="pt-BR"/>
        </w:rPr>
        <w:t xml:space="preserve">A pedagogia visual</w:t>
      </w:r>
      <w:r>
        <w:rPr>
          <w:lang w:val="pt-BR"/>
        </w:rPr>
        <w:t xml:space="preserve"> </w:t>
      </w:r>
      <w:r>
        <w:rPr>
          <w:lang w:val="pt-BR"/>
        </w:rPr>
        <w:t xml:space="preserve">(Warner, 1985)</w:t>
      </w:r>
      <w:r>
        <w:rPr>
          <w:lang w:val="pt-BR"/>
        </w:rPr>
        <w:t xml:space="preserve"> </w:t>
      </w:r>
      <w:r>
        <w:rPr>
          <w:lang w:val="pt-BR"/>
        </w:rPr>
        <w:t xml:space="preserve">aqui é literalmente uma pedagogia manual.</w:t>
      </w:r>
    </w:p>
    <w:p>
      <w:pPr>
        <w:pStyle w:val="BodyText"/>
      </w:pPr>
      <w:r>
        <w:rPr>
          <w:lang w:val="pt-BR"/>
        </w:rPr>
        <w:t xml:space="preserve">O</w:t>
      </w:r>
      <w:r>
        <w:rPr>
          <w:lang w:val="pt-BR"/>
        </w:rPr>
        <w:t xml:space="preserve"> </w:t>
      </w:r>
      <w:r>
        <w:rPr>
          <w:i/>
          <w:iCs/>
          <w:lang w:val="pt-BR"/>
        </w:rPr>
        <w:t xml:space="preserve">British Trade Dollar</w:t>
      </w:r>
      <w:r>
        <w:rPr>
          <w:lang w:val="pt-BR"/>
        </w:rPr>
        <w:t xml:space="preserve"> </w:t>
      </w:r>
      <w:r>
        <w:rPr>
          <w:lang w:val="pt-BR"/>
        </w:rPr>
        <w:t xml:space="preserve">com a Britannia de pé (1895–1935; corpus item</w:t>
      </w:r>
      <w:r>
        <w:rPr>
          <w:lang w:val="pt-BR"/>
        </w:rPr>
        <w:t xml:space="preserve"> </w:t>
      </w:r>
      <w:r>
        <w:rPr>
          <w:rStyle w:val="VerbatimChar"/>
          <w:lang w:val="pt-BR"/>
        </w:rPr>
        <w:t xml:space="preserve">38461286</w:t>
      </w:r>
      <w:r>
        <w:rPr>
          <w:lang w:val="pt-BR"/>
        </w:rPr>
        <w:t xml:space="preserve">) é ainda mais</w:t>
      </w:r>
      <w:r>
        <w:rPr>
          <w:lang w:val="pt-BR"/>
        </w:rPr>
        <w:t xml:space="preserve"> </w:t>
      </w:r>
      <w:r>
        <w:rPr>
          <w:lang w:val="pt-BR"/>
        </w:rPr>
        <w:t xml:space="preserve">explícito. O registro descreve Britannia na margem, tridente e escudo com a Union Flag, navio mercante</w:t>
      </w:r>
      <w:r>
        <w:rPr>
          <w:lang w:val="pt-BR"/>
        </w:rPr>
        <w:t xml:space="preserve"> </w:t>
      </w:r>
      <w:r>
        <w:rPr>
          <w:lang w:val="pt-BR"/>
        </w:rPr>
        <w:t xml:space="preserve">ao fundo e inscrições em chinês e jawi malaio no reverso; a circulação prevista inclui Hong Kong,</w:t>
      </w:r>
      <w:r>
        <w:rPr>
          <w:lang w:val="pt-BR"/>
        </w:rPr>
        <w:t xml:space="preserve"> </w:t>
      </w:r>
      <w:r>
        <w:rPr>
          <w:lang w:val="pt-BR"/>
        </w:rPr>
        <w:t xml:space="preserve">Straits Settlements e Labuan. Seu composto 1,3 e seu regime ainda pertencem ao mesmo lote</w:t>
      </w:r>
      <w:r>
        <w:rPr>
          <w:lang w:val="pt-BR"/>
        </w:rPr>
        <w:t xml:space="preserve"> </w:t>
      </w:r>
      <w:r>
        <w:rPr>
          <w:rStyle w:val="VerbatimChar"/>
          <w:lang w:val="pt-BR"/>
        </w:rPr>
        <w:t xml:space="preserve">PENDING_REVIEW</w:t>
      </w:r>
      <w:r>
        <w:rPr>
          <w:lang w:val="pt-BR"/>
        </w:rPr>
        <w:t xml:space="preserve">, mas o objeto já reencena em prata o gesto que a Piastre francesa fizera com</w:t>
      </w:r>
      <w:r>
        <w:rPr>
          <w:lang w:val="pt-BR"/>
        </w:rPr>
        <w:t xml:space="preserve"> </w:t>
      </w:r>
      <w:r>
        <w:rPr>
          <w:lang w:val="pt-BR"/>
        </w:rPr>
        <w:t xml:space="preserve">Marianne: a alegoria nacional convertida em moeda de comércio imperial. O eixo que ambas partilham —</w:t>
      </w:r>
      <w:r>
        <w:rPr>
          <w:lang w:val="pt-BR"/>
        </w:rPr>
        <w:t xml:space="preserve"> </w:t>
      </w:r>
      <w:r>
        <w:rPr>
          <w:lang w:val="pt-BR"/>
        </w:rPr>
        <w:t xml:space="preserve">a serialidade a serviço da extração — reforça a leitura transnacional do Cap. 3: a alegoria</w:t>
      </w:r>
      <w:r>
        <w:rPr>
          <w:lang w:val="pt-BR"/>
        </w:rPr>
        <w:t xml:space="preserve"> </w:t>
      </w:r>
      <w:r>
        <w:rPr>
          <w:lang w:val="pt-BR"/>
        </w:rPr>
        <w:t xml:space="preserve">“universal”</w:t>
      </w:r>
      <w:r>
        <w:rPr>
          <w:lang w:val="pt-BR"/>
        </w:rPr>
        <w:t xml:space="preserve"> </w:t>
      </w:r>
      <w:r>
        <w:rPr>
          <w:lang w:val="pt-BR"/>
        </w:rPr>
        <w:t xml:space="preserve">é, na verdade, um cânone europeu exportado sob a aparência da neutralidade.</w:t>
      </w:r>
    </w:p>
    <w:p>
      <w:pPr>
        <w:pStyle w:val="BodyText"/>
      </w:pPr>
      <w:r>
        <w:rPr>
          <w:lang w:val="pt-BR"/>
        </w:rPr>
        <w:t xml:space="preserve">Há, no corpus, um contraponto que a própria codificação sinaliza como instável:</w:t>
      </w:r>
      <w:r>
        <w:rPr>
          <w:lang w:val="pt-BR"/>
        </w:rPr>
        <w:t xml:space="preserve"> </w:t>
      </w:r>
      <w:r>
        <w:rPr>
          <w:i/>
          <w:iCs/>
          <w:lang w:val="pt-BR"/>
        </w:rPr>
        <w:t xml:space="preserve">Two Forces</w:t>
      </w:r>
      <w:r>
        <w:rPr>
          <w:lang w:val="pt-BR"/>
        </w:rPr>
        <w:t xml:space="preserve"> </w:t>
      </w:r>
      <w:r>
        <w:rPr>
          <w:lang w:val="pt-BR"/>
        </w:rPr>
        <w:t xml:space="preserve">(c. 1881; corpus item</w:t>
      </w:r>
      <w:r>
        <w:rPr>
          <w:lang w:val="pt-BR"/>
        </w:rPr>
        <w:t xml:space="preserve"> </w:t>
      </w:r>
      <w:r>
        <w:rPr>
          <w:rStyle w:val="VerbatimChar"/>
          <w:lang w:val="pt-BR"/>
        </w:rPr>
        <w:t xml:space="preserve">dcf36d44</w:t>
      </w:r>
      <w:r>
        <w:rPr>
          <w:lang w:val="pt-BR"/>
        </w:rPr>
        <w:t xml:space="preserve">), em que Britannia</w:t>
      </w:r>
      <w:r>
        <w:rPr>
          <w:lang w:val="pt-BR"/>
        </w:rPr>
        <w:t xml:space="preserve"> </w:t>
      </w:r>
      <w:r>
        <w:rPr>
          <w:lang w:val="pt-BR"/>
        </w:rPr>
        <w:t xml:space="preserve">“protege”</w:t>
      </w:r>
      <w:r>
        <w:rPr>
          <w:lang w:val="pt-BR"/>
        </w:rPr>
        <w:t xml:space="preserve"> </w:t>
      </w:r>
      <w:r>
        <w:rPr>
          <w:lang w:val="pt-BR"/>
        </w:rPr>
        <w:t xml:space="preserve">Hibernia. O campo</w:t>
      </w:r>
      <w:r>
        <w:rPr>
          <w:lang w:val="pt-BR"/>
        </w:rPr>
        <w:t xml:space="preserve"> </w:t>
      </w:r>
      <w:r>
        <w:rPr>
          <w:rStyle w:val="VerbatimChar"/>
          <w:lang w:val="pt-BR"/>
        </w:rPr>
        <w:t xml:space="preserve">purificacao.regime_iconocratico</w:t>
      </w:r>
      <w:r>
        <w:rPr>
          <w:lang w:val="pt-BR"/>
        </w:rPr>
        <w:t xml:space="preserve"> </w:t>
      </w:r>
      <w:r>
        <w:rPr>
          <w:lang w:val="pt-BR"/>
        </w:rPr>
        <w:t xml:space="preserve">o classifica como</w:t>
      </w:r>
      <w:r>
        <w:rPr>
          <w:lang w:val="pt-BR"/>
        </w:rPr>
        <w:t xml:space="preserve"> </w:t>
      </w:r>
      <w:r>
        <w:rPr>
          <w:b/>
          <w:bCs/>
          <w:lang w:val="pt-BR"/>
        </w:rPr>
        <w:t xml:space="preserve">normativo</w:t>
      </w:r>
      <w:r>
        <w:rPr>
          <w:lang w:val="pt-BR"/>
        </w:rPr>
        <w:t xml:space="preserve">, mas a leitura de nível 3 anotada no</w:t>
      </w:r>
      <w:r>
        <w:rPr>
          <w:lang w:val="pt-BR"/>
        </w:rPr>
        <w:t xml:space="preserve"> </w:t>
      </w:r>
      <w:r>
        <w:rPr>
          <w:lang w:val="pt-BR"/>
        </w:rPr>
        <w:t xml:space="preserve">item o lê como</w:t>
      </w:r>
      <w:r>
        <w:rPr>
          <w:lang w:val="pt-BR"/>
        </w:rPr>
        <w:t xml:space="preserve"> </w:t>
      </w:r>
      <w:r>
        <w:rPr>
          <w:b/>
          <w:bCs/>
          <w:lang w:val="pt-BR"/>
        </w:rPr>
        <w:t xml:space="preserve">contra-alegoria</w:t>
      </w:r>
      <w:r>
        <w:rPr>
          <w:lang w:val="pt-BR"/>
        </w:rPr>
        <w:t xml:space="preserve"> </w:t>
      </w:r>
      <w:r>
        <w:rPr>
          <w:lang w:val="pt-BR"/>
        </w:rPr>
        <w:t xml:space="preserve">— sátira da relação colonial Grã-Bretanha/Irlanda. Há ainda uma</w:t>
      </w:r>
      <w:r>
        <w:rPr>
          <w:lang w:val="pt-BR"/>
        </w:rPr>
        <w:t xml:space="preserve"> </w:t>
      </w:r>
      <w:r>
        <w:rPr>
          <w:lang w:val="pt-BR"/>
        </w:rPr>
        <w:t xml:space="preserve">terceira leitura: o</w:t>
      </w:r>
      <w:r>
        <w:rPr>
          <w:lang w:val="pt-BR"/>
        </w:rPr>
        <w:t xml:space="preserve"> </w:t>
      </w:r>
      <w:r>
        <w:rPr>
          <w:rStyle w:val="VerbatimChar"/>
          <w:lang w:val="pt-BR"/>
        </w:rPr>
        <w:t xml:space="preserve">pathosformel_index.jsonl</w:t>
      </w:r>
      <w:r>
        <w:rPr>
          <w:lang w:val="pt-BR"/>
        </w:rPr>
        <w:t xml:space="preserve">, codificado posteriormente a partir da imagem, classifica o item como</w:t>
      </w:r>
      <w:r>
        <w:rPr>
          <w:lang w:val="pt-BR"/>
        </w:rPr>
        <w:t xml:space="preserve"> </w:t>
      </w:r>
      <w:r>
        <w:rPr>
          <w:b/>
          <w:bCs/>
          <w:lang w:val="pt-BR"/>
        </w:rPr>
        <w:t xml:space="preserve">militar</w:t>
      </w:r>
      <w:r>
        <w:rPr>
          <w:lang w:val="pt-BR"/>
        </w:rPr>
        <w:t xml:space="preserve">, pela Britannia armada, pela espada inscrita</w:t>
      </w:r>
      <w:r>
        <w:rPr>
          <w:lang w:val="pt-BR"/>
        </w:rPr>
        <w:t xml:space="preserve"> </w:t>
      </w:r>
      <w:r>
        <w:rPr>
          <w:lang w:val="pt-BR"/>
        </w:rPr>
        <w:t xml:space="preserve">“THE LAW”</w:t>
      </w:r>
      <w:r>
        <w:rPr>
          <w:lang w:val="pt-BR"/>
        </w:rPr>
        <w:t xml:space="preserve"> </w:t>
      </w:r>
      <w:r>
        <w:rPr>
          <w:lang w:val="pt-BR"/>
        </w:rPr>
        <w:t xml:space="preserve">e pela cena coercitiva do conflito</w:t>
      </w:r>
      <w:r>
        <w:rPr>
          <w:lang w:val="pt-BR"/>
        </w:rPr>
        <w:t xml:space="preserve"> </w:t>
      </w:r>
      <w:r>
        <w:rPr>
          <w:lang w:val="pt-BR"/>
        </w:rPr>
        <w:t xml:space="preserve">irlandês. Para este capítulo, adoto a decisão local mais conservadora:</w:t>
      </w:r>
      <w:r>
        <w:rPr>
          <w:lang w:val="pt-BR"/>
        </w:rPr>
        <w:t xml:space="preserve"> </w:t>
      </w:r>
      <w:r>
        <w:rPr>
          <w:i/>
          <w:iCs/>
          <w:lang w:val="pt-BR"/>
        </w:rPr>
        <w:t xml:space="preserve">Two Forces</w:t>
      </w:r>
      <w:r>
        <w:rPr>
          <w:lang w:val="pt-BR"/>
        </w:rPr>
        <w:t xml:space="preserve"> </w:t>
      </w:r>
      <w:r>
        <w:rPr>
          <w:lang w:val="pt-BR"/>
        </w:rPr>
        <w:t xml:space="preserve">não é usado como</w:t>
      </w:r>
      <w:r>
        <w:rPr>
          <w:lang w:val="pt-BR"/>
        </w:rPr>
        <w:t xml:space="preserve"> </w:t>
      </w:r>
      <w:r>
        <w:rPr>
          <w:lang w:val="pt-BR"/>
        </w:rPr>
        <w:t xml:space="preserve">contra-alegoria, mas como cena militar-normativa de propaganda imperial, isto é, como imagem que</w:t>
      </w:r>
      <w:r>
        <w:rPr>
          <w:lang w:val="pt-BR"/>
        </w:rPr>
        <w:t xml:space="preserve"> </w:t>
      </w:r>
      <w:r>
        <w:rPr>
          <w:lang w:val="pt-BR"/>
        </w:rPr>
        <w:t xml:space="preserve">mostra a norma britânica no exato ponto em que precisa vestir armadura. A divergência permanece como</w:t>
      </w:r>
      <w:r>
        <w:rPr>
          <w:lang w:val="pt-BR"/>
        </w:rPr>
        <w:t xml:space="preserve"> </w:t>
      </w:r>
      <w:r>
        <w:rPr>
          <w:lang w:val="pt-BR"/>
        </w:rPr>
        <w:t xml:space="preserve">tarefa de ledger, mas não contamina o argumento desta seção.</w:t>
      </w:r>
    </w:p>
    <w:p>
      <w:pPr>
        <w:pStyle w:val="BodyText"/>
      </w:pPr>
      <w:r>
        <w:rPr>
          <w:lang w:val="pt-BR"/>
        </w:rPr>
        <w:t xml:space="preserve">Thatcher, por fim, não é tratada como caso iconométrico. O corpus atual não contém item visual</w:t>
      </w:r>
      <w:r>
        <w:rPr>
          <w:lang w:val="pt-BR"/>
        </w:rPr>
        <w:t xml:space="preserve"> </w:t>
      </w:r>
      <w:r>
        <w:rPr>
          <w:lang w:val="pt-BR"/>
        </w:rPr>
        <w:t xml:space="preserve">dedicado a Margaret Thatcher, logo não há suporte para atribuir escore, regime ou trajetória</w:t>
      </w:r>
      <w:r>
        <w:rPr>
          <w:lang w:val="pt-BR"/>
        </w:rPr>
        <w:t xml:space="preserve"> </w:t>
      </w:r>
      <w:r>
        <w:rPr>
          <w:lang w:val="pt-BR"/>
        </w:rPr>
        <w:t xml:space="preserve">quantitativa. O que existe é uma ponte bibliográfica limitada: Warner lê a construção midiática de</w:t>
      </w:r>
      <w:r>
        <w:rPr>
          <w:lang w:val="pt-BR"/>
        </w:rPr>
        <w:t xml:space="preserve"> </w:t>
      </w:r>
      <w:r>
        <w:rPr>
          <w:lang w:val="pt-BR"/>
        </w:rPr>
        <w:t xml:space="preserve">Thatcher como reanimação de Britannia</w:t>
      </w:r>
      <w:r>
        <w:rPr>
          <w:lang w:val="pt-BR"/>
        </w:rPr>
        <w:t xml:space="preserve"> </w:t>
      </w:r>
      <w:r>
        <w:rPr>
          <w:lang w:val="pt-BR"/>
        </w:rPr>
        <w:t xml:space="preserve">(Warner, 1985)</w:t>
      </w:r>
      <w:r>
        <w:rPr>
          <w:lang w:val="pt-BR"/>
        </w:rPr>
        <w:t xml:space="preserve">, e Millat situa a fortuna moderna de Britannia no</w:t>
      </w:r>
      <w:r>
        <w:rPr>
          <w:lang w:val="pt-BR"/>
        </w:rPr>
        <w:t xml:space="preserve"> </w:t>
      </w:r>
      <w:r>
        <w:rPr>
          <w:lang w:val="pt-BR"/>
        </w:rPr>
        <w:t xml:space="preserve">universo do cartoon britânico</w:t>
      </w:r>
      <w:r>
        <w:rPr>
          <w:lang w:val="pt-BR"/>
        </w:rPr>
        <w:t xml:space="preserve"> </w:t>
      </w:r>
      <w:r>
        <w:rPr>
          <w:lang w:val="pt-BR"/>
        </w:rPr>
        <w:t xml:space="preserve">(Millat, 2003)</w:t>
      </w:r>
      <w:r>
        <w:rPr>
          <w:lang w:val="pt-BR"/>
        </w:rPr>
        <w:t xml:space="preserve">. Isso autoriza apenas uma conclusão modesta: no século XX</w:t>
      </w:r>
      <w:r>
        <w:rPr>
          <w:lang w:val="pt-BR"/>
        </w:rPr>
        <w:t xml:space="preserve"> </w:t>
      </w:r>
      <w:r>
        <w:rPr>
          <w:lang w:val="pt-BR"/>
        </w:rPr>
        <w:t xml:space="preserve">tardio, Britannia pode funcionar como matriz de legibilidade para uma governante real, mas esse</w:t>
      </w:r>
      <w:r>
        <w:rPr>
          <w:lang w:val="pt-BR"/>
        </w:rPr>
        <w:t xml:space="preserve"> </w:t>
      </w:r>
      <w:r>
        <w:rPr>
          <w:lang w:val="pt-BR"/>
        </w:rPr>
        <w:t xml:space="preserve">fenômeno deve entrar em futura aquisição documental ou em excursus não iconométrico. Aqui, Thatcher</w:t>
      </w:r>
      <w:r>
        <w:rPr>
          <w:lang w:val="pt-BR"/>
        </w:rPr>
        <w:t xml:space="preserve"> </w:t>
      </w:r>
      <w:r>
        <w:rPr>
          <w:lang w:val="pt-BR"/>
        </w:rPr>
        <w:t xml:space="preserve">marca o limite do caso, não a sua prova.</w:t>
      </w:r>
    </w:p>
    <w:bookmarkEnd w:id="115"/>
    <w:bookmarkStart w:id="116" w:name="columbia-e-justice-no-capitólio"/>
    <w:p>
      <w:pPr>
        <w:pStyle w:val="Heading2"/>
      </w:pPr>
      <w:r>
        <w:rPr>
          <w:rStyle w:val="SectionNumber"/>
          <w:lang w:val="pt-BR"/>
        </w:rPr>
        <w:t xml:space="preserve">8.3</w:t>
      </w:r>
      <w:r>
        <w:tab/>
      </w:r>
      <w:r>
        <w:rPr>
          <w:lang w:val="pt-BR"/>
        </w:rPr>
        <w:t xml:space="preserve">7.3 — Columbia e Justice no Capitólio</w:t>
      </w:r>
    </w:p>
    <w:p>
      <w:pPr>
        <w:pStyle w:val="BlockText"/>
      </w:pPr>
      <w:r>
        <w:rPr>
          <w:b/>
          <w:bCs/>
          <w:lang w:val="pt-BR"/>
        </w:rPr>
        <w:t xml:space="preserve">Tese parcial.</w:t>
      </w:r>
      <w:r>
        <w:rPr>
          <w:lang w:val="pt-BR"/>
        </w:rPr>
        <w:t xml:space="preserve"> </w:t>
      </w:r>
      <w:r>
        <w:rPr>
          <w:lang w:val="pt-BR"/>
        </w:rPr>
        <w:t xml:space="preserve">O corpus estadunidense encena o paradoxo fundador do Contrato Sexual Visual em sua</w:t>
      </w:r>
      <w:r>
        <w:rPr>
          <w:lang w:val="pt-BR"/>
        </w:rPr>
        <w:t xml:space="preserve"> </w:t>
      </w:r>
      <w:r>
        <w:rPr>
          <w:lang w:val="pt-BR"/>
        </w:rPr>
        <w:t xml:space="preserve">forma mais crua: no exato Estado que excluiu as mulheres do júri, da advocacia e da magistratura, a</w:t>
      </w:r>
      <w:r>
        <w:rPr>
          <w:lang w:val="pt-BR"/>
        </w:rPr>
        <w:t xml:space="preserve"> </w:t>
      </w:r>
      <w:r>
        <w:rPr>
          <w:lang w:val="pt-BR"/>
        </w:rPr>
        <w:t xml:space="preserve">Justiça é representada como mulher — e é</w:t>
      </w:r>
      <w:r>
        <w:rPr>
          <w:lang w:val="pt-BR"/>
        </w:rPr>
        <w:t xml:space="preserve"> </w:t>
      </w:r>
      <w:r>
        <w:rPr>
          <w:i/>
          <w:iCs/>
          <w:lang w:val="pt-BR"/>
        </w:rPr>
        <w:t xml:space="preserve">mais</w:t>
      </w:r>
      <w:r>
        <w:rPr>
          <w:lang w:val="pt-BR"/>
        </w:rPr>
        <w:t xml:space="preserve"> </w:t>
      </w:r>
      <w:r>
        <w:rPr>
          <w:lang w:val="pt-BR"/>
        </w:rPr>
        <w:t xml:space="preserve">endurecida quando normativa (a chapa oficial) do que</w:t>
      </w:r>
      <w:r>
        <w:rPr>
          <w:lang w:val="pt-BR"/>
        </w:rPr>
        <w:t xml:space="preserve"> </w:t>
      </w:r>
      <w:r>
        <w:rPr>
          <w:lang w:val="pt-BR"/>
        </w:rPr>
        <w:t xml:space="preserve">quando marcial (a estampa popular). O grau de purificação mede a distância entre a mulher simbólica e</w:t>
      </w:r>
      <w:r>
        <w:rPr>
          <w:lang w:val="pt-BR"/>
        </w:rPr>
        <w:t xml:space="preserve"> </w:t>
      </w:r>
      <w:r>
        <w:rPr>
          <w:lang w:val="pt-BR"/>
        </w:rPr>
        <w:t xml:space="preserve">a mulher real: quanto mais alto o escore, mais completa a substituição.</w:t>
      </w:r>
    </w:p>
    <w:p>
      <w:pPr>
        <w:pStyle w:val="FirstParagraph"/>
      </w:pPr>
      <w:r>
        <w:rPr>
          <w:lang w:val="pt-BR"/>
        </w:rPr>
        <w:t xml:space="preserve">A</w:t>
      </w:r>
      <w:r>
        <w:rPr>
          <w:lang w:val="pt-BR"/>
        </w:rPr>
        <w:t xml:space="preserve"> </w:t>
      </w:r>
      <w:r>
        <w:rPr>
          <w:i/>
          <w:iCs/>
          <w:lang w:val="pt-BR"/>
        </w:rPr>
        <w:t xml:space="preserve">Justice</w:t>
      </w:r>
      <w:r>
        <w:rPr>
          <w:lang w:val="pt-BR"/>
        </w:rPr>
        <w:t xml:space="preserve"> </w:t>
      </w:r>
      <w:r>
        <w:rPr>
          <w:lang w:val="pt-BR"/>
        </w:rPr>
        <w:t xml:space="preserve">vendada, de espada e balança (corpus item</w:t>
      </w:r>
      <w:r>
        <w:rPr>
          <w:lang w:val="pt-BR"/>
        </w:rPr>
        <w:t xml:space="preserve"> </w:t>
      </w:r>
      <w:r>
        <w:rPr>
          <w:rStyle w:val="VerbatimChar"/>
          <w:lang w:val="pt-BR"/>
        </w:rPr>
        <w:t xml:space="preserve">734dd76f</w:t>
      </w:r>
      <w:r>
        <w:rPr>
          <w:lang w:val="pt-BR"/>
        </w:rPr>
        <w:t xml:space="preserve">, composto 2,2), é descrita na</w:t>
      </w:r>
      <w:r>
        <w:rPr>
          <w:lang w:val="pt-BR"/>
        </w:rPr>
        <w:t xml:space="preserve"> </w:t>
      </w:r>
      <w:r>
        <w:rPr>
          <w:lang w:val="pt-BR"/>
        </w:rPr>
        <w:t xml:space="preserve">codificação como o</w:t>
      </w:r>
      <w:r>
        <w:rPr>
          <w:lang w:val="pt-BR"/>
        </w:rPr>
        <w:t xml:space="preserve"> </w:t>
      </w:r>
      <w:r>
        <w:rPr>
          <w:lang w:val="pt-BR"/>
        </w:rPr>
        <w:t xml:space="preserve">“grau zero”</w:t>
      </w:r>
      <w:r>
        <w:rPr>
          <w:lang w:val="pt-BR"/>
        </w:rPr>
        <w:t xml:space="preserve"> </w:t>
      </w:r>
      <w:r>
        <w:rPr>
          <w:lang w:val="pt-BR"/>
        </w:rPr>
        <w:t xml:space="preserve">do endurecimento normativo estadunidense — e a leitura de nível 3</w:t>
      </w:r>
      <w:r>
        <w:rPr>
          <w:lang w:val="pt-BR"/>
        </w:rPr>
        <w:t xml:space="preserve"> </w:t>
      </w:r>
      <w:r>
        <w:rPr>
          <w:lang w:val="pt-BR"/>
        </w:rPr>
        <w:t xml:space="preserve">anotada é lapidar: um Estado que exclui as mulheres do foro produz a imagem da Justiça como mulher, e</w:t>
      </w:r>
      <w:r>
        <w:rPr>
          <w:lang w:val="pt-BR"/>
        </w:rPr>
        <w:t xml:space="preserve"> </w:t>
      </w:r>
      <w:r>
        <w:rPr>
          <w:lang w:val="pt-BR"/>
        </w:rPr>
        <w:t xml:space="preserve">a venda que lhe cobre os olhos</w:t>
      </w:r>
      <w:r>
        <w:rPr>
          <w:lang w:val="pt-BR"/>
        </w:rPr>
        <w:t xml:space="preserve"> </w:t>
      </w:r>
      <w:r>
        <w:rPr>
          <w:i/>
          <w:iCs/>
          <w:lang w:val="pt-BR"/>
        </w:rPr>
        <w:t xml:space="preserve">mascara a própria exclusão da figura</w:t>
      </w:r>
      <w:r>
        <w:rPr>
          <w:lang w:val="pt-BR"/>
        </w:rPr>
        <w:t xml:space="preserve">. A genealogia da venda</w:t>
      </w:r>
      <w:r>
        <w:rPr>
          <w:lang w:val="pt-BR"/>
        </w:rPr>
        <w:t xml:space="preserve"> </w:t>
      </w:r>
      <w:r>
        <w:rPr>
          <w:lang w:val="pt-BR"/>
        </w:rPr>
        <w:t xml:space="preserve">reconstruída no Cap. 1 — de imposição satírica (Brant, 1494) a atributo naturalizado (Ripa, 1603) —</w:t>
      </w:r>
      <w:r>
        <w:rPr>
          <w:lang w:val="pt-BR"/>
        </w:rPr>
        <w:t xml:space="preserve"> </w:t>
      </w:r>
      <w:r>
        <w:rPr>
          <w:lang w:val="pt-BR"/>
        </w:rPr>
        <w:t xml:space="preserve">encontra aqui seu correlato institucional: a cegueira lida como virtude é a mesma que impede a</w:t>
      </w:r>
      <w:r>
        <w:rPr>
          <w:lang w:val="pt-BR"/>
        </w:rPr>
        <w:t xml:space="preserve"> </w:t>
      </w:r>
      <w:r>
        <w:rPr>
          <w:lang w:val="pt-BR"/>
        </w:rPr>
        <w:t xml:space="preserve">alegoria de ver que nenhuma mulher real ocupa o lugar que ela personifica</w:t>
      </w:r>
      <w:r>
        <w:rPr>
          <w:lang w:val="pt-BR"/>
        </w:rPr>
        <w:t xml:space="preserve"> </w:t>
      </w:r>
      <w:r>
        <w:rPr>
          <w:lang w:val="pt-BR"/>
        </w:rPr>
        <w:t xml:space="preserve">(Resnik; Curtis, 2011)</w:t>
      </w:r>
      <w:r>
        <w:rPr>
          <w:lang w:val="pt-BR"/>
        </w:rPr>
        <w:t xml:space="preserve">.</w:t>
      </w:r>
    </w:p>
    <w:p>
      <w:pPr>
        <w:pStyle w:val="BodyText"/>
      </w:pPr>
      <w:r>
        <w:rPr>
          <w:lang w:val="pt-BR"/>
        </w:rPr>
        <w:t xml:space="preserve">O item propriamente</w:t>
      </w:r>
      <w:r>
        <w:rPr>
          <w:lang w:val="pt-BR"/>
        </w:rPr>
        <w:t xml:space="preserve"> </w:t>
      </w:r>
      <w:r>
        <w:rPr>
          <w:lang w:val="pt-BR"/>
        </w:rPr>
        <w:t xml:space="preserve">“no Capitólio”</w:t>
      </w:r>
      <w:r>
        <w:rPr>
          <w:lang w:val="pt-BR"/>
        </w:rPr>
        <w:t xml:space="preserve"> </w:t>
      </w:r>
      <w:r>
        <w:rPr>
          <w:lang w:val="pt-BR"/>
        </w:rPr>
        <w:t xml:space="preserve">é o modelo em gesso</w:t>
      </w:r>
      <w:r>
        <w:rPr>
          <w:lang w:val="pt-BR"/>
        </w:rPr>
        <w:t xml:space="preserve"> </w:t>
      </w:r>
      <w:r>
        <w:rPr>
          <w:i/>
          <w:iCs/>
          <w:lang w:val="pt-BR"/>
        </w:rPr>
        <w:t xml:space="preserve">Justice and History</w:t>
      </w:r>
      <w:r>
        <w:rPr>
          <w:lang w:val="pt-BR"/>
        </w:rPr>
        <w:t xml:space="preserve"> </w:t>
      </w:r>
      <w:r>
        <w:rPr>
          <w:lang w:val="pt-BR"/>
        </w:rPr>
        <w:t xml:space="preserve">(c. 1860; corpus item</w:t>
      </w:r>
      <w:r>
        <w:rPr>
          <w:lang w:val="pt-BR"/>
        </w:rPr>
        <w:t xml:space="preserve"> </w:t>
      </w:r>
      <w:r>
        <w:rPr>
          <w:rStyle w:val="VerbatimChar"/>
          <w:lang w:val="pt-BR"/>
        </w:rPr>
        <w:t xml:space="preserve">416a2c38</w:t>
      </w:r>
      <w:r>
        <w:rPr>
          <w:lang w:val="pt-BR"/>
        </w:rPr>
        <w:t xml:space="preserve">, composto 2,1), com enquadramento arquitetônico no valor máximo (3). O indicador não é</w:t>
      </w:r>
      <w:r>
        <w:rPr>
          <w:lang w:val="pt-BR"/>
        </w:rPr>
        <w:t xml:space="preserve"> </w:t>
      </w:r>
      <w:r>
        <w:rPr>
          <w:lang w:val="pt-BR"/>
        </w:rPr>
        <w:t xml:space="preserve">acessório: o sentido</w:t>
      </w:r>
      <w:r>
        <w:rPr>
          <w:lang w:val="pt-BR"/>
        </w:rPr>
        <w:t xml:space="preserve"> </w:t>
      </w:r>
      <w:r>
        <w:rPr>
          <w:i/>
          <w:iCs/>
          <w:lang w:val="pt-BR"/>
        </w:rPr>
        <w:t xml:space="preserve">é</w:t>
      </w:r>
      <w:r>
        <w:rPr>
          <w:lang w:val="pt-BR"/>
        </w:rPr>
        <w:t xml:space="preserve"> </w:t>
      </w:r>
      <w:r>
        <w:rPr>
          <w:lang w:val="pt-BR"/>
        </w:rPr>
        <w:t xml:space="preserve">o embutimento arquitetônico. A figura não está diante do edifício do Estado;</w:t>
      </w:r>
      <w:r>
        <w:rPr>
          <w:lang w:val="pt-BR"/>
        </w:rPr>
        <w:t xml:space="preserve"> </w:t>
      </w:r>
      <w:r>
        <w:rPr>
          <w:lang w:val="pt-BR"/>
        </w:rPr>
        <w:t xml:space="preserve">ela é parte da sua estrutura, tectônica antes de ser icônica. É a Feminilidade de Estado (Cap. 2) em</w:t>
      </w:r>
      <w:r>
        <w:rPr>
          <w:lang w:val="pt-BR"/>
        </w:rPr>
        <w:t xml:space="preserve"> </w:t>
      </w:r>
      <w:r>
        <w:rPr>
          <w:lang w:val="pt-BR"/>
        </w:rPr>
        <w:t xml:space="preserve">sua acepção literal — a mulher tornada coluna, a alegoria convertida em membro sustentante do próprio</w:t>
      </w:r>
      <w:r>
        <w:rPr>
          <w:lang w:val="pt-BR"/>
        </w:rPr>
        <w:t xml:space="preserve"> </w:t>
      </w:r>
      <w:r>
        <w:rPr>
          <w:lang w:val="pt-BR"/>
        </w:rPr>
        <w:t xml:space="preserve">corpo político.</w:t>
      </w:r>
    </w:p>
    <w:p>
      <w:pPr>
        <w:pStyle w:val="BodyText"/>
      </w:pPr>
      <w:r>
        <w:rPr>
          <w:lang w:val="pt-BR"/>
        </w:rPr>
        <w:t xml:space="preserve">Columbia oferece o gradiente marcial. Da cromolitografia em que ela entrega a espada ao almirante</w:t>
      </w:r>
      <w:r>
        <w:rPr>
          <w:lang w:val="pt-BR"/>
        </w:rPr>
        <w:t xml:space="preserve"> </w:t>
      </w:r>
      <w:r>
        <w:rPr>
          <w:lang w:val="pt-BR"/>
        </w:rPr>
        <w:t xml:space="preserve">Dewey (1899; corpus item</w:t>
      </w:r>
      <w:r>
        <w:rPr>
          <w:lang w:val="pt-BR"/>
        </w:rPr>
        <w:t xml:space="preserve"> </w:t>
      </w:r>
      <w:r>
        <w:rPr>
          <w:rStyle w:val="VerbatimChar"/>
          <w:lang w:val="pt-BR"/>
        </w:rPr>
        <w:t xml:space="preserve">610a396d</w:t>
      </w:r>
      <w:r>
        <w:rPr>
          <w:lang w:val="pt-BR"/>
        </w:rPr>
        <w:t xml:space="preserve">, composto 1,0) ao cartaz de recrutamento</w:t>
      </w:r>
      <w:r>
        <w:rPr>
          <w:lang w:val="pt-BR"/>
        </w:rPr>
        <w:t xml:space="preserve"> </w:t>
      </w:r>
      <w:r>
        <w:rPr>
          <w:i/>
          <w:iCs/>
          <w:lang w:val="pt-BR"/>
        </w:rPr>
        <w:t xml:space="preserve">Columbia calls — Enlist</w:t>
      </w:r>
      <w:r>
        <w:rPr>
          <w:i/>
          <w:iCs/>
          <w:lang w:val="pt-BR"/>
        </w:rPr>
        <w:t xml:space="preserve"> </w:t>
      </w:r>
      <w:r>
        <w:rPr>
          <w:i/>
          <w:iCs/>
          <w:lang w:val="pt-BR"/>
        </w:rPr>
        <w:t xml:space="preserve">now</w:t>
      </w:r>
      <w:r>
        <w:rPr>
          <w:lang w:val="pt-BR"/>
        </w:rPr>
        <w:t xml:space="preserve"> </w:t>
      </w:r>
      <w:r>
        <w:rPr>
          <w:lang w:val="pt-BR"/>
        </w:rPr>
        <w:t xml:space="preserve">(1917; corpus item</w:t>
      </w:r>
      <w:r>
        <w:rPr>
          <w:lang w:val="pt-BR"/>
        </w:rPr>
        <w:t xml:space="preserve"> </w:t>
      </w:r>
      <w:r>
        <w:rPr>
          <w:rStyle w:val="VerbatimChar"/>
          <w:lang w:val="pt-BR"/>
        </w:rPr>
        <w:t xml:space="preserve">473ac4d7</w:t>
      </w:r>
      <w:r>
        <w:rPr>
          <w:lang w:val="pt-BR"/>
        </w:rPr>
        <w:t xml:space="preserve">, composto 1,6), o motivo percorre o regime</w:t>
      </w:r>
      <w:r>
        <w:rPr>
          <w:lang w:val="pt-BR"/>
        </w:rPr>
        <w:t xml:space="preserve"> </w:t>
      </w:r>
      <w:r>
        <w:rPr>
          <w:b/>
          <w:bCs/>
          <w:lang w:val="pt-BR"/>
        </w:rPr>
        <w:t xml:space="preserve">militar</w:t>
      </w:r>
      <w:r>
        <w:rPr>
          <w:lang w:val="pt-BR"/>
        </w:rPr>
        <w:t xml:space="preserve">: o corpo</w:t>
      </w:r>
      <w:r>
        <w:rPr>
          <w:lang w:val="pt-BR"/>
        </w:rPr>
        <w:t xml:space="preserve"> </w:t>
      </w:r>
      <w:r>
        <w:rPr>
          <w:lang w:val="pt-BR"/>
        </w:rPr>
        <w:t xml:space="preserve">feminino como delegação da violência de Estado, a alegoria que arma o cidadão. A nota de codificação</w:t>
      </w:r>
      <w:r>
        <w:rPr>
          <w:lang w:val="pt-BR"/>
        </w:rPr>
        <w:t xml:space="preserve"> </w:t>
      </w:r>
      <w:r>
        <w:rPr>
          <w:lang w:val="pt-BR"/>
        </w:rPr>
        <w:t xml:space="preserve">do item de Dewey formula um dado contra-intuitivo e teoricamente valioso: a chapa oficial</w:t>
      </w:r>
      <w:r>
        <w:rPr>
          <w:lang w:val="pt-BR"/>
        </w:rPr>
        <w:t xml:space="preserve"> </w:t>
      </w:r>
      <w:r>
        <w:rPr>
          <w:i/>
          <w:iCs/>
          <w:lang w:val="pt-BR"/>
        </w:rPr>
        <w:t xml:space="preserve">normativa</w:t>
      </w:r>
      <w:r>
        <w:rPr>
          <w:lang w:val="pt-BR"/>
        </w:rPr>
        <w:t xml:space="preserve"> </w:t>
      </w:r>
      <w:r>
        <w:rPr>
          <w:lang w:val="pt-BR"/>
        </w:rPr>
        <w:t xml:space="preserve">está</w:t>
      </w:r>
      <w:r>
        <w:rPr>
          <w:lang w:val="pt-BR"/>
        </w:rPr>
        <w:t xml:space="preserve"> </w:t>
      </w:r>
      <w:r>
        <w:rPr>
          <w:b/>
          <w:bCs/>
          <w:lang w:val="pt-BR"/>
        </w:rPr>
        <w:t xml:space="preserve">mais endurecida</w:t>
      </w:r>
      <w:r>
        <w:rPr>
          <w:lang w:val="pt-BR"/>
        </w:rPr>
        <w:t xml:space="preserve"> </w:t>
      </w:r>
      <w:r>
        <w:rPr>
          <w:lang w:val="pt-BR"/>
        </w:rPr>
        <w:t xml:space="preserve">que a estampa popular</w:t>
      </w:r>
      <w:r>
        <w:rPr>
          <w:lang w:val="pt-BR"/>
        </w:rPr>
        <w:t xml:space="preserve"> </w:t>
      </w:r>
      <w:r>
        <w:rPr>
          <w:i/>
          <w:iCs/>
          <w:lang w:val="pt-BR"/>
        </w:rPr>
        <w:t xml:space="preserve">marcial</w:t>
      </w:r>
      <w:r>
        <w:rPr>
          <w:lang w:val="pt-BR"/>
        </w:rPr>
        <w:t xml:space="preserve">. Vale dizer: a burocracia purifica mais que a</w:t>
      </w:r>
      <w:r>
        <w:rPr>
          <w:lang w:val="pt-BR"/>
        </w:rPr>
        <w:t xml:space="preserve"> </w:t>
      </w:r>
      <w:r>
        <w:rPr>
          <w:lang w:val="pt-BR"/>
        </w:rPr>
        <w:t xml:space="preserve">guerra. O endurecimento não é função da violência representada, mas da distância institucional entre a</w:t>
      </w:r>
      <w:r>
        <w:rPr>
          <w:lang w:val="pt-BR"/>
        </w:rPr>
        <w:t xml:space="preserve"> </w:t>
      </w:r>
      <w:r>
        <w:rPr>
          <w:lang w:val="pt-BR"/>
        </w:rPr>
        <w:t xml:space="preserve">imagem e o corpo vivo.</w:t>
      </w:r>
    </w:p>
    <w:p>
      <w:pPr>
        <w:pStyle w:val="BodyText"/>
      </w:pPr>
      <w:r>
        <w:rPr>
          <w:lang w:val="pt-BR"/>
        </w:rPr>
        <w:t xml:space="preserve">O contraponto — e a chave da conclusão da tese — é</w:t>
      </w:r>
      <w:r>
        <w:rPr>
          <w:lang w:val="pt-BR"/>
        </w:rPr>
        <w:t xml:space="preserve"> </w:t>
      </w:r>
      <w:r>
        <w:rPr>
          <w:i/>
          <w:iCs/>
          <w:lang w:val="pt-BR"/>
        </w:rPr>
        <w:t xml:space="preserve">Hedwig Reicher as Columbia</w:t>
      </w:r>
      <w:r>
        <w:rPr>
          <w:lang w:val="pt-BR"/>
        </w:rPr>
        <w:t xml:space="preserve"> </w:t>
      </w:r>
      <w:r>
        <w:rPr>
          <w:lang w:val="pt-BR"/>
        </w:rPr>
        <w:t xml:space="preserve">(1913; corpus item</w:t>
      </w:r>
      <w:r>
        <w:rPr>
          <w:lang w:val="pt-BR"/>
        </w:rPr>
        <w:t xml:space="preserve"> </w:t>
      </w:r>
      <w:r>
        <w:rPr>
          <w:rStyle w:val="VerbatimChar"/>
          <w:lang w:val="pt-BR"/>
        </w:rPr>
        <w:t xml:space="preserve">2419621d</w:t>
      </w:r>
      <w:r>
        <w:rPr>
          <w:lang w:val="pt-BR"/>
        </w:rPr>
        <w:t xml:space="preserve">, composto 1,3), fotografia de uma atriz personificando Columbia no desfile sufragista de</w:t>
      </w:r>
      <w:r>
        <w:rPr>
          <w:lang w:val="pt-BR"/>
        </w:rPr>
        <w:t xml:space="preserve"> </w:t>
      </w:r>
      <w:r>
        <w:rPr>
          <w:lang w:val="pt-BR"/>
        </w:rPr>
        <w:t xml:space="preserve">Washington. A codificação a reclassifica de normativa para</w:t>
      </w:r>
      <w:r>
        <w:rPr>
          <w:lang w:val="pt-BR"/>
        </w:rPr>
        <w:t xml:space="preserve"> </w:t>
      </w:r>
      <w:r>
        <w:rPr>
          <w:b/>
          <w:bCs/>
          <w:lang w:val="pt-BR"/>
        </w:rPr>
        <w:t xml:space="preserve">fundacional (contra-fundacional)</w:t>
      </w:r>
      <w:r>
        <w:rPr>
          <w:lang w:val="pt-BR"/>
        </w:rPr>
        <w:t xml:space="preserve"> </w:t>
      </w:r>
      <w:r>
        <w:rPr>
          <w:lang w:val="pt-BR"/>
        </w:rPr>
        <w:t xml:space="preserve">e</w:t>
      </w:r>
      <w:r>
        <w:rPr>
          <w:lang w:val="pt-BR"/>
        </w:rPr>
        <w:t xml:space="preserve"> </w:t>
      </w:r>
      <w:r>
        <w:rPr>
          <w:lang w:val="pt-BR"/>
        </w:rPr>
        <w:t xml:space="preserve">baixa a desincorporação de 1 para 0 [VERIFICAR: o campo segue 1 no registro atual de</w:t>
      </w:r>
      <w:r>
        <w:rPr>
          <w:lang w:val="pt-BR"/>
        </w:rPr>
        <w:t xml:space="preserve"> </w:t>
      </w:r>
      <w:r>
        <w:rPr>
          <w:rStyle w:val="VerbatimChar"/>
          <w:lang w:val="pt-BR"/>
        </w:rPr>
        <w:t xml:space="preserve">2419621d</w:t>
      </w:r>
      <w:r>
        <w:rPr>
          <w:lang w:val="pt-BR"/>
        </w:rPr>
        <w:t xml:space="preserve"> </w:t>
      </w:r>
      <w:r>
        <w:rPr>
          <w:lang w:val="pt-BR"/>
        </w:rPr>
        <w:t xml:space="preserve">— atualizar a frase ou o registro] com uma anotação decisiva:</w:t>
      </w:r>
      <w:r>
        <w:rPr>
          <w:lang w:val="pt-BR"/>
        </w:rPr>
        <w:t xml:space="preserve"> </w:t>
      </w:r>
      <w:r>
        <w:rPr>
          <w:i/>
          <w:iCs/>
          <w:lang w:val="pt-BR"/>
        </w:rPr>
        <w:t xml:space="preserve">este é um corpo real</w:t>
      </w:r>
      <w:r>
        <w:rPr>
          <w:lang w:val="pt-BR"/>
        </w:rPr>
        <w:t xml:space="preserve">. Reicher é,</w:t>
      </w:r>
      <w:r>
        <w:rPr>
          <w:lang w:val="pt-BR"/>
        </w:rPr>
        <w:t xml:space="preserve"> </w:t>
      </w:r>
      <w:r>
        <w:rPr>
          <w:lang w:val="pt-BR"/>
        </w:rPr>
        <w:t xml:space="preserve">simultaneamente, uma mulher concreta e a alegoria Columbia — e é precisamente essa coincidência que</w:t>
      </w:r>
      <w:r>
        <w:rPr>
          <w:lang w:val="pt-BR"/>
        </w:rPr>
        <w:t xml:space="preserve"> </w:t>
      </w:r>
      <w:r>
        <w:rPr>
          <w:lang w:val="pt-BR"/>
        </w:rPr>
        <w:t xml:space="preserve">expõe o contrato visual</w:t>
      </w:r>
      <w:r>
        <w:rPr>
          <w:lang w:val="pt-BR"/>
        </w:rPr>
        <w:t xml:space="preserve"> </w:t>
      </w:r>
      <w:r>
        <w:rPr>
          <w:i/>
          <w:iCs/>
          <w:lang w:val="pt-BR"/>
        </w:rPr>
        <w:t xml:space="preserve">por dentro</w:t>
      </w:r>
      <w:r>
        <w:rPr>
          <w:lang w:val="pt-BR"/>
        </w:rPr>
        <w:t xml:space="preserve">. Quando a mulher real reocupa o corpo que a alegoria lhe havia</w:t>
      </w:r>
      <w:r>
        <w:rPr>
          <w:lang w:val="pt-BR"/>
        </w:rPr>
        <w:t xml:space="preserve"> </w:t>
      </w:r>
      <w:r>
        <w:rPr>
          <w:lang w:val="pt-BR"/>
        </w:rPr>
        <w:t xml:space="preserve">usurpado, a substituição naturalizada torna-se, por um instante, visível como escolha. É a</w:t>
      </w:r>
      <w:r>
        <w:rPr>
          <w:lang w:val="pt-BR"/>
        </w:rPr>
        <w:t xml:space="preserve"> </w:t>
      </w:r>
      <w:r>
        <w:rPr>
          <w:lang w:val="pt-BR"/>
        </w:rPr>
        <w:t xml:space="preserve">contra-alegoria não pela destruição (como a Marianne de 2018), mas pela reencarnação.</w:t>
      </w:r>
    </w:p>
    <w:bookmarkEnd w:id="116"/>
    <w:bookmarkStart w:id="117" w:name="Xb3a556b0eabd37267148a6b6f669fa6fad8287e"/>
    <w:p>
      <w:pPr>
        <w:pStyle w:val="Heading2"/>
      </w:pPr>
      <w:r>
        <w:rPr>
          <w:rStyle w:val="SectionNumber"/>
          <w:lang w:val="pt-BR"/>
        </w:rPr>
        <w:t xml:space="preserve">8.4</w:t>
      </w:r>
      <w:r>
        <w:tab/>
      </w:r>
      <w:r>
        <w:rPr>
          <w:lang w:val="pt-BR"/>
        </w:rPr>
        <w:t xml:space="preserve">7.4 — A Justiça de Ceschiatti e a República sobre coluna</w:t>
      </w:r>
    </w:p>
    <w:p>
      <w:pPr>
        <w:pStyle w:val="BlockText"/>
      </w:pPr>
      <w:r>
        <w:rPr>
          <w:b/>
          <w:bCs/>
          <w:lang w:val="pt-BR"/>
        </w:rPr>
        <w:t xml:space="preserve">Tese parcial.</w:t>
      </w:r>
      <w:r>
        <w:rPr>
          <w:lang w:val="pt-BR"/>
        </w:rPr>
        <w:t xml:space="preserve"> </w:t>
      </w:r>
      <w:r>
        <w:rPr>
          <w:lang w:val="pt-BR"/>
        </w:rPr>
        <w:t xml:space="preserve">A</w:t>
      </w:r>
      <w:r>
        <w:rPr>
          <w:lang w:val="pt-BR"/>
        </w:rPr>
        <w:t xml:space="preserve"> </w:t>
      </w:r>
      <w:r>
        <w:rPr>
          <w:i/>
          <w:iCs/>
          <w:lang w:val="pt-BR"/>
        </w:rPr>
        <w:t xml:space="preserve">Justiça</w:t>
      </w:r>
      <w:r>
        <w:rPr>
          <w:lang w:val="pt-BR"/>
        </w:rPr>
        <w:t xml:space="preserve"> </w:t>
      </w:r>
      <w:r>
        <w:rPr>
          <w:lang w:val="pt-BR"/>
        </w:rPr>
        <w:t xml:space="preserve">de Alfredo Ceschiatti diante do Supremo Tribunal Federal (1961) é o</w:t>
      </w:r>
      <w:r>
        <w:rPr>
          <w:lang w:val="pt-BR"/>
        </w:rPr>
        <w:t xml:space="preserve"> </w:t>
      </w:r>
      <w:r>
        <w:rPr>
          <w:lang w:val="pt-BR"/>
        </w:rPr>
        <w:t xml:space="preserve">ponto de chegada brasileiro da Purificação Clássica: sentada, cega, armada e silenciosa, ela realiza</w:t>
      </w:r>
      <w:r>
        <w:rPr>
          <w:lang w:val="pt-BR"/>
        </w:rPr>
        <w:t xml:space="preserve"> </w:t>
      </w:r>
      <w:r>
        <w:rPr>
          <w:lang w:val="pt-BR"/>
        </w:rPr>
        <w:t xml:space="preserve">a Feminilidade de Estado em estado quase puro. Comparada às alegorias republicanas anteriores, ela</w:t>
      </w:r>
      <w:r>
        <w:rPr>
          <w:lang w:val="pt-BR"/>
        </w:rPr>
        <w:t xml:space="preserve"> </w:t>
      </w:r>
      <w:r>
        <w:rPr>
          <w:lang w:val="pt-BR"/>
        </w:rPr>
        <w:t xml:space="preserve">fecha um arco de endurecimento de meio século — e o faz importando um corpo cuja branquitude</w:t>
      </w:r>
      <w:r>
        <w:rPr>
          <w:lang w:val="pt-BR"/>
        </w:rPr>
        <w:t xml:space="preserve"> </w:t>
      </w:r>
      <w:r>
        <w:rPr>
          <w:lang w:val="pt-BR"/>
        </w:rPr>
        <w:t xml:space="preserve">classicizante é, nos termos do Cap. 3, condição de operabilidade, não acidente estético.</w:t>
      </w:r>
    </w:p>
    <w:p>
      <w:pPr>
        <w:pStyle w:val="FirstParagraph"/>
      </w:pPr>
      <w:r>
        <w:rPr>
          <w:lang w:val="pt-BR"/>
        </w:rPr>
        <w:t xml:space="preserve">No nível pré-iconográfico, a</w:t>
      </w:r>
      <w:r>
        <w:rPr>
          <w:lang w:val="pt-BR"/>
        </w:rPr>
        <w:t xml:space="preserve"> </w:t>
      </w:r>
      <w:r>
        <w:rPr>
          <w:i/>
          <w:iCs/>
          <w:lang w:val="pt-BR"/>
        </w:rPr>
        <w:t xml:space="preserve">Justiça</w:t>
      </w:r>
      <w:r>
        <w:rPr>
          <w:lang w:val="pt-BR"/>
        </w:rPr>
        <w:t xml:space="preserve"> </w:t>
      </w:r>
      <w:r>
        <w:rPr>
          <w:lang w:val="pt-BR"/>
        </w:rPr>
        <w:t xml:space="preserve">de Ceschiatti (1961; corpus item</w:t>
      </w:r>
      <w:r>
        <w:rPr>
          <w:lang w:val="pt-BR"/>
        </w:rPr>
        <w:t xml:space="preserve"> </w:t>
      </w:r>
      <w:r>
        <w:rPr>
          <w:rStyle w:val="VerbatimChar"/>
          <w:lang w:val="pt-BR"/>
        </w:rPr>
        <w:t xml:space="preserve">9eecda17</w:t>
      </w:r>
      <w:r>
        <w:rPr>
          <w:lang w:val="pt-BR"/>
        </w:rPr>
        <w:t xml:space="preserve">, composto 2,2) é</w:t>
      </w:r>
      <w:r>
        <w:rPr>
          <w:lang w:val="pt-BR"/>
        </w:rPr>
        <w:t xml:space="preserve"> </w:t>
      </w:r>
      <w:r>
        <w:rPr>
          <w:lang w:val="pt-BR"/>
        </w:rPr>
        <w:t xml:space="preserve">uma figura de granito, sentada, de formas modernistas simplificadas, olhos cerrados, espada apoiada</w:t>
      </w:r>
      <w:r>
        <w:rPr>
          <w:lang w:val="pt-BR"/>
        </w:rPr>
        <w:t xml:space="preserve"> </w:t>
      </w:r>
      <w:r>
        <w:rPr>
          <w:lang w:val="pt-BR"/>
        </w:rPr>
        <w:t xml:space="preserve">sobre os joelhos. O vetor é alto e homogêneo — apagamento narrativo 3, serialidade 3, inscrição</w:t>
      </w:r>
      <w:r>
        <w:rPr>
          <w:lang w:val="pt-BR"/>
        </w:rPr>
        <w:t xml:space="preserve"> </w:t>
      </w:r>
      <w:r>
        <w:rPr>
          <w:lang w:val="pt-BR"/>
        </w:rPr>
        <w:t xml:space="preserve">estatal 3 — e a leitura de nível 3 anotada no corpus condensa a tese:</w:t>
      </w:r>
      <w:r>
        <w:rPr>
          <w:lang w:val="pt-BR"/>
        </w:rPr>
        <w:t xml:space="preserve"> </w:t>
      </w:r>
      <w:r>
        <w:rPr>
          <w:lang w:val="pt-BR"/>
        </w:rPr>
        <w:t xml:space="preserve">“sentada (contida), cega</w:t>
      </w:r>
      <w:r>
        <w:rPr>
          <w:lang w:val="pt-BR"/>
        </w:rPr>
        <w:t xml:space="preserve"> </w:t>
      </w:r>
      <w:r>
        <w:rPr>
          <w:lang w:val="pt-BR"/>
        </w:rPr>
        <w:t xml:space="preserve">(passiva), armada (violência delegada), silenciosa”</w:t>
      </w:r>
      <w:r>
        <w:rPr>
          <w:lang w:val="pt-BR"/>
        </w:rPr>
        <w:t xml:space="preserve"> </w:t>
      </w:r>
      <w:r>
        <w:rPr>
          <w:lang w:val="pt-BR"/>
        </w:rPr>
        <w:t xml:space="preserve">(nota de codificação do item BR-009, citada verbatim). Cada atributo é uma subtração: a contenção</w:t>
      </w:r>
      <w:r>
        <w:rPr>
          <w:lang w:val="pt-BR"/>
        </w:rPr>
        <w:t xml:space="preserve"> </w:t>
      </w:r>
      <w:r>
        <w:rPr>
          <w:lang w:val="pt-BR"/>
        </w:rPr>
        <w:t xml:space="preserve">subtrai o movimento, a venda subtrai o olhar, a delegação subtrai a agência, o silêncio subtrai a</w:t>
      </w:r>
      <w:r>
        <w:rPr>
          <w:lang w:val="pt-BR"/>
        </w:rPr>
        <w:t xml:space="preserve"> </w:t>
      </w:r>
      <w:r>
        <w:rPr>
          <w:lang w:val="pt-BR"/>
        </w:rPr>
        <w:t xml:space="preserve">voz. O que resta é a forma — e a forma, no cânone que a produz, é a da deusa neoclássica transplantada</w:t>
      </w:r>
      <w:r>
        <w:rPr>
          <w:lang w:val="pt-BR"/>
        </w:rPr>
        <w:t xml:space="preserve"> </w:t>
      </w:r>
      <w:r>
        <w:rPr>
          <w:lang w:val="pt-BR"/>
        </w:rPr>
        <w:t xml:space="preserve">para o cerrado, exatamente o corpo impossível que o Cap. 3 analisou em Villares. A</w:t>
      </w:r>
      <w:r>
        <w:rPr>
          <w:lang w:val="pt-BR"/>
        </w:rPr>
        <w:t xml:space="preserve"> </w:t>
      </w:r>
      <w:r>
        <w:rPr>
          <w:rStyle w:val="VerbatimChar"/>
          <w:lang w:val="pt-BR"/>
        </w:rPr>
        <w:t xml:space="preserve">ref_genealogica</w:t>
      </w:r>
      <w:r>
        <w:rPr>
          <w:lang w:val="pt-BR"/>
        </w:rPr>
        <w:t xml:space="preserve"> </w:t>
      </w:r>
      <w:r>
        <w:rPr>
          <w:lang w:val="pt-BR"/>
        </w:rPr>
        <w:t xml:space="preserve">codificada do item remete a Carvalho</w:t>
      </w:r>
      <w:r>
        <w:rPr>
          <w:lang w:val="pt-BR"/>
        </w:rPr>
        <w:t xml:space="preserve"> </w:t>
      </w:r>
      <w:r>
        <w:rPr>
          <w:lang w:val="pt-BR"/>
        </w:rPr>
        <w:t xml:space="preserve">(Carvalho, 1990)</w:t>
      </w:r>
      <w:r>
        <w:rPr>
          <w:lang w:val="pt-BR"/>
        </w:rPr>
        <w:t xml:space="preserve">, e a comparação sugerida pela própria nota — com</w:t>
      </w:r>
      <w:r>
        <w:rPr>
          <w:lang w:val="pt-BR"/>
        </w:rPr>
        <w:t xml:space="preserve"> </w:t>
      </w:r>
      <w:r>
        <w:rPr>
          <w:lang w:val="pt-BR"/>
        </w:rPr>
        <w:t xml:space="preserve">uma República anterior de escore muito inferior — desenha um</w:t>
      </w:r>
      <w:r>
        <w:rPr>
          <w:lang w:val="pt-BR"/>
        </w:rPr>
        <w:t xml:space="preserve"> </w:t>
      </w:r>
      <w:r>
        <w:rPr>
          <w:i/>
          <w:iCs/>
          <w:lang w:val="pt-BR"/>
        </w:rPr>
        <w:t xml:space="preserve">arco de endurecimento de cinquenta anos</w:t>
      </w:r>
      <w:r>
        <w:rPr>
          <w:lang w:val="pt-BR"/>
        </w:rPr>
        <w:t xml:space="preserve"> </w:t>
      </w:r>
      <w:r>
        <w:rPr>
          <w:lang w:val="pt-BR"/>
        </w:rPr>
        <w:t xml:space="preserve">em que cada indicador sobe.</w:t>
      </w:r>
    </w:p>
    <w:p>
      <w:pPr>
        <w:pStyle w:val="BodyText"/>
      </w:pPr>
      <w:r>
        <w:rPr>
          <w:lang w:val="pt-BR"/>
        </w:rPr>
        <w:t xml:space="preserve">A</w:t>
      </w:r>
      <w:r>
        <w:rPr>
          <w:lang w:val="pt-BR"/>
        </w:rPr>
        <w:t xml:space="preserve"> </w:t>
      </w:r>
      <w:r>
        <w:rPr>
          <w:lang w:val="pt-BR"/>
        </w:rPr>
        <w:t xml:space="preserve">“República sobre coluna”</w:t>
      </w:r>
      <w:r>
        <w:rPr>
          <w:lang w:val="pt-BR"/>
        </w:rPr>
        <w:t xml:space="preserve"> </w:t>
      </w:r>
      <w:r>
        <w:rPr>
          <w:lang w:val="pt-BR"/>
        </w:rPr>
        <w:t xml:space="preserve">materializa-se no Monumento à República de Belém (1940; corpus items</w:t>
      </w:r>
      <w:r>
        <w:rPr>
          <w:lang w:val="pt-BR"/>
        </w:rPr>
        <w:t xml:space="preserve"> </w:t>
      </w:r>
      <w:r>
        <w:rPr>
          <w:rStyle w:val="VerbatimChar"/>
          <w:lang w:val="pt-BR"/>
        </w:rPr>
        <w:t xml:space="preserve">ae8876ff</w:t>
      </w:r>
      <w:r>
        <w:rPr>
          <w:lang w:val="pt-BR"/>
        </w:rPr>
        <w:t xml:space="preserve">, composto 2,1, e o detalhe</w:t>
      </w:r>
      <w:r>
        <w:rPr>
          <w:lang w:val="pt-BR"/>
        </w:rPr>
        <w:t xml:space="preserve"> </w:t>
      </w:r>
      <w:r>
        <w:rPr>
          <w:rStyle w:val="VerbatimChar"/>
          <w:lang w:val="pt-BR"/>
        </w:rPr>
        <w:t xml:space="preserve">d5c61575</w:t>
      </w:r>
      <w:r>
        <w:rPr>
          <w:lang w:val="pt-BR"/>
        </w:rPr>
        <w:t xml:space="preserve">, composto 1,7): figura feminina no alto de uma</w:t>
      </w:r>
      <w:r>
        <w:rPr>
          <w:lang w:val="pt-BR"/>
        </w:rPr>
        <w:t xml:space="preserve"> </w:t>
      </w:r>
      <w:r>
        <w:rPr>
          <w:lang w:val="pt-BR"/>
        </w:rPr>
        <w:t xml:space="preserve">coluna, elevada acima do espaço cívico. O par de registros é metodologicamente precioso porque isola</w:t>
      </w:r>
      <w:r>
        <w:rPr>
          <w:lang w:val="pt-BR"/>
        </w:rPr>
        <w:t xml:space="preserve"> </w:t>
      </w:r>
      <w:r>
        <w:rPr>
          <w:lang w:val="pt-BR"/>
        </w:rPr>
        <w:t xml:space="preserve">a</w:t>
      </w:r>
      <w:r>
        <w:rPr>
          <w:lang w:val="pt-BR"/>
        </w:rPr>
        <w:t xml:space="preserve"> </w:t>
      </w:r>
      <w:r>
        <w:rPr>
          <w:b/>
          <w:bCs/>
          <w:lang w:val="pt-BR"/>
        </w:rPr>
        <w:t xml:space="preserve">mediação do suporte</w:t>
      </w:r>
      <w:r>
        <w:rPr>
          <w:lang w:val="pt-BR"/>
        </w:rPr>
        <w:t xml:space="preserve">: a diferença de escore entre a vista geral e o detalhe (delta 0,4) prova que</w:t>
      </w:r>
      <w:r>
        <w:rPr>
          <w:lang w:val="pt-BR"/>
        </w:rPr>
        <w:t xml:space="preserve"> </w:t>
      </w:r>
      <w:r>
        <w:rPr>
          <w:lang w:val="pt-BR"/>
        </w:rPr>
        <w:t xml:space="preserve">o enquadramento — fotográfico ou monumental — é ele próprio um operador de endurecimento. Não é só a</w:t>
      </w:r>
      <w:r>
        <w:rPr>
          <w:lang w:val="pt-BR"/>
        </w:rPr>
        <w:t xml:space="preserve"> </w:t>
      </w:r>
      <w:r>
        <w:rPr>
          <w:lang w:val="pt-BR"/>
        </w:rPr>
        <w:t xml:space="preserve">figura que purifica; é o modo como ela é vista, elevada, recortada. A coluna faz, no eixo vertical, o</w:t>
      </w:r>
      <w:r>
        <w:rPr>
          <w:lang w:val="pt-BR"/>
        </w:rPr>
        <w:t xml:space="preserve"> </w:t>
      </w:r>
      <w:r>
        <w:rPr>
          <w:lang w:val="pt-BR"/>
        </w:rPr>
        <w:t xml:space="preserve">que a serialidade faz no eixo da reprodução: afasta o corpo do alcance, converte-o em ponto de fuga.</w:t>
      </w:r>
    </w:p>
    <w:p>
      <w:pPr>
        <w:pStyle w:val="BodyText"/>
      </w:pPr>
      <w:r>
        <w:rPr>
          <w:lang w:val="pt-BR"/>
        </w:rPr>
        <w:t xml:space="preserve">E, como em 7.1, o arco não termina em pedra intacta. A versão interna da</w:t>
      </w:r>
      <w:r>
        <w:rPr>
          <w:lang w:val="pt-BR"/>
        </w:rPr>
        <w:t xml:space="preserve"> </w:t>
      </w:r>
      <w:r>
        <w:rPr>
          <w:i/>
          <w:iCs/>
          <w:lang w:val="pt-BR"/>
        </w:rPr>
        <w:t xml:space="preserve">Justiça</w:t>
      </w:r>
      <w:r>
        <w:rPr>
          <w:lang w:val="pt-BR"/>
        </w:rPr>
        <w:t xml:space="preserve"> </w:t>
      </w:r>
      <w:r>
        <w:rPr>
          <w:lang w:val="pt-BR"/>
        </w:rPr>
        <w:t xml:space="preserve">de Ceschiatti,</w:t>
      </w:r>
      <w:r>
        <w:rPr>
          <w:lang w:val="pt-BR"/>
        </w:rPr>
        <w:t xml:space="preserve"> </w:t>
      </w:r>
      <w:r>
        <w:rPr>
          <w:lang w:val="pt-BR"/>
        </w:rPr>
        <w:t xml:space="preserve">vandalizada durante os atos de 8 de janeiro de 2023 (corpus item</w:t>
      </w:r>
      <w:r>
        <w:rPr>
          <w:lang w:val="pt-BR"/>
        </w:rPr>
        <w:t xml:space="preserve"> </w:t>
      </w:r>
      <w:r>
        <w:rPr>
          <w:rStyle w:val="VerbatimChar"/>
          <w:lang w:val="pt-BR"/>
        </w:rPr>
        <w:t xml:space="preserve">e0399402</w:t>
      </w:r>
      <w:r>
        <w:rPr>
          <w:lang w:val="pt-BR"/>
        </w:rPr>
        <w:t xml:space="preserve">, sem codificação</w:t>
      </w:r>
      <w:r>
        <w:rPr>
          <w:lang w:val="pt-BR"/>
        </w:rPr>
        <w:t xml:space="preserve"> </w:t>
      </w:r>
      <w:r>
        <w:rPr>
          <w:lang w:val="pt-BR"/>
        </w:rPr>
        <w:t xml:space="preserve">quantitativa), entra como</w:t>
      </w:r>
      <w:r>
        <w:rPr>
          <w:lang w:val="pt-BR"/>
        </w:rPr>
        <w:t xml:space="preserve"> </w:t>
      </w:r>
      <w:r>
        <w:rPr>
          <w:b/>
          <w:bCs/>
          <w:lang w:val="pt-BR"/>
        </w:rPr>
        <w:t xml:space="preserve">contra-alegoria</w:t>
      </w:r>
      <w:r>
        <w:rPr>
          <w:lang w:val="pt-BR"/>
        </w:rPr>
        <w:t xml:space="preserve"> </w:t>
      </w:r>
      <w:r>
        <w:rPr>
          <w:lang w:val="pt-BR"/>
        </w:rPr>
        <w:t xml:space="preserve">involuntária: o gesto iconoclasta que, ao atacar a</w:t>
      </w:r>
      <w:r>
        <w:rPr>
          <w:lang w:val="pt-BR"/>
        </w:rPr>
        <w:t xml:space="preserve"> </w:t>
      </w:r>
      <w:r>
        <w:rPr>
          <w:lang w:val="pt-BR"/>
        </w:rPr>
        <w:t xml:space="preserve">figura, reencena publicamente o que a Purificação Clássica havia recalcado — que a serenidade da</w:t>
      </w:r>
      <w:r>
        <w:rPr>
          <w:lang w:val="pt-BR"/>
        </w:rPr>
        <w:t xml:space="preserve"> </w:t>
      </w:r>
      <w:r>
        <w:rPr>
          <w:lang w:val="pt-BR"/>
        </w:rPr>
        <w:t xml:space="preserve">alegoria é uma produção, não um dado natural. A Justiça só parece imparcial enquanto ninguém lhe toca</w:t>
      </w:r>
      <w:r>
        <w:rPr>
          <w:lang w:val="pt-BR"/>
        </w:rPr>
        <w:t xml:space="preserve"> </w:t>
      </w:r>
      <w:r>
        <w:rPr>
          <w:lang w:val="pt-BR"/>
        </w:rPr>
        <w:t xml:space="preserve">a face de bronze. A iconoclastia é, aqui, a prova negativa da tese.</w:t>
      </w:r>
    </w:p>
    <w:bookmarkEnd w:id="117"/>
    <w:bookmarkStart w:id="118" w:name="o-palais-de-justice-de-bruxelas"/>
    <w:p>
      <w:pPr>
        <w:pStyle w:val="Heading2"/>
      </w:pPr>
      <w:r>
        <w:rPr>
          <w:rStyle w:val="SectionNumber"/>
          <w:lang w:val="pt-BR"/>
        </w:rPr>
        <w:t xml:space="preserve">8.5</w:t>
      </w:r>
      <w:r>
        <w:tab/>
      </w:r>
      <w:r>
        <w:rPr>
          <w:lang w:val="pt-BR"/>
        </w:rPr>
        <w:t xml:space="preserve">7.5 — O Palais de Justice de Bruxelas</w:t>
      </w:r>
    </w:p>
    <w:p>
      <w:pPr>
        <w:pStyle w:val="BlockText"/>
      </w:pPr>
      <w:r>
        <w:rPr>
          <w:b/>
          <w:bCs/>
          <w:lang w:val="pt-BR"/>
        </w:rPr>
        <w:t xml:space="preserve">Tese parcial.</w:t>
      </w:r>
      <w:r>
        <w:rPr>
          <w:lang w:val="pt-BR"/>
        </w:rPr>
        <w:t xml:space="preserve"> </w:t>
      </w:r>
      <w:r>
        <w:rPr>
          <w:lang w:val="pt-BR"/>
        </w:rPr>
        <w:t xml:space="preserve">O Palais de Justice de Poelaert é o teto empírico do corpus: o único item cujo</w:t>
      </w:r>
      <w:r>
        <w:rPr>
          <w:lang w:val="pt-BR"/>
        </w:rPr>
        <w:t xml:space="preserve"> </w:t>
      </w:r>
      <w:r>
        <w:rPr>
          <w:lang w:val="pt-BR"/>
        </w:rPr>
        <w:t xml:space="preserve">vetor tende ao máximo em todos os dez indicadores. Ele demonstra a forma-limite da Feminilidade de</w:t>
      </w:r>
      <w:r>
        <w:rPr>
          <w:lang w:val="pt-BR"/>
        </w:rPr>
        <w:t xml:space="preserve"> </w:t>
      </w:r>
      <w:r>
        <w:rPr>
          <w:lang w:val="pt-BR"/>
        </w:rPr>
        <w:t xml:space="preserve">Estado — a mulher literalmente convertida em arquitetura sustentante, beleza feminina como</w:t>
      </w:r>
      <w:r>
        <w:rPr>
          <w:lang w:val="pt-BR"/>
        </w:rPr>
        <w:t xml:space="preserve"> </w:t>
      </w:r>
      <w:r>
        <w:rPr>
          <w:i/>
          <w:iCs/>
          <w:lang w:val="pt-BR"/>
        </w:rPr>
        <w:t xml:space="preserve">face</w:t>
      </w:r>
      <w:r>
        <w:rPr>
          <w:lang w:val="pt-BR"/>
        </w:rPr>
        <w:t xml:space="preserve"> </w:t>
      </w:r>
      <w:r>
        <w:rPr>
          <w:lang w:val="pt-BR"/>
        </w:rPr>
        <w:t xml:space="preserve">cultural do edifício, autoridade masculina como seu</w:t>
      </w:r>
      <w:r>
        <w:rPr>
          <w:lang w:val="pt-BR"/>
        </w:rPr>
        <w:t xml:space="preserve"> </w:t>
      </w:r>
      <w:r>
        <w:rPr>
          <w:i/>
          <w:iCs/>
          <w:lang w:val="pt-BR"/>
        </w:rPr>
        <w:t xml:space="preserve">núcleo</w:t>
      </w:r>
      <w:r>
        <w:rPr>
          <w:lang w:val="pt-BR"/>
        </w:rPr>
        <w:t xml:space="preserve"> </w:t>
      </w:r>
      <w:r>
        <w:rPr>
          <w:lang w:val="pt-BR"/>
        </w:rPr>
        <w:t xml:space="preserve">operativo. Onde a alegoria atinge a</w:t>
      </w:r>
      <w:r>
        <w:rPr>
          <w:lang w:val="pt-BR"/>
        </w:rPr>
        <w:t xml:space="preserve"> </w:t>
      </w:r>
      <w:r>
        <w:rPr>
          <w:lang w:val="pt-BR"/>
        </w:rPr>
        <w:t xml:space="preserve">pedra total, a mulher real desaparece por completo do interior.</w:t>
      </w:r>
    </w:p>
    <w:p>
      <w:pPr>
        <w:pStyle w:val="FirstParagraph"/>
      </w:pPr>
      <w:r>
        <w:rPr>
          <w:lang w:val="pt-BR"/>
        </w:rPr>
        <w:t xml:space="preserve">O Palais de Justice de Bruxelas (Joseph Poelaert, 1866–1883; corpus item</w:t>
      </w:r>
      <w:r>
        <w:rPr>
          <w:lang w:val="pt-BR"/>
        </w:rPr>
        <w:t xml:space="preserve"> </w:t>
      </w:r>
      <w:r>
        <w:rPr>
          <w:rStyle w:val="VerbatimChar"/>
          <w:lang w:val="pt-BR"/>
        </w:rPr>
        <w:t xml:space="preserve">d77a533b</w:t>
      </w:r>
      <w:r>
        <w:rPr>
          <w:lang w:val="pt-BR"/>
        </w:rPr>
        <w:t xml:space="preserve">) é registrado no</w:t>
      </w:r>
      <w:r>
        <w:rPr>
          <w:lang w:val="pt-BR"/>
        </w:rPr>
        <w:t xml:space="preserve"> </w:t>
      </w:r>
      <w:r>
        <w:rPr>
          <w:lang w:val="pt-BR"/>
        </w:rPr>
        <w:t xml:space="preserve">corpus com o vetor mais alto de toda a amostra — próximo de 3 em todos os dez indicadores (composto</w:t>
      </w:r>
      <w:r>
        <w:rPr>
          <w:lang w:val="pt-BR"/>
        </w:rPr>
        <w:t xml:space="preserve"> </w:t>
      </w:r>
      <w:r>
        <w:rPr>
          <w:lang w:val="pt-BR"/>
        </w:rPr>
        <w:t xml:space="preserve">≈ 3,0, ajustado para 2,9 na nota de codificação, que rebaixa a inscrição estatal porque</w:t>
      </w:r>
      <w:r>
        <w:rPr>
          <w:lang w:val="pt-BR"/>
        </w:rPr>
        <w:t xml:space="preserve"> </w:t>
      </w:r>
      <w:r>
        <w:rPr>
          <w:i/>
          <w:iCs/>
          <w:lang w:val="pt-BR"/>
        </w:rPr>
        <w:t xml:space="preserve">a autoridade</w:t>
      </w:r>
      <w:r>
        <w:rPr>
          <w:i/>
          <w:iCs/>
          <w:lang w:val="pt-BR"/>
        </w:rPr>
        <w:t xml:space="preserve"> </w:t>
      </w:r>
      <w:r>
        <w:rPr>
          <w:i/>
          <w:iCs/>
          <w:lang w:val="pt-BR"/>
        </w:rPr>
        <w:t xml:space="preserve">aqui é arquitetônica, não textual</w:t>
      </w:r>
      <w:r>
        <w:rPr>
          <w:lang w:val="pt-BR"/>
        </w:rPr>
        <w:t xml:space="preserve">: o edifício não precisa de legenda). A anotação de nível 3 é o</w:t>
      </w:r>
      <w:r>
        <w:rPr>
          <w:lang w:val="pt-BR"/>
        </w:rPr>
        <w:t xml:space="preserve"> </w:t>
      </w:r>
      <w:r>
        <w:rPr>
          <w:lang w:val="pt-BR"/>
        </w:rPr>
        <w:t xml:space="preserve">coração do argumento da arquitetura forense:</w:t>
      </w:r>
      <w:r>
        <w:rPr>
          <w:lang w:val="pt-BR"/>
        </w:rPr>
        <w:t xml:space="preserve"> </w:t>
      </w:r>
      <w:r>
        <w:rPr>
          <w:lang w:val="pt-BR"/>
        </w:rPr>
        <w:t xml:space="preserve">“beleza feminina = face cultural do edifício; autoridade</w:t>
      </w:r>
      <w:r>
        <w:rPr>
          <w:lang w:val="pt-BR"/>
        </w:rPr>
        <w:t xml:space="preserve"> </w:t>
      </w:r>
      <w:r>
        <w:rPr>
          <w:lang w:val="pt-BR"/>
        </w:rPr>
        <w:t xml:space="preserve">masculina = núcleo operativo; as mulheres tornam-se colunas, e, no interior, todos os retratos são de</w:t>
      </w:r>
      <w:r>
        <w:rPr>
          <w:lang w:val="pt-BR"/>
        </w:rPr>
        <w:t xml:space="preserve"> </w:t>
      </w:r>
      <w:r>
        <w:rPr>
          <w:lang w:val="pt-BR"/>
        </w:rPr>
        <w:t xml:space="preserve">juristas homens”</w:t>
      </w:r>
      <w:r>
        <w:rPr>
          <w:lang w:val="pt-BR"/>
        </w:rPr>
        <w:t xml:space="preserve"> </w:t>
      </w:r>
      <w:r>
        <w:rPr>
          <w:lang w:val="pt-BR"/>
        </w:rPr>
        <w:t xml:space="preserve">(nota de codificação do item, citada verbatim [VERIFICAR:</w:t>
      </w:r>
      <w:r>
        <w:rPr>
          <w:lang w:val="pt-BR"/>
        </w:rPr>
        <w:t xml:space="preserve"> </w:t>
      </w:r>
      <w:r>
        <w:rPr>
          <w:lang w:val="pt-BR"/>
        </w:rPr>
        <w:t xml:space="preserve">“todos os retratos”</w:t>
      </w:r>
      <w:r>
        <w:rPr>
          <w:lang w:val="pt-BR"/>
        </w:rPr>
        <w:t xml:space="preserve"> </w:t>
      </w:r>
      <w:r>
        <w:rPr>
          <w:lang w:val="pt-BR"/>
        </w:rPr>
        <w:t xml:space="preserve">— universal não verificado]). É a formulação mais literal possível do Contrato Sexual Visual: a fachada exibe o</w:t>
      </w:r>
      <w:r>
        <w:rPr>
          <w:lang w:val="pt-BR"/>
        </w:rPr>
        <w:t xml:space="preserve"> </w:t>
      </w:r>
      <w:r>
        <w:rPr>
          <w:lang w:val="pt-BR"/>
        </w:rPr>
        <w:t xml:space="preserve">rosto de mulher — cariátides, alegorias, virtudes — enquanto o interior mantém intacta a fraternidade</w:t>
      </w:r>
      <w:r>
        <w:rPr>
          <w:lang w:val="pt-BR"/>
        </w:rPr>
        <w:t xml:space="preserve"> </w:t>
      </w:r>
      <w:r>
        <w:rPr>
          <w:lang w:val="pt-BR"/>
        </w:rPr>
        <w:t xml:space="preserve">masculina que Pateman</w:t>
      </w:r>
      <w:r>
        <w:rPr>
          <w:lang w:val="pt-BR"/>
        </w:rPr>
        <w:t xml:space="preserve"> </w:t>
      </w:r>
      <w:r>
        <w:rPr>
          <w:lang w:val="pt-BR"/>
        </w:rPr>
        <w:t xml:space="preserve">(Pateman, 1993)</w:t>
      </w:r>
      <w:r>
        <w:rPr>
          <w:lang w:val="pt-BR"/>
        </w:rPr>
        <w:t xml:space="preserve"> </w:t>
      </w:r>
      <w:r>
        <w:rPr>
          <w:lang w:val="pt-BR"/>
        </w:rPr>
        <w:t xml:space="preserve">descreveu no plano do contrato e que o Cap. 1 estendeu ao plano</w:t>
      </w:r>
      <w:r>
        <w:rPr>
          <w:lang w:val="pt-BR"/>
        </w:rPr>
        <w:t xml:space="preserve"> </w:t>
      </w:r>
      <w:r>
        <w:rPr>
          <w:lang w:val="pt-BR"/>
        </w:rPr>
        <w:t xml:space="preserve">da imagem. A visiocracia de Goodrich</w:t>
      </w:r>
      <w:r>
        <w:rPr>
          <w:lang w:val="pt-BR"/>
        </w:rPr>
        <w:t xml:space="preserve"> </w:t>
      </w:r>
      <w:r>
        <w:rPr>
          <w:lang w:val="pt-BR"/>
        </w:rPr>
        <w:t xml:space="preserve">(Goodrich, 2013a)</w:t>
      </w:r>
      <w:r>
        <w:rPr>
          <w:lang w:val="pt-BR"/>
        </w:rPr>
        <w:t xml:space="preserve"> </w:t>
      </w:r>
      <w:r>
        <w:rPr>
          <w:lang w:val="pt-BR"/>
        </w:rPr>
        <w:t xml:space="preserve">encontra em Poelaert seu monumento: o Direito</w:t>
      </w:r>
      <w:r>
        <w:rPr>
          <w:lang w:val="pt-BR"/>
        </w:rPr>
        <w:t xml:space="preserve"> </w:t>
      </w:r>
      <w:r>
        <w:rPr>
          <w:lang w:val="pt-BR"/>
        </w:rPr>
        <w:t xml:space="preserve">governando por massa, altura e pedra antes de governar por norma.</w:t>
      </w:r>
    </w:p>
    <w:p>
      <w:pPr>
        <w:pStyle w:val="BodyText"/>
      </w:pPr>
      <w:r>
        <w:rPr>
          <w:lang w:val="pt-BR"/>
        </w:rPr>
        <w:t xml:space="preserve">Dois itens contíguos calibram a leitura. A</w:t>
      </w:r>
      <w:r>
        <w:rPr>
          <w:lang w:val="pt-BR"/>
        </w:rPr>
        <w:t xml:space="preserve"> </w:t>
      </w:r>
      <w:r>
        <w:rPr>
          <w:i/>
          <w:iCs/>
          <w:lang w:val="pt-BR"/>
        </w:rPr>
        <w:t xml:space="preserve">Allégorie de la Justice</w:t>
      </w:r>
      <w:r>
        <w:rPr>
          <w:lang w:val="pt-BR"/>
        </w:rPr>
        <w:t xml:space="preserve"> </w:t>
      </w:r>
      <w:r>
        <w:rPr>
          <w:lang w:val="pt-BR"/>
        </w:rPr>
        <w:t xml:space="preserve">de Stallaert no teto do próprio</w:t>
      </w:r>
      <w:r>
        <w:rPr>
          <w:lang w:val="pt-BR"/>
        </w:rPr>
        <w:t xml:space="preserve"> </w:t>
      </w:r>
      <w:r>
        <w:rPr>
          <w:lang w:val="pt-BR"/>
        </w:rPr>
        <w:t xml:space="preserve">Palais (1885–1888; corpus item</w:t>
      </w:r>
      <w:r>
        <w:rPr>
          <w:lang w:val="pt-BR"/>
        </w:rPr>
        <w:t xml:space="preserve"> </w:t>
      </w:r>
      <w:r>
        <w:rPr>
          <w:rStyle w:val="VerbatimChar"/>
          <w:lang w:val="pt-BR"/>
        </w:rPr>
        <w:t xml:space="preserve">8d68ddd2</w:t>
      </w:r>
      <w:r>
        <w:rPr>
          <w:lang w:val="pt-BR"/>
        </w:rPr>
        <w:t xml:space="preserve">, composto 1,4) mostra que policromia (monocromatização 0) e</w:t>
      </w:r>
      <w:r>
        <w:rPr>
          <w:lang w:val="pt-BR"/>
        </w:rPr>
        <w:t xml:space="preserve"> </w:t>
      </w:r>
      <w:r>
        <w:rPr>
          <w:lang w:val="pt-BR"/>
        </w:rPr>
        <w:t xml:space="preserve">unicidade (serialidade 0)</w:t>
      </w:r>
      <w:r>
        <w:rPr>
          <w:lang w:val="pt-BR"/>
        </w:rPr>
        <w:t xml:space="preserve"> </w:t>
      </w:r>
      <w:r>
        <w:rPr>
          <w:i/>
          <w:iCs/>
          <w:lang w:val="pt-BR"/>
        </w:rPr>
        <w:t xml:space="preserve">seguram</w:t>
      </w:r>
      <w:r>
        <w:rPr>
          <w:lang w:val="pt-BR"/>
        </w:rPr>
        <w:t xml:space="preserve"> </w:t>
      </w:r>
      <w:r>
        <w:rPr>
          <w:lang w:val="pt-BR"/>
        </w:rPr>
        <w:t xml:space="preserve">o endurecimento em patamar moderado mesmo dentro do edifício mais</w:t>
      </w:r>
      <w:r>
        <w:rPr>
          <w:lang w:val="pt-BR"/>
        </w:rPr>
        <w:t xml:space="preserve"> </w:t>
      </w:r>
      <w:r>
        <w:rPr>
          <w:lang w:val="pt-BR"/>
        </w:rPr>
        <w:t xml:space="preserve">purificado do corpus: a pintura, por ser única e colorida, resiste à petrificação que a arquitetura</w:t>
      </w:r>
      <w:r>
        <w:rPr>
          <w:lang w:val="pt-BR"/>
        </w:rPr>
        <w:t xml:space="preserve"> </w:t>
      </w:r>
      <w:r>
        <w:rPr>
          <w:lang w:val="pt-BR"/>
        </w:rPr>
        <w:t xml:space="preserve">consuma. E a moeda de</w:t>
      </w:r>
      <w:r>
        <w:rPr>
          <w:lang w:val="pt-BR"/>
        </w:rPr>
        <w:t xml:space="preserve"> </w:t>
      </w:r>
      <w:r>
        <w:rPr>
          <w:i/>
          <w:iCs/>
          <w:lang w:val="pt-BR"/>
        </w:rPr>
        <w:t xml:space="preserve">5 francs — 50 ans de Belgique</w:t>
      </w:r>
      <w:r>
        <w:rPr>
          <w:lang w:val="pt-BR"/>
        </w:rPr>
        <w:t xml:space="preserve"> </w:t>
      </w:r>
      <w:r>
        <w:rPr>
          <w:lang w:val="pt-BR"/>
        </w:rPr>
        <w:t xml:space="preserve">(1880; corpus item</w:t>
      </w:r>
      <w:r>
        <w:rPr>
          <w:lang w:val="pt-BR"/>
        </w:rPr>
        <w:t xml:space="preserve"> </w:t>
      </w:r>
      <w:r>
        <w:rPr>
          <w:rStyle w:val="VerbatimChar"/>
          <w:lang w:val="pt-BR"/>
        </w:rPr>
        <w:t xml:space="preserve">47e90ddf</w:t>
      </w:r>
      <w:r>
        <w:rPr>
          <w:lang w:val="pt-BR"/>
        </w:rPr>
        <w:t xml:space="preserve">), com La Belgique</w:t>
      </w:r>
      <w:r>
        <w:rPr>
          <w:lang w:val="pt-BR"/>
        </w:rPr>
        <w:t xml:space="preserve"> </w:t>
      </w:r>
      <w:r>
        <w:rPr>
          <w:lang w:val="pt-BR"/>
        </w:rPr>
        <w:t xml:space="preserve">segurando a Constituição, reconecta o caso belga ao Cap. 1: é a mesma cena constitucional de 1848 — a</w:t>
      </w:r>
      <w:r>
        <w:rPr>
          <w:lang w:val="pt-BR"/>
        </w:rPr>
        <w:t xml:space="preserve"> </w:t>
      </w:r>
      <w:r>
        <w:rPr>
          <w:lang w:val="pt-BR"/>
        </w:rPr>
        <w:t xml:space="preserve">nação feminina que</w:t>
      </w:r>
      <w:r>
        <w:rPr>
          <w:lang w:val="pt-BR"/>
        </w:rPr>
        <w:t xml:space="preserve"> </w:t>
      </w:r>
      <w:r>
        <w:rPr>
          <w:i/>
          <w:iCs/>
          <w:lang w:val="pt-BR"/>
        </w:rPr>
        <w:t xml:space="preserve">mostra</w:t>
      </w:r>
      <w:r>
        <w:rPr>
          <w:lang w:val="pt-BR"/>
        </w:rPr>
        <w:t xml:space="preserve"> </w:t>
      </w:r>
      <w:r>
        <w:rPr>
          <w:lang w:val="pt-BR"/>
        </w:rPr>
        <w:t xml:space="preserve">a lei — agora cunhada em prata para o cinquentenário. O registro ainda</w:t>
      </w:r>
      <w:r>
        <w:rPr>
          <w:lang w:val="pt-BR"/>
        </w:rPr>
        <w:t xml:space="preserve"> </w:t>
      </w:r>
      <w:r>
        <w:rPr>
          <w:lang w:val="pt-BR"/>
        </w:rPr>
        <w:t xml:space="preserve">carrega</w:t>
      </w:r>
      <w:r>
        <w:rPr>
          <w:lang w:val="pt-BR"/>
        </w:rPr>
        <w:t xml:space="preserve"> </w:t>
      </w:r>
      <w:r>
        <w:rPr>
          <w:rStyle w:val="VerbatimChar"/>
          <w:lang w:val="pt-BR"/>
        </w:rPr>
        <w:t xml:space="preserve">PENDING_REVIEW</w:t>
      </w:r>
      <w:r>
        <w:rPr>
          <w:lang w:val="pt-BR"/>
        </w:rPr>
        <w:t xml:space="preserve"> </w:t>
      </w:r>
      <w:r>
        <w:rPr>
          <w:lang w:val="pt-BR"/>
        </w:rPr>
        <w:t xml:space="preserve">e uma nota interna equivocada (</w:t>
      </w:r>
      <w:r>
        <w:rPr>
          <w:lang w:val="pt-BR"/>
        </w:rPr>
        <w:t xml:space="preserve">“Belgian Congo coin”</w:t>
      </w:r>
      <w:r>
        <w:rPr>
          <w:lang w:val="pt-BR"/>
        </w:rPr>
        <w:t xml:space="preserve">), mas a reconferência do</w:t>
      </w:r>
      <w:r>
        <w:rPr>
          <w:lang w:val="pt-BR"/>
        </w:rPr>
        <w:t xml:space="preserve"> </w:t>
      </w:r>
      <w:r>
        <w:rPr>
          <w:lang w:val="pt-BR"/>
        </w:rPr>
        <w:t xml:space="preserve">título, resumo, URL e citação ABNT confirma que se trata do cinquentenário da Bélgica, não de moeda do</w:t>
      </w:r>
      <w:r>
        <w:rPr>
          <w:lang w:val="pt-BR"/>
        </w:rPr>
        <w:t xml:space="preserve"> </w:t>
      </w:r>
      <w:r>
        <w:rPr>
          <w:lang w:val="pt-BR"/>
        </w:rPr>
        <w:t xml:space="preserve">Congo. A Bélgica constitucional, feminina e serena, permanece o exemplo inaugural da tese; o Palais é</w:t>
      </w:r>
      <w:r>
        <w:rPr>
          <w:lang w:val="pt-BR"/>
        </w:rPr>
        <w:t xml:space="preserve"> </w:t>
      </w:r>
      <w:r>
        <w:rPr>
          <w:lang w:val="pt-BR"/>
        </w:rPr>
        <w:t xml:space="preserve">o que acontece quando essa serenidade vira edifício.</w:t>
      </w:r>
    </w:p>
    <w:bookmarkEnd w:id="118"/>
    <w:bookmarkStart w:id="119" w:name="X9271b46cd275c1e29978f4d8ad7b202086751b0"/>
    <w:p>
      <w:pPr>
        <w:pStyle w:val="Heading2"/>
      </w:pPr>
      <w:r>
        <w:rPr>
          <w:rStyle w:val="SectionNumber"/>
          <w:lang w:val="pt-BR"/>
        </w:rPr>
        <w:t xml:space="preserve">8.6</w:t>
      </w:r>
      <w:r>
        <w:tab/>
      </w:r>
      <w:r>
        <w:rPr>
          <w:lang w:val="pt-BR"/>
        </w:rPr>
        <w:t xml:space="preserve">7.6 — A</w:t>
      </w:r>
      <w:r>
        <w:rPr>
          <w:lang w:val="pt-BR"/>
        </w:rPr>
        <w:t xml:space="preserve"> </w:t>
      </w:r>
      <w:r>
        <w:rPr>
          <w:lang w:val="pt-BR"/>
        </w:rPr>
        <w:t xml:space="preserve">“Balança da Justiça”</w:t>
      </w:r>
      <w:r>
        <w:rPr>
          <w:lang w:val="pt-BR"/>
        </w:rPr>
        <w:t xml:space="preserve"> </w:t>
      </w:r>
      <w:r>
        <w:rPr>
          <w:lang w:val="pt-BR"/>
        </w:rPr>
        <w:t xml:space="preserve">como arma geopolítica</w:t>
      </w:r>
    </w:p>
    <w:p>
      <w:pPr>
        <w:pStyle w:val="BlockText"/>
      </w:pPr>
      <w:r>
        <w:rPr>
          <w:b/>
          <w:bCs/>
          <w:lang w:val="pt-BR"/>
        </w:rPr>
        <w:t xml:space="preserve">Tese parcial.</w:t>
      </w:r>
      <w:r>
        <w:rPr>
          <w:lang w:val="pt-BR"/>
        </w:rPr>
        <w:t xml:space="preserve"> </w:t>
      </w:r>
      <w:r>
        <w:rPr>
          <w:lang w:val="pt-BR"/>
        </w:rPr>
        <w:t xml:space="preserve">Antes de ser atributo de tribunal, a balança foi argumento diplomático: nas</w:t>
      </w:r>
      <w:r>
        <w:rPr>
          <w:lang w:val="pt-BR"/>
        </w:rPr>
        <w:t xml:space="preserve"> </w:t>
      </w:r>
      <w:r>
        <w:rPr>
          <w:lang w:val="pt-BR"/>
        </w:rPr>
        <w:t xml:space="preserve">estampas do fim do século XVIII, o corpo feminino que sustenta a balança</w:t>
      </w:r>
      <w:r>
        <w:rPr>
          <w:lang w:val="pt-BR"/>
        </w:rPr>
        <w:t xml:space="preserve"> </w:t>
      </w:r>
      <w:r>
        <w:rPr>
          <w:i/>
          <w:iCs/>
          <w:lang w:val="pt-BR"/>
        </w:rPr>
        <w:t xml:space="preserve">é</w:t>
      </w:r>
      <w:r>
        <w:rPr>
          <w:lang w:val="pt-BR"/>
        </w:rPr>
        <w:t xml:space="preserve"> </w:t>
      </w:r>
      <w:r>
        <w:rPr>
          <w:lang w:val="pt-BR"/>
        </w:rPr>
        <w:t xml:space="preserve">a própria tese política</w:t>
      </w:r>
      <w:r>
        <w:rPr>
          <w:lang w:val="pt-BR"/>
        </w:rPr>
        <w:t xml:space="preserve"> </w:t>
      </w:r>
      <w:r>
        <w:rPr>
          <w:lang w:val="pt-BR"/>
        </w:rPr>
        <w:t xml:space="preserve">— a neutralidade encenada como corpo de mulher, mascarando interesse sob a aparência de equilíbrio. E,</w:t>
      </w:r>
      <w:r>
        <w:rPr>
          <w:lang w:val="pt-BR"/>
        </w:rPr>
        <w:t xml:space="preserve"> </w:t>
      </w:r>
      <w:r>
        <w:rPr>
          <w:lang w:val="pt-BR"/>
        </w:rPr>
        <w:t xml:space="preserve">coerente com o achado estadunidense de 7.3, o máximo de narrativa corresponde ao mínimo de</w:t>
      </w:r>
      <w:r>
        <w:rPr>
          <w:lang w:val="pt-BR"/>
        </w:rPr>
        <w:t xml:space="preserve"> </w:t>
      </w:r>
      <w:r>
        <w:rPr>
          <w:lang w:val="pt-BR"/>
        </w:rPr>
        <w:t xml:space="preserve">endurecimento: quando a alegoria argumenta, ela ainda não petrificou.</w:t>
      </w:r>
    </w:p>
    <w:p>
      <w:pPr>
        <w:pStyle w:val="FirstParagraph"/>
      </w:pPr>
      <w:r>
        <w:rPr>
          <w:i/>
          <w:iCs/>
          <w:lang w:val="pt-BR"/>
        </w:rPr>
        <w:t xml:space="preserve">Die Wage der Macht / La balance de la puissance</w:t>
      </w:r>
      <w:r>
        <w:rPr>
          <w:lang w:val="pt-BR"/>
        </w:rPr>
        <w:t xml:space="preserve"> </w:t>
      </w:r>
      <w:r>
        <w:rPr>
          <w:lang w:val="pt-BR"/>
        </w:rPr>
        <w:t xml:space="preserve">(1780; corpus item</w:t>
      </w:r>
      <w:r>
        <w:rPr>
          <w:lang w:val="pt-BR"/>
        </w:rPr>
        <w:t xml:space="preserve"> </w:t>
      </w:r>
      <w:r>
        <w:rPr>
          <w:rStyle w:val="VerbatimChar"/>
          <w:lang w:val="pt-BR"/>
        </w:rPr>
        <w:t xml:space="preserve">1ae7c4ae</w:t>
      </w:r>
      <w:r>
        <w:rPr>
          <w:lang w:val="pt-BR"/>
        </w:rPr>
        <w:t xml:space="preserve">, composto 1,0) e</w:t>
      </w:r>
      <w:r>
        <w:rPr>
          <w:lang w:val="pt-BR"/>
        </w:rPr>
        <w:t xml:space="preserve"> </w:t>
      </w:r>
      <w:r>
        <w:rPr>
          <w:i/>
          <w:iCs/>
          <w:lang w:val="pt-BR"/>
        </w:rPr>
        <w:t xml:space="preserve">America pois’d in the balance of justice</w:t>
      </w:r>
      <w:r>
        <w:rPr>
          <w:lang w:val="pt-BR"/>
        </w:rPr>
        <w:t xml:space="preserve"> </w:t>
      </w:r>
      <w:r>
        <w:rPr>
          <w:lang w:val="pt-BR"/>
        </w:rPr>
        <w:t xml:space="preserve">(1776; corpus item</w:t>
      </w:r>
      <w:r>
        <w:rPr>
          <w:lang w:val="pt-BR"/>
        </w:rPr>
        <w:t xml:space="preserve"> </w:t>
      </w:r>
      <w:r>
        <w:rPr>
          <w:rStyle w:val="VerbatimChar"/>
          <w:lang w:val="pt-BR"/>
        </w:rPr>
        <w:t xml:space="preserve">543550b1</w:t>
      </w:r>
      <w:r>
        <w:rPr>
          <w:lang w:val="pt-BR"/>
        </w:rPr>
        <w:t xml:space="preserve">, composto 0,6) são estampas</w:t>
      </w:r>
      <w:r>
        <w:rPr>
          <w:lang w:val="pt-BR"/>
        </w:rPr>
        <w:t xml:space="preserve"> </w:t>
      </w:r>
      <w:r>
        <w:rPr>
          <w:lang w:val="pt-BR"/>
        </w:rPr>
        <w:t xml:space="preserve">em que a balança não é emblema estático, mas dispositivo de argumentação geopolítica. A leitura de</w:t>
      </w:r>
      <w:r>
        <w:rPr>
          <w:lang w:val="pt-BR"/>
        </w:rPr>
        <w:t xml:space="preserve"> </w:t>
      </w:r>
      <w:r>
        <w:rPr>
          <w:lang w:val="pt-BR"/>
        </w:rPr>
        <w:t xml:space="preserve">nível 3 do primeiro item é precisa:</w:t>
      </w:r>
      <w:r>
        <w:rPr>
          <w:lang w:val="pt-BR"/>
        </w:rPr>
        <w:t xml:space="preserve"> </w:t>
      </w:r>
      <w:r>
        <w:rPr>
          <w:i/>
          <w:iCs/>
          <w:lang w:val="pt-BR"/>
        </w:rPr>
        <w:t xml:space="preserve">o corpo feminino é o argumento — a balança é o corpo estendido no</w:t>
      </w:r>
      <w:r>
        <w:rPr>
          <w:i/>
          <w:iCs/>
          <w:lang w:val="pt-BR"/>
        </w:rPr>
        <w:t xml:space="preserve"> </w:t>
      </w:r>
      <w:r>
        <w:rPr>
          <w:i/>
          <w:iCs/>
          <w:lang w:val="pt-BR"/>
        </w:rPr>
        <w:t xml:space="preserve">espaço político; a neutralidade feminina mascara interesses (pró-britânicos)</w:t>
      </w:r>
      <w:r>
        <w:rPr>
          <w:lang w:val="pt-BR"/>
        </w:rPr>
        <w:t xml:space="preserve">. O segundo encena a</w:t>
      </w:r>
      <w:r>
        <w:rPr>
          <w:lang w:val="pt-BR"/>
        </w:rPr>
        <w:t xml:space="preserve"> </w:t>
      </w:r>
      <w:r>
        <w:rPr>
          <w:lang w:val="pt-BR"/>
        </w:rPr>
        <w:t xml:space="preserve">crise política como drama doméstico entre figuras femininas, com os atores masculinos</w:t>
      </w:r>
      <w:r>
        <w:rPr>
          <w:lang w:val="pt-BR"/>
        </w:rPr>
        <w:t xml:space="preserve"> </w:t>
      </w:r>
      <w:r>
        <w:rPr>
          <w:i/>
          <w:iCs/>
          <w:lang w:val="pt-BR"/>
        </w:rPr>
        <w:t xml:space="preserve">inteiramente</w:t>
      </w:r>
      <w:r>
        <w:rPr>
          <w:i/>
          <w:iCs/>
          <w:lang w:val="pt-BR"/>
        </w:rPr>
        <w:t xml:space="preserve"> </w:t>
      </w:r>
      <w:r>
        <w:rPr>
          <w:i/>
          <w:iCs/>
          <w:lang w:val="pt-BR"/>
        </w:rPr>
        <w:t xml:space="preserve">substituídos por procuradoras alegóricas</w:t>
      </w:r>
      <w:r>
        <w:rPr>
          <w:lang w:val="pt-BR"/>
        </w:rPr>
        <w:t xml:space="preserve"> </w:t>
      </w:r>
      <w:r>
        <w:rPr>
          <w:lang w:val="pt-BR"/>
        </w:rPr>
        <w:t xml:space="preserve">— a substituição do Cap. 1 levada ao limite: não há homem na</w:t>
      </w:r>
      <w:r>
        <w:rPr>
          <w:lang w:val="pt-BR"/>
        </w:rPr>
        <w:t xml:space="preserve"> </w:t>
      </w:r>
      <w:r>
        <w:rPr>
          <w:lang w:val="pt-BR"/>
        </w:rPr>
        <w:t xml:space="preserve">imagem porque as mulheres alegóricas fazem, no palco visual, o que os homens decidem fora dele.</w:t>
      </w:r>
    </w:p>
    <w:p>
      <w:pPr>
        <w:pStyle w:val="BodyText"/>
      </w:pPr>
      <w:r>
        <w:rPr>
          <w:lang w:val="pt-BR"/>
        </w:rPr>
        <w:t xml:space="preserve">O dado quantitativo fecha o argumento do capítulo. Ambos os itens têm escore baixo (1,0 e 0,6) e</w:t>
      </w:r>
      <w:r>
        <w:rPr>
          <w:lang w:val="pt-BR"/>
        </w:rPr>
        <w:t xml:space="preserve"> </w:t>
      </w:r>
      <w:r>
        <w:rPr>
          <w:lang w:val="pt-BR"/>
        </w:rPr>
        <w:t xml:space="preserve">apagamento narrativo mínimo — são imagens</w:t>
      </w:r>
      <w:r>
        <w:rPr>
          <w:lang w:val="pt-BR"/>
        </w:rPr>
        <w:t xml:space="preserve"> </w:t>
      </w:r>
      <w:r>
        <w:rPr>
          <w:i/>
          <w:iCs/>
          <w:lang w:val="pt-BR"/>
        </w:rPr>
        <w:t xml:space="preserve">que contam uma história</w:t>
      </w:r>
      <w:r>
        <w:rPr>
          <w:lang w:val="pt-BR"/>
        </w:rPr>
        <w:t xml:space="preserve">. A nota de codificação de</w:t>
      </w:r>
      <w:r>
        <w:rPr>
          <w:lang w:val="pt-BR"/>
        </w:rPr>
        <w:t xml:space="preserve"> </w:t>
      </w:r>
      <w:r>
        <w:rPr>
          <w:rStyle w:val="VerbatimChar"/>
          <w:lang w:val="pt-BR"/>
        </w:rPr>
        <w:t xml:space="preserve">543550b1</w:t>
      </w:r>
      <w:r>
        <w:rPr>
          <w:lang w:val="pt-BR"/>
        </w:rPr>
        <w:t xml:space="preserve"> </w:t>
      </w:r>
      <w:r>
        <w:rPr>
          <w:lang w:val="pt-BR"/>
        </w:rPr>
        <w:t xml:space="preserve">cristaliza a regularidade que atravessa 7.1, 7.3 e 7.6:</w:t>
      </w:r>
      <w:r>
        <w:rPr>
          <w:lang w:val="pt-BR"/>
        </w:rPr>
        <w:t xml:space="preserve"> </w:t>
      </w:r>
      <w:r>
        <w:rPr>
          <w:i/>
          <w:iCs/>
          <w:lang w:val="pt-BR"/>
        </w:rPr>
        <w:t xml:space="preserve">máximo de narrativa = mínimo de</w:t>
      </w:r>
      <w:r>
        <w:rPr>
          <w:i/>
          <w:iCs/>
          <w:lang w:val="pt-BR"/>
        </w:rPr>
        <w:t xml:space="preserve"> </w:t>
      </w:r>
      <w:r>
        <w:rPr>
          <w:i/>
          <w:iCs/>
          <w:lang w:val="pt-BR"/>
        </w:rPr>
        <w:t xml:space="preserve">endurecimento</w:t>
      </w:r>
      <w:r>
        <w:rPr>
          <w:lang w:val="pt-BR"/>
        </w:rPr>
        <w:t xml:space="preserve">. É a lei empírica que a análise qualitativa oferece à quantitativa: a Purificação</w:t>
      </w:r>
      <w:r>
        <w:rPr>
          <w:lang w:val="pt-BR"/>
        </w:rPr>
        <w:t xml:space="preserve"> </w:t>
      </w:r>
      <w:r>
        <w:rPr>
          <w:lang w:val="pt-BR"/>
        </w:rPr>
        <w:t xml:space="preserve">Clássica opera subtraindo narrativa. Endurecer é fazer calar. A alegoria plenamente purificada — a</w:t>
      </w:r>
      <w:r>
        <w:rPr>
          <w:lang w:val="pt-BR"/>
        </w:rPr>
        <w:t xml:space="preserve"> </w:t>
      </w:r>
      <w:r>
        <w:rPr>
          <w:lang w:val="pt-BR"/>
        </w:rPr>
        <w:t xml:space="preserve">Justiça de Ceschiatti, o Palais de Poelaert — não conta nada; ela apenas</w:t>
      </w:r>
      <w:r>
        <w:rPr>
          <w:lang w:val="pt-BR"/>
        </w:rPr>
        <w:t xml:space="preserve"> </w:t>
      </w:r>
      <w:r>
        <w:rPr>
          <w:i/>
          <w:iCs/>
          <w:lang w:val="pt-BR"/>
        </w:rPr>
        <w:t xml:space="preserve">é</w:t>
      </w:r>
      <w:r>
        <w:rPr>
          <w:lang w:val="pt-BR"/>
        </w:rPr>
        <w:t xml:space="preserve">, sentada, cega, muda,</w:t>
      </w:r>
      <w:r>
        <w:rPr>
          <w:lang w:val="pt-BR"/>
        </w:rPr>
        <w:t xml:space="preserve"> </w:t>
      </w:r>
      <w:r>
        <w:rPr>
          <w:lang w:val="pt-BR"/>
        </w:rPr>
        <w:t xml:space="preserve">eterna. E é exatamente nesse silêncio produzido, e não em qualquer serenidade natural, que reside a</w:t>
      </w:r>
      <w:r>
        <w:rPr>
          <w:lang w:val="pt-BR"/>
        </w:rPr>
        <w:t xml:space="preserve"> </w:t>
      </w:r>
      <w:r>
        <w:rPr>
          <w:lang w:val="pt-BR"/>
        </w:rPr>
        <w:t xml:space="preserve">eficácia jurídica da imagem.</w:t>
      </w:r>
    </w:p>
    <w:p>
      <w:r>
        <w:pict>
          <v:rect style="width:0;height:1.5pt" o:hralign="center" o:hrstd="t" o:hr="t"/>
        </w:pict>
      </w:r>
    </w:p>
    <w:p>
      <w:pPr>
        <w:pStyle w:val="FirstParagraph"/>
      </w:pPr>
      <w:r>
        <w:rPr>
          <w:lang w:val="pt-BR"/>
        </w:rPr>
        <w:t xml:space="preserve">Este capítulo fecha, portanto, como análise qualitativa controlada. Os itens</w:t>
      </w:r>
      <w:r>
        <w:rPr>
          <w:lang w:val="pt-BR"/>
        </w:rPr>
        <w:t xml:space="preserve"> </w:t>
      </w:r>
      <w:r>
        <w:rPr>
          <w:rStyle w:val="VerbatimChar"/>
          <w:lang w:val="pt-BR"/>
        </w:rPr>
        <w:t xml:space="preserve">PENDING_REVIEW</w:t>
      </w:r>
      <w:r>
        <w:rPr>
          <w:lang w:val="pt-BR"/>
        </w:rPr>
        <w:t xml:space="preserve"> </w:t>
      </w:r>
      <w:r>
        <w:rPr>
          <w:lang w:val="pt-BR"/>
        </w:rPr>
        <w:t xml:space="preserve">permanecem bloqueadores de release e qualificação enquanto ledgers de codificação, mas não são</w:t>
      </w:r>
      <w:r>
        <w:rPr>
          <w:lang w:val="pt-BR"/>
        </w:rPr>
        <w:t xml:space="preserve"> </w:t>
      </w:r>
      <w:r>
        <w:rPr>
          <w:lang w:val="pt-BR"/>
        </w:rPr>
        <w:t xml:space="preserve">tratados aqui como escores validados; entram apenas quando sua materialidade, título, suporte e</w:t>
      </w:r>
      <w:r>
        <w:rPr>
          <w:lang w:val="pt-BR"/>
        </w:rPr>
        <w:t xml:space="preserve"> </w:t>
      </w:r>
      <w:r>
        <w:rPr>
          <w:lang w:val="pt-BR"/>
        </w:rPr>
        <w:t xml:space="preserve">citação já estão rastreáveis. Thatcher permanece fora do corpus e, por isso, fora da iconometria. A</w:t>
      </w:r>
      <w:r>
        <w:rPr>
          <w:lang w:val="pt-BR"/>
        </w:rPr>
        <w:t xml:space="preserve"> </w:t>
      </w:r>
      <w:r>
        <w:rPr>
          <w:lang w:val="pt-BR"/>
        </w:rPr>
        <w:t xml:space="preserve">inconsistência de</w:t>
      </w:r>
      <w:r>
        <w:rPr>
          <w:lang w:val="pt-BR"/>
        </w:rPr>
        <w:t xml:space="preserve"> </w:t>
      </w:r>
      <w:r>
        <w:rPr>
          <w:rStyle w:val="VerbatimChar"/>
          <w:lang w:val="pt-BR"/>
        </w:rPr>
        <w:t xml:space="preserve">dcf36d44</w:t>
      </w:r>
      <w:r>
        <w:rPr>
          <w:lang w:val="pt-BR"/>
        </w:rPr>
        <w:t xml:space="preserve"> </w:t>
      </w:r>
      <w:r>
        <w:rPr>
          <w:lang w:val="pt-BR"/>
        </w:rPr>
        <w:t xml:space="preserve">fica documentada com uma decisão local de leitura militar-normativa, sem</w:t>
      </w:r>
      <w:r>
        <w:rPr>
          <w:lang w:val="pt-BR"/>
        </w:rPr>
        <w:t xml:space="preserve"> </w:t>
      </w:r>
      <w:r>
        <w:rPr>
          <w:lang w:val="pt-BR"/>
        </w:rPr>
        <w:t xml:space="preserve">alterar o dado canônico. O argumento do capítulo não depende de apagar essas fricções; depende de</w:t>
      </w:r>
      <w:r>
        <w:rPr>
          <w:lang w:val="pt-BR"/>
        </w:rPr>
        <w:t xml:space="preserve"> </w:t>
      </w:r>
      <w:r>
        <w:rPr>
          <w:lang w:val="pt-BR"/>
        </w:rPr>
        <w:t xml:space="preserve">mantê-las visíveis no nível correto.</w:t>
      </w:r>
    </w:p>
    <w:bookmarkEnd w:id="119"/>
    <w:bookmarkEnd w:id="120"/>
    <w:bookmarkStart w:id="124" w:name="Xe9489bcf89baa7cbbb63eb79968dc4cf9182020"/>
    <w:p>
      <w:pPr>
        <w:pStyle w:val="Heading1"/>
      </w:pPr>
      <w:r>
        <w:rPr>
          <w:rStyle w:val="SectionNumber"/>
          <w:lang w:val="pt-BR"/>
        </w:rPr>
        <w:t xml:space="preserve">9</w:t>
      </w:r>
      <w:r>
        <w:tab/>
      </w:r>
      <w:r>
        <w:rPr>
          <w:lang w:val="pt-BR"/>
        </w:rPr>
        <w:t xml:space="preserve">Capítulo 8 — O Atlas Iconocrático: Princípios e Arquitetura</w:t>
      </w:r>
    </w:p>
    <w:p>
      <w:pPr>
        <w:pStyle w:val="BlockText"/>
      </w:pPr>
      <w:r>
        <w:rPr>
          <w:b/>
          <w:bCs/>
          <w:lang w:val="pt-BR"/>
        </w:rPr>
        <w:t xml:space="preserve">Estado:</w:t>
      </w:r>
      <w:r>
        <w:rPr>
          <w:lang w:val="pt-BR"/>
        </w:rPr>
        <w:t xml:space="preserve"> </w:t>
      </w:r>
      <w:r>
        <w:rPr>
          <w:lang w:val="pt-BR"/>
        </w:rPr>
        <w:t xml:space="preserve">rascunho autoral de 2026-07-08. Este capítulo expõe os</w:t>
      </w:r>
      <w:r>
        <w:rPr>
          <w:lang w:val="pt-BR"/>
        </w:rPr>
        <w:t xml:space="preserve"> </w:t>
      </w:r>
      <w:r>
        <w:rPr>
          <w:i/>
          <w:iCs/>
          <w:lang w:val="pt-BR"/>
        </w:rPr>
        <w:t xml:space="preserve">princípios</w:t>
      </w:r>
      <w:r>
        <w:rPr>
          <w:lang w:val="pt-BR"/>
        </w:rPr>
        <w:t xml:space="preserve"> </w:t>
      </w:r>
      <w:r>
        <w:rPr>
          <w:lang w:val="pt-BR"/>
        </w:rPr>
        <w:t xml:space="preserve">de construção do</w:t>
      </w:r>
      <w:r>
        <w:rPr>
          <w:lang w:val="pt-BR"/>
        </w:rPr>
        <w:t xml:space="preserve"> </w:t>
      </w:r>
      <w:r>
        <w:rPr>
          <w:lang w:val="pt-BR"/>
        </w:rPr>
        <w:t xml:space="preserve">Atlas; os oito painéis concretos que deles resultam são desenvolvidos no Capítulo 9.</w:t>
      </w:r>
      <w:r>
        <w:rPr>
          <w:lang w:val="pt-BR"/>
        </w:rPr>
        <w:t xml:space="preserve"> </w:t>
      </w:r>
      <w:r>
        <w:rPr>
          <w:rStyle w:val="VerbatimChar"/>
          <w:lang w:val="pt-BR"/>
        </w:rPr>
        <w:t xml:space="preserve">&lt;!-- CITAÇÃO PENDENTE --&gt;</w:t>
      </w:r>
      <w:r>
        <w:rPr>
          <w:lang w:val="pt-BR"/>
        </w:rPr>
        <w:t xml:space="preserve"> </w:t>
      </w:r>
      <w:r>
        <w:rPr>
          <w:lang w:val="pt-BR"/>
        </w:rPr>
        <w:t xml:space="preserve">marca pontos que exigem inserir referência antes da entrega.</w:t>
      </w:r>
    </w:p>
    <w:p>
      <w:pPr>
        <w:pStyle w:val="FirstParagraph"/>
      </w:pPr>
      <w:r>
        <w:rPr>
          <w:lang w:val="pt-BR"/>
        </w:rPr>
        <w:t xml:space="preserve">Os capítulos anteriores forneceram a moldura conceitual (Parte I), o protocolo iconométrico (Parte II)</w:t>
      </w:r>
      <w:r>
        <w:rPr>
          <w:lang w:val="pt-BR"/>
        </w:rPr>
        <w:t xml:space="preserve"> </w:t>
      </w:r>
      <w:r>
        <w:rPr>
          <w:lang w:val="pt-BR"/>
        </w:rPr>
        <w:t xml:space="preserve">e os resultados — a distribuição quantitativa do endurecimento (Cap. 6) e a leitura iconológica dos</w:t>
      </w:r>
      <w:r>
        <w:rPr>
          <w:lang w:val="pt-BR"/>
        </w:rPr>
        <w:t xml:space="preserve"> </w:t>
      </w:r>
      <w:r>
        <w:rPr>
          <w:lang w:val="pt-BR"/>
        </w:rPr>
        <w:t xml:space="preserve">casos paradigmáticos (Cap. 7). Resta o problema da</w:t>
      </w:r>
      <w:r>
        <w:rPr>
          <w:lang w:val="pt-BR"/>
        </w:rPr>
        <w:t xml:space="preserve"> </w:t>
      </w:r>
      <w:r>
        <w:rPr>
          <w:i/>
          <w:iCs/>
          <w:lang w:val="pt-BR"/>
        </w:rPr>
        <w:t xml:space="preserve">síntese</w:t>
      </w:r>
      <w:r>
        <w:rPr>
          <w:lang w:val="pt-BR"/>
        </w:rPr>
        <w:t xml:space="preserve">: como apresentar, num só dispositivo, um</w:t>
      </w:r>
      <w:r>
        <w:rPr>
          <w:lang w:val="pt-BR"/>
        </w:rPr>
        <w:t xml:space="preserve"> </w:t>
      </w:r>
      <w:r>
        <w:rPr>
          <w:lang w:val="pt-BR"/>
        </w:rPr>
        <w:t xml:space="preserve">argumento que é simultaneamente serial (o mesmo motivo repetido em milhares de suportes) e singular</w:t>
      </w:r>
      <w:r>
        <w:rPr>
          <w:lang w:val="pt-BR"/>
        </w:rPr>
        <w:t xml:space="preserve"> </w:t>
      </w:r>
      <w:r>
        <w:rPr>
          <w:lang w:val="pt-BR"/>
        </w:rPr>
        <w:t xml:space="preserve">(cada objeto uma leitura), quantitativo (dez indicadores ordinais) e qualitativo (três níveis de</w:t>
      </w:r>
      <w:r>
        <w:rPr>
          <w:lang w:val="pt-BR"/>
        </w:rPr>
        <w:t xml:space="preserve"> </w:t>
      </w:r>
      <w:r>
        <w:rPr>
          <w:lang w:val="pt-BR"/>
        </w:rPr>
        <w:t xml:space="preserve">Panofsky), diacrônico (1800–2000) e estrutural (uma operação atemporal de Purificação Clássica)? A</w:t>
      </w:r>
      <w:r>
        <w:rPr>
          <w:lang w:val="pt-BR"/>
        </w:rPr>
        <w:t xml:space="preserve"> </w:t>
      </w:r>
      <w:r>
        <w:rPr>
          <w:lang w:val="pt-BR"/>
        </w:rPr>
        <w:t xml:space="preserve">prosa linear do capítulo não dá conta: ela obriga a narrar em sequência o que se dá em simultaneidade.</w:t>
      </w:r>
      <w:r>
        <w:rPr>
          <w:lang w:val="pt-BR"/>
        </w:rPr>
        <w:t xml:space="preserve"> </w:t>
      </w:r>
      <w:r>
        <w:rPr>
          <w:lang w:val="pt-BR"/>
        </w:rPr>
        <w:t xml:space="preserve">É para esse problema que a tese recorre a um dispositivo herdado de Aby Warburg — o</w:t>
      </w:r>
      <w:r>
        <w:rPr>
          <w:lang w:val="pt-BR"/>
        </w:rPr>
        <w:t xml:space="preserve"> </w:t>
      </w:r>
      <w:r>
        <w:rPr>
          <w:i/>
          <w:iCs/>
          <w:lang w:val="pt-BR"/>
        </w:rPr>
        <w:t xml:space="preserve">Bilderatlas</w:t>
      </w:r>
      <w:r>
        <w:rPr>
          <w:lang w:val="pt-BR"/>
        </w:rPr>
        <w:t xml:space="preserve"> </w:t>
      </w:r>
      <w:r>
        <w:rPr>
          <w:lang w:val="pt-BR"/>
        </w:rPr>
        <w:t xml:space="preserve">— e o</w:t>
      </w:r>
      <w:r>
        <w:rPr>
          <w:lang w:val="pt-BR"/>
        </w:rPr>
        <w:t xml:space="preserve"> </w:t>
      </w:r>
      <w:r>
        <w:rPr>
          <w:lang w:val="pt-BR"/>
        </w:rPr>
        <w:t xml:space="preserve">reconstrói como</w:t>
      </w:r>
      <w:r>
        <w:rPr>
          <w:lang w:val="pt-BR"/>
        </w:rPr>
        <w:t xml:space="preserve"> </w:t>
      </w:r>
      <w:r>
        <w:rPr>
          <w:b/>
          <w:bCs/>
          <w:lang w:val="pt-BR"/>
        </w:rPr>
        <w:t xml:space="preserve">Atlas Iconocrático</w:t>
      </w:r>
      <w:r>
        <w:rPr>
          <w:lang w:val="pt-BR"/>
        </w:rPr>
        <w:t xml:space="preserve">. Este capítulo expõe os princípios dessa reconstrução; o</w:t>
      </w:r>
      <w:r>
        <w:rPr>
          <w:lang w:val="pt-BR"/>
        </w:rPr>
        <w:t xml:space="preserve"> </w:t>
      </w:r>
      <w:r>
        <w:rPr>
          <w:lang w:val="pt-BR"/>
        </w:rPr>
        <w:t xml:space="preserve">Capítulo 9 apresenta os oito painéis que dela resultam.</w:t>
      </w:r>
    </w:p>
    <w:bookmarkStart w:id="121" w:name="X8020449724d679c2d032921348973c42f9384d5"/>
    <w:p>
      <w:pPr>
        <w:pStyle w:val="Heading2"/>
      </w:pPr>
      <w:r>
        <w:rPr>
          <w:rStyle w:val="SectionNumber"/>
          <w:lang w:val="pt-BR"/>
        </w:rPr>
        <w:t xml:space="preserve">9.1</w:t>
      </w:r>
      <w:r>
        <w:tab/>
      </w:r>
      <w:r>
        <w:rPr>
          <w:lang w:val="pt-BR"/>
        </w:rPr>
        <w:t xml:space="preserve">8.1 — Do Mnemosyne ao Atlas Iconocrático: herança e adaptação</w:t>
      </w:r>
    </w:p>
    <w:p>
      <w:pPr>
        <w:pStyle w:val="BlockText"/>
      </w:pPr>
      <w:r>
        <w:rPr>
          <w:b/>
          <w:bCs/>
          <w:lang w:val="pt-BR"/>
        </w:rPr>
        <w:t xml:space="preserve">Tese parcial.</w:t>
      </w:r>
      <w:r>
        <w:rPr>
          <w:lang w:val="pt-BR"/>
        </w:rPr>
        <w:t xml:space="preserve"> </w:t>
      </w:r>
      <w:r>
        <w:rPr>
          <w:lang w:val="pt-BR"/>
        </w:rPr>
        <w:t xml:space="preserve">O Atlas Iconocrático não é uma aplicação do método de Warburg a um novo material,</w:t>
      </w:r>
      <w:r>
        <w:rPr>
          <w:lang w:val="pt-BR"/>
        </w:rPr>
        <w:t xml:space="preserve"> </w:t>
      </w:r>
      <w:r>
        <w:rPr>
          <w:lang w:val="pt-BR"/>
        </w:rPr>
        <w:t xml:space="preserve">mas uma</w:t>
      </w:r>
      <w:r>
        <w:rPr>
          <w:lang w:val="pt-BR"/>
        </w:rPr>
        <w:t xml:space="preserve"> </w:t>
      </w:r>
      <w:r>
        <w:rPr>
          <w:i/>
          <w:iCs/>
          <w:lang w:val="pt-BR"/>
        </w:rPr>
        <w:t xml:space="preserve">reoperação jurídica</w:t>
      </w:r>
      <w:r>
        <w:rPr>
          <w:lang w:val="pt-BR"/>
        </w:rPr>
        <w:t xml:space="preserve"> </w:t>
      </w:r>
      <w:r>
        <w:rPr>
          <w:lang w:val="pt-BR"/>
        </w:rPr>
        <w:t xml:space="preserve">dele: herda a montagem, a Pathosformel e o Nachleben, mas substitui a</w:t>
      </w:r>
      <w:r>
        <w:rPr>
          <w:lang w:val="pt-BR"/>
        </w:rPr>
        <w:t xml:space="preserve"> </w:t>
      </w:r>
      <w:r>
        <w:rPr>
          <w:lang w:val="pt-BR"/>
        </w:rPr>
        <w:t xml:space="preserve">“psicologia da expressão”</w:t>
      </w:r>
      <w:r>
        <w:rPr>
          <w:lang w:val="pt-BR"/>
        </w:rPr>
        <w:t xml:space="preserve"> </w:t>
      </w:r>
      <w:r>
        <w:rPr>
          <w:lang w:val="pt-BR"/>
        </w:rPr>
        <w:t xml:space="preserve">warburguiana por uma analítica do poder soberano, e acrescenta ao gesto</w:t>
      </w:r>
      <w:r>
        <w:rPr>
          <w:lang w:val="pt-BR"/>
        </w:rPr>
        <w:t xml:space="preserve"> </w:t>
      </w:r>
      <w:r>
        <w:rPr>
          <w:lang w:val="pt-BR"/>
        </w:rPr>
        <w:t xml:space="preserve">visual da montagem uma métrica ordinal — o endurecimento — que Warburg não possuía. A diferença não é</w:t>
      </w:r>
      <w:r>
        <w:rPr>
          <w:lang w:val="pt-BR"/>
        </w:rPr>
        <w:t xml:space="preserve"> </w:t>
      </w:r>
      <w:r>
        <w:rPr>
          <w:lang w:val="pt-BR"/>
        </w:rPr>
        <w:t xml:space="preserve">de escala, mas de objeto: onde Warburg rastreava a sobrevivência de fórmulas de</w:t>
      </w:r>
      <w:r>
        <w:rPr>
          <w:lang w:val="pt-BR"/>
        </w:rPr>
        <w:t xml:space="preserve"> </w:t>
      </w:r>
      <w:r>
        <w:rPr>
          <w:i/>
          <w:iCs/>
          <w:lang w:val="pt-BR"/>
        </w:rPr>
        <w:t xml:space="preserve">páthos</w:t>
      </w:r>
      <w:r>
        <w:rPr>
          <w:lang w:val="pt-BR"/>
        </w:rPr>
        <w:t xml:space="preserve">, o Atlas</w:t>
      </w:r>
      <w:r>
        <w:rPr>
          <w:lang w:val="pt-BR"/>
        </w:rPr>
        <w:t xml:space="preserve"> </w:t>
      </w:r>
      <w:r>
        <w:rPr>
          <w:lang w:val="pt-BR"/>
        </w:rPr>
        <w:t xml:space="preserve">Iconocrático rastreia a sobrevivência de fórmulas de</w:t>
      </w:r>
      <w:r>
        <w:rPr>
          <w:lang w:val="pt-BR"/>
        </w:rPr>
        <w:t xml:space="preserve"> </w:t>
      </w:r>
      <w:r>
        <w:rPr>
          <w:i/>
          <w:iCs/>
          <w:lang w:val="pt-BR"/>
        </w:rPr>
        <w:t xml:space="preserve">poder</w:t>
      </w:r>
      <w:r>
        <w:rPr>
          <w:lang w:val="pt-BR"/>
        </w:rPr>
        <w:t xml:space="preserve">.</w:t>
      </w:r>
    </w:p>
    <w:p>
      <w:pPr>
        <w:pStyle w:val="FirstParagraph"/>
      </w:pPr>
      <w:r>
        <w:rPr>
          <w:lang w:val="pt-BR"/>
        </w:rPr>
        <w:t xml:space="preserve">O</w:t>
      </w:r>
      <w:r>
        <w:rPr>
          <w:lang w:val="pt-BR"/>
        </w:rPr>
        <w:t xml:space="preserve"> </w:t>
      </w:r>
      <w:r>
        <w:rPr>
          <w:i/>
          <w:iCs/>
          <w:lang w:val="pt-BR"/>
        </w:rPr>
        <w:t xml:space="preserve">Bilderatlas Mnemosyne</w:t>
      </w:r>
      <w:r>
        <w:rPr>
          <w:lang w:val="pt-BR"/>
        </w:rPr>
        <w:t xml:space="preserve">, deixado inacabado por Warburg em 1929, propõe uma forma de conhecimento que</w:t>
      </w:r>
      <w:r>
        <w:rPr>
          <w:lang w:val="pt-BR"/>
        </w:rPr>
        <w:t xml:space="preserve"> </w:t>
      </w:r>
      <w:r>
        <w:rPr>
          <w:lang w:val="pt-BR"/>
        </w:rPr>
        <w:t xml:space="preserve">não passa pela frase: pranchas de tela negra sobre as quais se justapõem fotografias de obras de épocas</w:t>
      </w:r>
      <w:r>
        <w:rPr>
          <w:lang w:val="pt-BR"/>
        </w:rPr>
        <w:t xml:space="preserve"> </w:t>
      </w:r>
      <w:r>
        <w:rPr>
          <w:lang w:val="pt-BR"/>
        </w:rPr>
        <w:t xml:space="preserve">e suportes heterogêneos — moedas antigas ao lado de gravuras renascentistas, selos ao lado de recortes</w:t>
      </w:r>
      <w:r>
        <w:rPr>
          <w:lang w:val="pt-BR"/>
        </w:rPr>
        <w:t xml:space="preserve"> </w:t>
      </w:r>
      <w:r>
        <w:rPr>
          <w:lang w:val="pt-BR"/>
        </w:rPr>
        <w:t xml:space="preserve">de jornal —, agrupadas não por escola, autor ou cronologia, mas por</w:t>
      </w:r>
      <w:r>
        <w:rPr>
          <w:lang w:val="pt-BR"/>
        </w:rPr>
        <w:t xml:space="preserve"> </w:t>
      </w:r>
      <w:r>
        <w:rPr>
          <w:i/>
          <w:iCs/>
          <w:lang w:val="pt-BR"/>
        </w:rPr>
        <w:t xml:space="preserve">afinidade de gesto</w:t>
      </w:r>
      <w:r>
        <w:rPr>
          <w:lang w:val="pt-BR"/>
        </w:rPr>
        <w:t xml:space="preserve"> </w:t>
      </w:r>
      <w:r>
        <w:rPr>
          <w:lang w:val="pt-BR"/>
        </w:rPr>
        <w:t xml:space="preserve">(Warburg, 2000)</w:t>
      </w:r>
      <w:r>
        <w:rPr>
          <w:lang w:val="pt-BR"/>
        </w:rPr>
        <w:t xml:space="preserve">. O conceito que organiza essas afinidades é o de</w:t>
      </w:r>
      <w:r>
        <w:rPr>
          <w:lang w:val="pt-BR"/>
        </w:rPr>
        <w:t xml:space="preserve"> </w:t>
      </w:r>
      <w:r>
        <w:rPr>
          <w:b/>
          <w:bCs/>
          <w:lang w:val="pt-BR"/>
        </w:rPr>
        <w:t xml:space="preserve">Pathosformel</w:t>
      </w:r>
      <w:r>
        <w:rPr>
          <w:lang w:val="pt-BR"/>
        </w:rPr>
        <w:t xml:space="preserve">: fórmulas visuais de</w:t>
      </w:r>
      <w:r>
        <w:rPr>
          <w:lang w:val="pt-BR"/>
        </w:rPr>
        <w:t xml:space="preserve"> </w:t>
      </w:r>
      <w:r>
        <w:rPr>
          <w:lang w:val="pt-BR"/>
        </w:rPr>
        <w:t xml:space="preserve">intensidade afetiva — a ninfa em movimento, o corpo em lamento — que sobrevivem e retornam através dos</w:t>
      </w:r>
      <w:r>
        <w:rPr>
          <w:lang w:val="pt-BR"/>
        </w:rPr>
        <w:t xml:space="preserve"> </w:t>
      </w:r>
      <w:r>
        <w:rPr>
          <w:lang w:val="pt-BR"/>
        </w:rPr>
        <w:t xml:space="preserve">séculos, migrando de suporte em suporte. Essa sobrevivência é o</w:t>
      </w:r>
      <w:r>
        <w:rPr>
          <w:lang w:val="pt-BR"/>
        </w:rPr>
        <w:t xml:space="preserve"> </w:t>
      </w:r>
      <w:r>
        <w:rPr>
          <w:b/>
          <w:bCs/>
          <w:lang w:val="pt-BR"/>
        </w:rPr>
        <w:t xml:space="preserve">Nachleben</w:t>
      </w:r>
      <w:r>
        <w:rPr>
          <w:lang w:val="pt-BR"/>
        </w:rPr>
        <w:t xml:space="preserve">: não a permanência inerte</w:t>
      </w:r>
      <w:r>
        <w:rPr>
          <w:lang w:val="pt-BR"/>
        </w:rPr>
        <w:t xml:space="preserve"> </w:t>
      </w:r>
      <w:r>
        <w:rPr>
          <w:lang w:val="pt-BR"/>
        </w:rPr>
        <w:t xml:space="preserve">de um motivo, mas o seu retorno como revenant, carregado de uma energia que a cultura oficial julgava</w:t>
      </w:r>
      <w:r>
        <w:rPr>
          <w:lang w:val="pt-BR"/>
        </w:rPr>
        <w:t xml:space="preserve"> </w:t>
      </w:r>
      <w:r>
        <w:rPr>
          <w:lang w:val="pt-BR"/>
        </w:rPr>
        <w:t xml:space="preserve">sepultada</w:t>
      </w:r>
      <w:r>
        <w:rPr>
          <w:lang w:val="pt-BR"/>
        </w:rPr>
        <w:t xml:space="preserve"> </w:t>
      </w:r>
      <w:r>
        <w:rPr>
          <w:lang w:val="pt-BR"/>
        </w:rPr>
        <w:t xml:space="preserve">(Didi-Huberman, 2002)</w:t>
      </w:r>
      <w:r>
        <w:rPr>
          <w:lang w:val="pt-BR"/>
        </w:rPr>
        <w:t xml:space="preserve">. E o lugar onde essa energia se torna legível não é a imagem isolada, mas</w:t>
      </w:r>
      <w:r>
        <w:rPr>
          <w:lang w:val="pt-BR"/>
        </w:rPr>
        <w:t xml:space="preserve"> </w:t>
      </w:r>
      <w:r>
        <w:rPr>
          <w:lang w:val="pt-BR"/>
        </w:rPr>
        <w:t xml:space="preserve">o intervalo entre duas imagens — o</w:t>
      </w:r>
      <w:r>
        <w:rPr>
          <w:lang w:val="pt-BR"/>
        </w:rPr>
        <w:t xml:space="preserve"> </w:t>
      </w:r>
      <w:r>
        <w:rPr>
          <w:b/>
          <w:bCs/>
          <w:lang w:val="pt-BR"/>
        </w:rPr>
        <w:t xml:space="preserve">Zwischenraum</w:t>
      </w:r>
      <w:r>
        <w:rPr>
          <w:lang w:val="pt-BR"/>
        </w:rPr>
        <w:t xml:space="preserve">, o</w:t>
      </w:r>
      <w:r>
        <w:rPr>
          <w:lang w:val="pt-BR"/>
        </w:rPr>
        <w:t xml:space="preserve"> </w:t>
      </w:r>
      <w:r>
        <w:rPr>
          <w:lang w:val="pt-BR"/>
        </w:rPr>
        <w:t xml:space="preserve">“espaço-entre”</w:t>
      </w:r>
      <w:r>
        <w:rPr>
          <w:lang w:val="pt-BR"/>
        </w:rPr>
        <w:t xml:space="preserve"> </w:t>
      </w:r>
      <w:r>
        <w:rPr>
          <w:lang w:val="pt-BR"/>
        </w:rPr>
        <w:t xml:space="preserve">cuja teorização própria a §8.3</w:t>
      </w:r>
      <w:r>
        <w:rPr>
          <w:lang w:val="pt-BR"/>
        </w:rPr>
        <w:t xml:space="preserve"> </w:t>
      </w:r>
      <w:r>
        <w:rPr>
          <w:lang w:val="pt-BR"/>
        </w:rPr>
        <w:t xml:space="preserve">retoma.</w:t>
      </w:r>
    </w:p>
    <w:p>
      <w:pPr>
        <w:pStyle w:val="BodyText"/>
      </w:pPr>
      <w:r>
        <w:rPr>
          <w:lang w:val="pt-BR"/>
        </w:rPr>
        <w:t xml:space="preserve">A tese herda os três operadores, mas os desloca. Warburg lia as Pathosformeln como sintomas de uma</w:t>
      </w:r>
      <w:r>
        <w:rPr>
          <w:lang w:val="pt-BR"/>
        </w:rPr>
        <w:t xml:space="preserve"> </w:t>
      </w:r>
      <w:r>
        <w:rPr>
          <w:i/>
          <w:iCs/>
          <w:lang w:val="pt-BR"/>
        </w:rPr>
        <w:t xml:space="preserve">psicologia histórica</w:t>
      </w:r>
      <w:r>
        <w:rPr>
          <w:lang w:val="pt-BR"/>
        </w:rPr>
        <w:t xml:space="preserve"> </w:t>
      </w:r>
      <w:r>
        <w:rPr>
          <w:lang w:val="pt-BR"/>
        </w:rPr>
        <w:t xml:space="preserve">— a memória coletiva da humanidade, suas polaridades entre razão e desrazão. O</w:t>
      </w:r>
      <w:r>
        <w:rPr>
          <w:lang w:val="pt-BR"/>
        </w:rPr>
        <w:t xml:space="preserve"> </w:t>
      </w:r>
      <w:r>
        <w:rPr>
          <w:lang w:val="pt-BR"/>
        </w:rPr>
        <w:t xml:space="preserve">Atlas Iconocrático lê a fórmula sobrevivente não como sintoma psíquico, mas como</w:t>
      </w:r>
      <w:r>
        <w:rPr>
          <w:lang w:val="pt-BR"/>
        </w:rPr>
        <w:t xml:space="preserve"> </w:t>
      </w:r>
      <w:r>
        <w:rPr>
          <w:b/>
          <w:bCs/>
          <w:lang w:val="pt-BR"/>
        </w:rPr>
        <w:t xml:space="preserve">dispositivo</w:t>
      </w:r>
      <w:r>
        <w:rPr>
          <w:b/>
          <w:bCs/>
          <w:lang w:val="pt-BR"/>
        </w:rPr>
        <w:t xml:space="preserve"> </w:t>
      </w:r>
      <w:r>
        <w:rPr>
          <w:b/>
          <w:bCs/>
          <w:lang w:val="pt-BR"/>
        </w:rPr>
        <w:t xml:space="preserve">jurídico</w:t>
      </w:r>
      <w:r>
        <w:rPr>
          <w:lang w:val="pt-BR"/>
        </w:rPr>
        <w:t xml:space="preserve">: a Justitia vendada, a República entronizada, a Semeuse em marcha não são fórmulas de páthos,</w:t>
      </w:r>
      <w:r>
        <w:rPr>
          <w:lang w:val="pt-BR"/>
        </w:rPr>
        <w:t xml:space="preserve"> </w:t>
      </w:r>
      <w:r>
        <w:rPr>
          <w:lang w:val="pt-BR"/>
        </w:rPr>
        <w:t xml:space="preserve">mas fórmulas de</w:t>
      </w:r>
      <w:r>
        <w:rPr>
          <w:lang w:val="pt-BR"/>
        </w:rPr>
        <w:t xml:space="preserve"> </w:t>
      </w:r>
      <w:r>
        <w:rPr>
          <w:i/>
          <w:iCs/>
          <w:lang w:val="pt-BR"/>
        </w:rPr>
        <w:t xml:space="preserve">soberania</w:t>
      </w:r>
      <w:r>
        <w:rPr>
          <w:lang w:val="pt-BR"/>
        </w:rPr>
        <w:t xml:space="preserve"> </w:t>
      </w:r>
      <w:r>
        <w:rPr>
          <w:lang w:val="pt-BR"/>
        </w:rPr>
        <w:t xml:space="preserve">— imagens que, ao migrarem da estampa à moeda e ao monumento, transmitem de</w:t>
      </w:r>
      <w:r>
        <w:rPr>
          <w:lang w:val="pt-BR"/>
        </w:rPr>
        <w:t xml:space="preserve"> </w:t>
      </w:r>
      <w:r>
        <w:rPr>
          <w:lang w:val="pt-BR"/>
        </w:rPr>
        <w:t xml:space="preserve">tribunal em tribunal a autoridade que o Capítulo 1 descreveu com Goodrich como visiocracia. O que</w:t>
      </w:r>
      <w:r>
        <w:rPr>
          <w:lang w:val="pt-BR"/>
        </w:rPr>
        <w:t xml:space="preserve"> </w:t>
      </w:r>
      <w:r>
        <w:rPr>
          <w:lang w:val="pt-BR"/>
        </w:rPr>
        <w:t xml:space="preserve">sobrevive, no Nachleben iconocrático, não é uma emoção: é o Contrato Sexual Visual, reencenado a cada</w:t>
      </w:r>
      <w:r>
        <w:rPr>
          <w:lang w:val="pt-BR"/>
        </w:rPr>
        <w:t xml:space="preserve"> </w:t>
      </w:r>
      <w:r>
        <w:rPr>
          <w:lang w:val="pt-BR"/>
        </w:rPr>
        <w:t xml:space="preserve">nova cunhagem. A montagem warburguiana, aqui, torna-se instrumento de uma história da cultura jurídica,</w:t>
      </w:r>
      <w:r>
        <w:rPr>
          <w:lang w:val="pt-BR"/>
        </w:rPr>
        <w:t xml:space="preserve"> </w:t>
      </w:r>
      <w:r>
        <w:rPr>
          <w:lang w:val="pt-BR"/>
        </w:rPr>
        <w:t xml:space="preserve">não da sensibilidade.</w:t>
      </w:r>
    </w:p>
    <w:p>
      <w:pPr>
        <w:pStyle w:val="BodyText"/>
      </w:pPr>
      <w:r>
        <w:rPr>
          <w:lang w:val="pt-BR"/>
        </w:rPr>
        <w:t xml:space="preserve">Dessa reoperação decorre a adaptação decisiva, aquela que distingue o Atlas Iconocrático de uma simples</w:t>
      </w:r>
      <w:r>
        <w:rPr>
          <w:lang w:val="pt-BR"/>
        </w:rPr>
        <w:t xml:space="preserve"> </w:t>
      </w:r>
      <w:r>
        <w:rPr>
          <w:lang w:val="pt-BR"/>
        </w:rPr>
        <w:t xml:space="preserve">transposição temática do método warburguiano. Warburg justapunha imagens e deixava que a afinidade</w:t>
      </w:r>
      <w:r>
        <w:rPr>
          <w:lang w:val="pt-BR"/>
        </w:rPr>
        <w:t xml:space="preserve"> </w:t>
      </w:r>
      <w:r>
        <w:rPr>
          <w:i/>
          <w:iCs/>
          <w:lang w:val="pt-BR"/>
        </w:rPr>
        <w:t xml:space="preserve">falasse</w:t>
      </w:r>
      <w:r>
        <w:rPr>
          <w:lang w:val="pt-BR"/>
        </w:rPr>
        <w:t xml:space="preserve"> </w:t>
      </w:r>
      <w:r>
        <w:rPr>
          <w:lang w:val="pt-BR"/>
        </w:rPr>
        <w:t xml:space="preserve">pela vizinhança; o juízo sobre a intensidade do gesto permanecia intuitivo, confiado ao olho</w:t>
      </w:r>
      <w:r>
        <w:rPr>
          <w:lang w:val="pt-BR"/>
        </w:rPr>
        <w:t xml:space="preserve"> </w:t>
      </w:r>
      <w:r>
        <w:rPr>
          <w:lang w:val="pt-BR"/>
        </w:rPr>
        <w:t xml:space="preserve">do montador. O Atlas Iconocrático acrescenta a essa justaposição uma</w:t>
      </w:r>
      <w:r>
        <w:rPr>
          <w:lang w:val="pt-BR"/>
        </w:rPr>
        <w:t xml:space="preserve"> </w:t>
      </w:r>
      <w:r>
        <w:rPr>
          <w:b/>
          <w:bCs/>
          <w:lang w:val="pt-BR"/>
        </w:rPr>
        <w:t xml:space="preserve">métrica</w:t>
      </w:r>
      <w:r>
        <w:rPr>
          <w:lang w:val="pt-BR"/>
        </w:rPr>
        <w:t xml:space="preserve">: cada imagem do painel</w:t>
      </w:r>
      <w:r>
        <w:rPr>
          <w:lang w:val="pt-BR"/>
        </w:rPr>
        <w:t xml:space="preserve"> </w:t>
      </w:r>
      <w:r>
        <w:rPr>
          <w:lang w:val="pt-BR"/>
        </w:rPr>
        <w:t xml:space="preserve">carrega o seu vetor de dez indicadores de endurecimento (Cap. 5) e o seu escore composto. A afinidade</w:t>
      </w:r>
      <w:r>
        <w:rPr>
          <w:lang w:val="pt-BR"/>
        </w:rPr>
        <w:t xml:space="preserve"> </w:t>
      </w:r>
      <w:r>
        <w:rPr>
          <w:lang w:val="pt-BR"/>
        </w:rPr>
        <w:t xml:space="preserve">deixa de ser apenas qualitativa —</w:t>
      </w:r>
      <w:r>
        <w:rPr>
          <w:lang w:val="pt-BR"/>
        </w:rPr>
        <w:t xml:space="preserve"> </w:t>
      </w:r>
      <w:r>
        <w:rPr>
          <w:lang w:val="pt-BR"/>
        </w:rPr>
        <w:t xml:space="preserve">“estas duas figuras se parecem”</w:t>
      </w:r>
      <w:r>
        <w:rPr>
          <w:lang w:val="pt-BR"/>
        </w:rPr>
        <w:t xml:space="preserve"> </w:t>
      </w:r>
      <w:r>
        <w:rPr>
          <w:lang w:val="pt-BR"/>
        </w:rPr>
        <w:t xml:space="preserve">— e passa a ser</w:t>
      </w:r>
      <w:r>
        <w:rPr>
          <w:lang w:val="pt-BR"/>
        </w:rPr>
        <w:t xml:space="preserve"> </w:t>
      </w:r>
      <w:r>
        <w:rPr>
          <w:i/>
          <w:iCs/>
          <w:lang w:val="pt-BR"/>
        </w:rPr>
        <w:t xml:space="preserve">ordinal</w:t>
      </w:r>
      <w:r>
        <w:rPr>
          <w:lang w:val="pt-BR"/>
        </w:rPr>
        <w:t xml:space="preserve">:</w:t>
      </w:r>
      <w:r>
        <w:rPr>
          <w:lang w:val="pt-BR"/>
        </w:rPr>
        <w:t xml:space="preserve"> </w:t>
      </w:r>
      <w:r>
        <w:rPr>
          <w:lang w:val="pt-BR"/>
        </w:rPr>
        <w:t xml:space="preserve">“esta</w:t>
      </w:r>
      <w:r>
        <w:rPr>
          <w:lang w:val="pt-BR"/>
        </w:rPr>
        <w:t xml:space="preserve"> </w:t>
      </w:r>
      <w:r>
        <w:rPr>
          <w:lang w:val="pt-BR"/>
        </w:rPr>
        <w:t xml:space="preserve">figura está mais purificada que aquela, e a diferença é mensurável”</w:t>
      </w:r>
      <w:r>
        <w:rPr>
          <w:lang w:val="pt-BR"/>
        </w:rPr>
        <w:t xml:space="preserve">. O painel, assim, não apenas exibe</w:t>
      </w:r>
      <w:r>
        <w:rPr>
          <w:lang w:val="pt-BR"/>
        </w:rPr>
        <w:t xml:space="preserve"> </w:t>
      </w:r>
      <w:r>
        <w:rPr>
          <w:lang w:val="pt-BR"/>
        </w:rPr>
        <w:t xml:space="preserve">a sobrevivência de uma fórmula; ele mede a sua</w:t>
      </w:r>
      <w:r>
        <w:rPr>
          <w:lang w:val="pt-BR"/>
        </w:rPr>
        <w:t xml:space="preserve"> </w:t>
      </w:r>
      <w:r>
        <w:rPr>
          <w:i/>
          <w:iCs/>
          <w:lang w:val="pt-BR"/>
        </w:rPr>
        <w:t xml:space="preserve">trajetória de endurecimento</w:t>
      </w:r>
      <w:r>
        <w:rPr>
          <w:lang w:val="pt-BR"/>
        </w:rPr>
        <w:t xml:space="preserve"> </w:t>
      </w:r>
      <w:r>
        <w:rPr>
          <w:lang w:val="pt-BR"/>
        </w:rPr>
        <w:t xml:space="preserve">ao longo do intervalo. É a</w:t>
      </w:r>
      <w:r>
        <w:rPr>
          <w:lang w:val="pt-BR"/>
        </w:rPr>
        <w:t xml:space="preserve"> </w:t>
      </w:r>
      <w:r>
        <w:rPr>
          <w:lang w:val="pt-BR"/>
        </w:rPr>
        <w:t xml:space="preserve">articulação entre a intuição warburguiana da montagem e o rigor iconométrico da Parte II que constitui a</w:t>
      </w:r>
      <w:r>
        <w:rPr>
          <w:lang w:val="pt-BR"/>
        </w:rPr>
        <w:t xml:space="preserve"> </w:t>
      </w:r>
      <w:r>
        <w:rPr>
          <w:lang w:val="pt-BR"/>
        </w:rPr>
        <w:t xml:space="preserve">originalidade formal deste capítulo — e é ela que permite ao Atlas ser, ao mesmo tempo, um argumento</w:t>
      </w:r>
      <w:r>
        <w:rPr>
          <w:lang w:val="pt-BR"/>
        </w:rPr>
        <w:t xml:space="preserve"> </w:t>
      </w:r>
      <w:r>
        <w:rPr>
          <w:lang w:val="pt-BR"/>
        </w:rPr>
        <w:t xml:space="preserve">visual e um argumento verificável.</w:t>
      </w:r>
    </w:p>
    <w:bookmarkEnd w:id="121"/>
    <w:bookmarkStart w:id="122" w:name="critérios-de-composição-dos-painéis"/>
    <w:p>
      <w:pPr>
        <w:pStyle w:val="Heading2"/>
      </w:pPr>
      <w:r>
        <w:rPr>
          <w:rStyle w:val="SectionNumber"/>
          <w:lang w:val="pt-BR"/>
        </w:rPr>
        <w:t xml:space="preserve">9.2</w:t>
      </w:r>
      <w:r>
        <w:tab/>
      </w:r>
      <w:r>
        <w:rPr>
          <w:lang w:val="pt-BR"/>
        </w:rPr>
        <w:t xml:space="preserve">8.2 — Critérios de composição dos painéis</w:t>
      </w:r>
    </w:p>
    <w:p>
      <w:pPr>
        <w:pStyle w:val="BlockText"/>
      </w:pPr>
      <w:r>
        <w:rPr>
          <w:b/>
          <w:bCs/>
          <w:lang w:val="pt-BR"/>
        </w:rPr>
        <w:t xml:space="preserve">Tese parcial.</w:t>
      </w:r>
      <w:r>
        <w:rPr>
          <w:lang w:val="pt-BR"/>
        </w:rPr>
        <w:t xml:space="preserve"> </w:t>
      </w:r>
      <w:r>
        <w:rPr>
          <w:lang w:val="pt-BR"/>
        </w:rPr>
        <w:t xml:space="preserve">Um painel do Atlas Iconocrático não é uma coleção temática de imagens semelhantes,</w:t>
      </w:r>
      <w:r>
        <w:rPr>
          <w:lang w:val="pt-BR"/>
        </w:rPr>
        <w:t xml:space="preserve"> </w:t>
      </w:r>
      <w:r>
        <w:rPr>
          <w:lang w:val="pt-BR"/>
        </w:rPr>
        <w:t xml:space="preserve">mas a</w:t>
      </w:r>
      <w:r>
        <w:rPr>
          <w:lang w:val="pt-BR"/>
        </w:rPr>
        <w:t xml:space="preserve"> </w:t>
      </w:r>
      <w:r>
        <w:rPr>
          <w:i/>
          <w:iCs/>
          <w:lang w:val="pt-BR"/>
        </w:rPr>
        <w:t xml:space="preserve">encenação de uma transição de regime</w:t>
      </w:r>
      <w:r>
        <w:rPr>
          <w:lang w:val="pt-BR"/>
        </w:rPr>
        <w:t xml:space="preserve">: sua composição é governada por uma regra única — polos</w:t>
      </w:r>
      <w:r>
        <w:rPr>
          <w:lang w:val="pt-BR"/>
        </w:rPr>
        <w:t xml:space="preserve"> </w:t>
      </w:r>
      <w:r>
        <w:rPr>
          <w:lang w:val="pt-BR"/>
        </w:rPr>
        <w:t xml:space="preserve">que marcam os extremos de uma passagem (fundacional → normativo, normativo → militar, ou a ruptura</w:t>
      </w:r>
      <w:r>
        <w:rPr>
          <w:lang w:val="pt-BR"/>
        </w:rPr>
        <w:t xml:space="preserve"> </w:t>
      </w:r>
      <w:r>
        <w:rPr>
          <w:lang w:val="pt-BR"/>
        </w:rPr>
        <w:t xml:space="preserve">contra-alegórica), um intervalo central onde a operação de Purificação Clássica se torna legível, e um</w:t>
      </w:r>
      <w:r>
        <w:rPr>
          <w:lang w:val="pt-BR"/>
        </w:rPr>
        <w:t xml:space="preserve"> </w:t>
      </w:r>
      <w:r>
        <w:rPr>
          <w:lang w:val="pt-BR"/>
        </w:rPr>
        <w:t xml:space="preserve">contraponto que exibe a falha ou a resistência dessa operação. A seleção dos objetos é, portanto,</w:t>
      </w:r>
      <w:r>
        <w:rPr>
          <w:lang w:val="pt-BR"/>
        </w:rPr>
        <w:t xml:space="preserve"> </w:t>
      </w:r>
      <w:r>
        <w:rPr>
          <w:lang w:val="pt-BR"/>
        </w:rPr>
        <w:t xml:space="preserve">subordinada ao argumento, não à iconografia.</w:t>
      </w:r>
    </w:p>
    <w:p>
      <w:pPr>
        <w:pStyle w:val="FirstParagraph"/>
      </w:pPr>
      <w:r>
        <w:rPr>
          <w:lang w:val="pt-BR"/>
        </w:rPr>
        <w:t xml:space="preserve">Cada painel obedece a uma arquitetura estável, que o Capítulo 9 aplica caso a caso. Três critérios a</w:t>
      </w:r>
      <w:r>
        <w:rPr>
          <w:lang w:val="pt-BR"/>
        </w:rPr>
        <w:t xml:space="preserve"> </w:t>
      </w:r>
      <w:r>
        <w:rPr>
          <w:lang w:val="pt-BR"/>
        </w:rPr>
        <w:t xml:space="preserve">governam.</w:t>
      </w:r>
    </w:p>
    <w:p>
      <w:pPr>
        <w:pStyle w:val="BodyText"/>
      </w:pPr>
      <w:r>
        <w:rPr>
          <w:b/>
          <w:bCs/>
          <w:lang w:val="pt-BR"/>
        </w:rPr>
        <w:t xml:space="preserve">Primeiro, o critério da transição.</w:t>
      </w:r>
      <w:r>
        <w:rPr>
          <w:lang w:val="pt-BR"/>
        </w:rPr>
        <w:t xml:space="preserve"> </w:t>
      </w:r>
      <w:r>
        <w:rPr>
          <w:lang w:val="pt-BR"/>
        </w:rPr>
        <w:t xml:space="preserve">Um painel nunca reúne imagens por semelhança de motivo — todas</w:t>
      </w:r>
      <w:r>
        <w:rPr>
          <w:lang w:val="pt-BR"/>
        </w:rPr>
        <w:t xml:space="preserve"> </w:t>
      </w:r>
      <w:r>
        <w:rPr>
          <w:lang w:val="pt-BR"/>
        </w:rPr>
        <w:t xml:space="preserve">as Mariannes juntas, todas as Justiças juntas. Reúne-as por</w:t>
      </w:r>
      <w:r>
        <w:rPr>
          <w:lang w:val="pt-BR"/>
        </w:rPr>
        <w:t xml:space="preserve"> </w:t>
      </w:r>
      <w:r>
        <w:rPr>
          <w:i/>
          <w:iCs/>
          <w:lang w:val="pt-BR"/>
        </w:rPr>
        <w:t xml:space="preserve">deslocamento de regime</w:t>
      </w:r>
      <w:r>
        <w:rPr>
          <w:lang w:val="pt-BR"/>
        </w:rPr>
        <w:t xml:space="preserve">: o objeto do painel</w:t>
      </w:r>
      <w:r>
        <w:rPr>
          <w:lang w:val="pt-BR"/>
        </w:rPr>
        <w:t xml:space="preserve"> </w:t>
      </w:r>
      <w:r>
        <w:rPr>
          <w:lang w:val="pt-BR"/>
        </w:rPr>
        <w:t xml:space="preserve">é sempre uma passagem entre dois dos regimes iconocráticos definidos no Capítulo 2 (fundacional,</w:t>
      </w:r>
      <w:r>
        <w:rPr>
          <w:lang w:val="pt-BR"/>
        </w:rPr>
        <w:t xml:space="preserve"> </w:t>
      </w:r>
      <w:r>
        <w:rPr>
          <w:lang w:val="pt-BR"/>
        </w:rPr>
        <w:t xml:space="preserve">normativo, militar) ou a sua interrupção pela contra-alegoria. O Painel III do Capítulo 9, por exemplo,</w:t>
      </w:r>
      <w:r>
        <w:rPr>
          <w:lang w:val="pt-BR"/>
        </w:rPr>
        <w:t xml:space="preserve"> </w:t>
      </w:r>
      <w:r>
        <w:rPr>
          <w:lang w:val="pt-BR"/>
        </w:rPr>
        <w:t xml:space="preserve">não é</w:t>
      </w:r>
      <w:r>
        <w:rPr>
          <w:lang w:val="pt-BR"/>
        </w:rPr>
        <w:t xml:space="preserve"> </w:t>
      </w:r>
      <w:r>
        <w:rPr>
          <w:lang w:val="pt-BR"/>
        </w:rPr>
        <w:t xml:space="preserve">“o painel da Marianne”</w:t>
      </w:r>
      <w:r>
        <w:rPr>
          <w:lang w:val="pt-BR"/>
        </w:rPr>
        <w:t xml:space="preserve">, mas o painel da passagem</w:t>
      </w:r>
      <w:r>
        <w:rPr>
          <w:lang w:val="pt-BR"/>
        </w:rPr>
        <w:t xml:space="preserve"> </w:t>
      </w:r>
      <w:r>
        <w:rPr>
          <w:i/>
          <w:iCs/>
          <w:lang w:val="pt-BR"/>
        </w:rPr>
        <w:t xml:space="preserve">do corpo vivo ao corpo-máquina</w:t>
      </w:r>
      <w:r>
        <w:rPr>
          <w:lang w:val="pt-BR"/>
        </w:rPr>
        <w:t xml:space="preserve"> </w:t>
      </w:r>
      <w:r>
        <w:rPr>
          <w:lang w:val="pt-BR"/>
        </w:rPr>
        <w:t xml:space="preserve">— a transição</w:t>
      </w:r>
      <w:r>
        <w:rPr>
          <w:lang w:val="pt-BR"/>
        </w:rPr>
        <w:t xml:space="preserve"> </w:t>
      </w:r>
      <w:r>
        <w:rPr>
          <w:lang w:val="pt-BR"/>
        </w:rPr>
        <w:t xml:space="preserve">fundacional → normativo —, e por isso justapõe a República encarnada de Villares (1889) e a Semeuse</w:t>
      </w:r>
      <w:r>
        <w:rPr>
          <w:lang w:val="pt-BR"/>
        </w:rPr>
        <w:t xml:space="preserve"> </w:t>
      </w:r>
      <w:r>
        <w:rPr>
          <w:lang w:val="pt-BR"/>
        </w:rPr>
        <w:t xml:space="preserve">perfilada de Roty (1897), objetos que a iconografia convencional jamais aproximaria. O motivo é o</w:t>
      </w:r>
      <w:r>
        <w:rPr>
          <w:lang w:val="pt-BR"/>
        </w:rPr>
        <w:t xml:space="preserve"> </w:t>
      </w:r>
      <w:r>
        <w:rPr>
          <w:lang w:val="pt-BR"/>
        </w:rPr>
        <w:t xml:space="preserve">pretexto; o argumento é a trajetória.</w:t>
      </w:r>
    </w:p>
    <w:p>
      <w:pPr>
        <w:pStyle w:val="BodyText"/>
      </w:pPr>
      <w:r>
        <w:rPr>
          <w:b/>
          <w:bCs/>
          <w:lang w:val="pt-BR"/>
        </w:rPr>
        <w:t xml:space="preserve">Segundo, o critério dos polos e do contraponto.</w:t>
      </w:r>
      <w:r>
        <w:rPr>
          <w:lang w:val="pt-BR"/>
        </w:rPr>
        <w:t xml:space="preserve"> </w:t>
      </w:r>
      <w:r>
        <w:rPr>
          <w:lang w:val="pt-BR"/>
        </w:rPr>
        <w:t xml:space="preserve">A arquitetura material do painel — herdada da</w:t>
      </w:r>
      <w:r>
        <w:rPr>
          <w:lang w:val="pt-BR"/>
        </w:rPr>
        <w:t xml:space="preserve"> </w:t>
      </w:r>
      <w:r>
        <w:rPr>
          <w:lang w:val="pt-BR"/>
        </w:rPr>
        <w:t xml:space="preserve">prancha warburguiana, mas disciplinada — dispõe os objetos em posições argumentativas, não decorativas.</w:t>
      </w:r>
      <w:r>
        <w:rPr>
          <w:lang w:val="pt-BR"/>
        </w:rPr>
        <w:t xml:space="preserve"> </w:t>
      </w:r>
      <w:r>
        <w:rPr>
          <w:lang w:val="pt-BR"/>
        </w:rPr>
        <w:t xml:space="preserve">Um</w:t>
      </w:r>
      <w:r>
        <w:rPr>
          <w:lang w:val="pt-BR"/>
        </w:rPr>
        <w:t xml:space="preserve"> </w:t>
      </w:r>
      <w:r>
        <w:rPr>
          <w:b/>
          <w:bCs/>
          <w:lang w:val="pt-BR"/>
        </w:rPr>
        <w:t xml:space="preserve">polo esquerdo</w:t>
      </w:r>
      <w:r>
        <w:rPr>
          <w:lang w:val="pt-BR"/>
        </w:rPr>
        <w:t xml:space="preserve"> </w:t>
      </w:r>
      <w:r>
        <w:rPr>
          <w:lang w:val="pt-BR"/>
        </w:rPr>
        <w:t xml:space="preserve">marca o ponto de partida da transição (o corpo menos endurecido); um</w:t>
      </w:r>
      <w:r>
        <w:rPr>
          <w:lang w:val="pt-BR"/>
        </w:rPr>
        <w:t xml:space="preserve"> </w:t>
      </w:r>
      <w:r>
        <w:rPr>
          <w:b/>
          <w:bCs/>
          <w:lang w:val="pt-BR"/>
        </w:rPr>
        <w:t xml:space="preserve">polo</w:t>
      </w:r>
      <w:r>
        <w:rPr>
          <w:b/>
          <w:bCs/>
          <w:lang w:val="pt-BR"/>
        </w:rPr>
        <w:t xml:space="preserve"> </w:t>
      </w:r>
      <w:r>
        <w:rPr>
          <w:b/>
          <w:bCs/>
          <w:lang w:val="pt-BR"/>
        </w:rPr>
        <w:t xml:space="preserve">direito</w:t>
      </w:r>
      <w:r>
        <w:rPr>
          <w:lang w:val="pt-BR"/>
        </w:rPr>
        <w:t xml:space="preserve"> </w:t>
      </w:r>
      <w:r>
        <w:rPr>
          <w:lang w:val="pt-BR"/>
        </w:rPr>
        <w:t xml:space="preserve">marca o ponto de chegada (o corpo mais endurecido); e um</w:t>
      </w:r>
      <w:r>
        <w:rPr>
          <w:lang w:val="pt-BR"/>
        </w:rPr>
        <w:t xml:space="preserve"> </w:t>
      </w:r>
      <w:r>
        <w:rPr>
          <w:b/>
          <w:bCs/>
          <w:lang w:val="pt-BR"/>
        </w:rPr>
        <w:t xml:space="preserve">contraponto inferior</w:t>
      </w:r>
      <w:r>
        <w:rPr>
          <w:lang w:val="pt-BR"/>
        </w:rPr>
        <w:t xml:space="preserve"> </w:t>
      </w:r>
      <w:r>
        <w:rPr>
          <w:lang w:val="pt-BR"/>
        </w:rPr>
        <w:t xml:space="preserve">exibe um</w:t>
      </w:r>
      <w:r>
        <w:rPr>
          <w:lang w:val="pt-BR"/>
        </w:rPr>
        <w:t xml:space="preserve"> </w:t>
      </w:r>
      <w:r>
        <w:rPr>
          <w:lang w:val="pt-BR"/>
        </w:rPr>
        <w:t xml:space="preserve">objeto que</w:t>
      </w:r>
      <w:r>
        <w:rPr>
          <w:lang w:val="pt-BR"/>
        </w:rPr>
        <w:t xml:space="preserve"> </w:t>
      </w:r>
      <w:r>
        <w:rPr>
          <w:i/>
          <w:iCs/>
          <w:lang w:val="pt-BR"/>
        </w:rPr>
        <w:t xml:space="preserve">falha</w:t>
      </w:r>
      <w:r>
        <w:rPr>
          <w:lang w:val="pt-BR"/>
        </w:rPr>
        <w:t xml:space="preserve"> </w:t>
      </w:r>
      <w:r>
        <w:rPr>
          <w:lang w:val="pt-BR"/>
        </w:rPr>
        <w:t xml:space="preserve">ou</w:t>
      </w:r>
      <w:r>
        <w:rPr>
          <w:lang w:val="pt-BR"/>
        </w:rPr>
        <w:t xml:space="preserve"> </w:t>
      </w:r>
      <w:r>
        <w:rPr>
          <w:i/>
          <w:iCs/>
          <w:lang w:val="pt-BR"/>
        </w:rPr>
        <w:t xml:space="preserve">resiste</w:t>
      </w:r>
      <w:r>
        <w:rPr>
          <w:lang w:val="pt-BR"/>
        </w:rPr>
        <w:t xml:space="preserve"> </w:t>
      </w:r>
      <w:r>
        <w:rPr>
          <w:lang w:val="pt-BR"/>
        </w:rPr>
        <w:t xml:space="preserve">à operação — a alegoria que não cruza o limiar, a figura que conserva</w:t>
      </w:r>
      <w:r>
        <w:rPr>
          <w:lang w:val="pt-BR"/>
        </w:rPr>
        <w:t xml:space="preserve"> </w:t>
      </w:r>
      <w:r>
        <w:rPr>
          <w:lang w:val="pt-BR"/>
        </w:rPr>
        <w:t xml:space="preserve">corporalidade, a contra-alegoria que subverte a fórmula. A escolha dos polos é ancorada no escore</w:t>
      </w:r>
      <w:r>
        <w:rPr>
          <w:lang w:val="pt-BR"/>
        </w:rPr>
        <w:t xml:space="preserve"> </w:t>
      </w:r>
      <w:r>
        <w:rPr>
          <w:lang w:val="pt-BR"/>
        </w:rPr>
        <w:t xml:space="preserve">composto: o polo esquerdo tem endurecimento baixo, o direito, alto, e o gradiente entre eles é a</w:t>
      </w:r>
      <w:r>
        <w:rPr>
          <w:lang w:val="pt-BR"/>
        </w:rPr>
        <w:t xml:space="preserve"> </w:t>
      </w:r>
      <w:r>
        <w:rPr>
          <w:i/>
          <w:iCs/>
          <w:lang w:val="pt-BR"/>
        </w:rPr>
        <w:t xml:space="preserve">medida</w:t>
      </w:r>
      <w:r>
        <w:rPr>
          <w:lang w:val="pt-BR"/>
        </w:rPr>
        <w:t xml:space="preserve"> </w:t>
      </w:r>
      <w:r>
        <w:rPr>
          <w:lang w:val="pt-BR"/>
        </w:rPr>
        <w:t xml:space="preserve">da transição que o painel encena. Onde Warburg confiava a leitura à vizinhança, o Atlas</w:t>
      </w:r>
      <w:r>
        <w:rPr>
          <w:lang w:val="pt-BR"/>
        </w:rPr>
        <w:t xml:space="preserve"> </w:t>
      </w:r>
      <w:r>
        <w:rPr>
          <w:lang w:val="pt-BR"/>
        </w:rPr>
        <w:t xml:space="preserve">Iconocrático a ancora numa ordenação verificável.</w:t>
      </w:r>
    </w:p>
    <w:p>
      <w:pPr>
        <w:pStyle w:val="BodyText"/>
      </w:pPr>
      <w:r>
        <w:rPr>
          <w:b/>
          <w:bCs/>
          <w:lang w:val="pt-BR"/>
        </w:rPr>
        <w:t xml:space="preserve">Terceiro, o critério do texto de painel.</w:t>
      </w:r>
      <w:r>
        <w:rPr>
          <w:lang w:val="pt-BR"/>
        </w:rPr>
        <w:t xml:space="preserve"> </w:t>
      </w:r>
      <w:r>
        <w:rPr>
          <w:lang w:val="pt-BR"/>
        </w:rPr>
        <w:t xml:space="preserve">À imagem justapõe-se o texto — não uma legenda descritiva,</w:t>
      </w:r>
      <w:r>
        <w:rPr>
          <w:lang w:val="pt-BR"/>
        </w:rPr>
        <w:t xml:space="preserve"> </w:t>
      </w:r>
      <w:r>
        <w:rPr>
          <w:lang w:val="pt-BR"/>
        </w:rPr>
        <w:t xml:space="preserve">mas um bloco curto (200–500 palavras) que enuncia a operação em curso. É aqui que a leitura iconológica</w:t>
      </w:r>
      <w:r>
        <w:rPr>
          <w:lang w:val="pt-BR"/>
        </w:rPr>
        <w:t xml:space="preserve"> </w:t>
      </w:r>
      <w:r>
        <w:rPr>
          <w:lang w:val="pt-BR"/>
        </w:rPr>
        <w:t xml:space="preserve">do Capítulo 7 é condensada em argumento: o texto de polo lê o objeto nos três níveis de Panofsky</w:t>
      </w:r>
      <w:r>
        <w:rPr>
          <w:lang w:val="pt-BR"/>
        </w:rPr>
        <w:t xml:space="preserve"> </w:t>
      </w:r>
      <w:r>
        <w:rPr>
          <w:lang w:val="pt-BR"/>
        </w:rPr>
        <w:t xml:space="preserve">(Panofsky, 1939)</w:t>
      </w:r>
      <w:r>
        <w:rPr>
          <w:lang w:val="pt-BR"/>
        </w:rPr>
        <w:t xml:space="preserve">, e o texto central — associado ao intervalo, e não a nenhuma imagem — enuncia a</w:t>
      </w:r>
      <w:r>
        <w:rPr>
          <w:lang w:val="pt-BR"/>
        </w:rPr>
        <w:t xml:space="preserve"> </w:t>
      </w:r>
      <w:r>
        <w:rPr>
          <w:i/>
          <w:iCs/>
          <w:lang w:val="pt-BR"/>
        </w:rPr>
        <w:t xml:space="preserve">operação</w:t>
      </w:r>
      <w:r>
        <w:rPr>
          <w:lang w:val="pt-BR"/>
        </w:rPr>
        <w:t xml:space="preserve"> </w:t>
      </w:r>
      <w:r>
        <w:rPr>
          <w:lang w:val="pt-BR"/>
        </w:rPr>
        <w:t xml:space="preserve">que se dá entre os polos. A regra editorial, decorrente do critério da transição, é que o</w:t>
      </w:r>
      <w:r>
        <w:rPr>
          <w:lang w:val="pt-BR"/>
        </w:rPr>
        <w:t xml:space="preserve"> </w:t>
      </w:r>
      <w:r>
        <w:rPr>
          <w:lang w:val="pt-BR"/>
        </w:rPr>
        <w:t xml:space="preserve">centro do painel frequentemente</w:t>
      </w:r>
      <w:r>
        <w:rPr>
          <w:lang w:val="pt-BR"/>
        </w:rPr>
        <w:t xml:space="preserve"> </w:t>
      </w:r>
      <w:r>
        <w:rPr>
          <w:i/>
          <w:iCs/>
          <w:lang w:val="pt-BR"/>
        </w:rPr>
        <w:t xml:space="preserve">não tem imagem</w:t>
      </w:r>
      <w:r>
        <w:rPr>
          <w:lang w:val="pt-BR"/>
        </w:rPr>
        <w:t xml:space="preserve">: o que ali se mostra não é um objeto, mas a passagem</w:t>
      </w:r>
      <w:r>
        <w:rPr>
          <w:lang w:val="pt-BR"/>
        </w:rPr>
        <w:t xml:space="preserve"> </w:t>
      </w:r>
      <w:r>
        <w:rPr>
          <w:lang w:val="pt-BR"/>
        </w:rPr>
        <w:t xml:space="preserve">entre objetos. O Zwischenraum, como se verá, é literalmente um vazio composicional carregado de sentido.</w:t>
      </w:r>
    </w:p>
    <w:p>
      <w:pPr>
        <w:pStyle w:val="BodyText"/>
      </w:pPr>
      <w:r>
        <w:rPr>
          <w:lang w:val="pt-BR"/>
        </w:rPr>
        <w:t xml:space="preserve">Desses três critérios decorre a economia dos oito painéis do Capítulo 9. Eles não esgotam o corpus —</w:t>
      </w:r>
      <w:r>
        <w:rPr>
          <w:lang w:val="pt-BR"/>
        </w:rPr>
        <w:t xml:space="preserve"> </w:t>
      </w:r>
      <w:r>
        <w:rPr>
          <w:lang w:val="pt-BR"/>
        </w:rPr>
        <w:t xml:space="preserve">seria impossível, e o Capítulo 6 já cobre a distribuição completa —, mas selecionam as oito transições</w:t>
      </w:r>
      <w:r>
        <w:rPr>
          <w:lang w:val="pt-BR"/>
        </w:rPr>
        <w:t xml:space="preserve"> </w:t>
      </w:r>
      <w:r>
        <w:rPr>
          <w:lang w:val="pt-BR"/>
        </w:rPr>
        <w:t xml:space="preserve">que melhor demonstram a tese: a gênese fundacional, a Justitia normativa, a domesticação do corpo, a</w:t>
      </w:r>
      <w:r>
        <w:rPr>
          <w:lang w:val="pt-BR"/>
        </w:rPr>
        <w:t xml:space="preserve"> </w:t>
      </w:r>
      <w:r>
        <w:rPr>
          <w:lang w:val="pt-BR"/>
        </w:rPr>
        <w:t xml:space="preserve">falha americana do limiar da dessexualização, a petrificação em pedra e bronze, a balança como</w:t>
      </w:r>
      <w:r>
        <w:rPr>
          <w:lang w:val="pt-BR"/>
        </w:rPr>
        <w:t xml:space="preserve"> </w:t>
      </w:r>
      <w:r>
        <w:rPr>
          <w:lang w:val="pt-BR"/>
        </w:rPr>
        <w:t xml:space="preserve">argumento imperial, a branquitude constitutiva e as fissuras contra-alegóricas. Cada painel é um teorema</w:t>
      </w:r>
      <w:r>
        <w:rPr>
          <w:lang w:val="pt-BR"/>
        </w:rPr>
        <w:t xml:space="preserve"> </w:t>
      </w:r>
      <w:r>
        <w:rPr>
          <w:lang w:val="pt-BR"/>
        </w:rPr>
        <w:t xml:space="preserve">visual: uma proposição que a montagem</w:t>
      </w:r>
      <w:r>
        <w:rPr>
          <w:lang w:val="pt-BR"/>
        </w:rPr>
        <w:t xml:space="preserve"> </w:t>
      </w:r>
      <w:r>
        <w:rPr>
          <w:i/>
          <w:iCs/>
          <w:lang w:val="pt-BR"/>
        </w:rPr>
        <w:t xml:space="preserve">demonstra</w:t>
      </w:r>
      <w:r>
        <w:rPr>
          <w:lang w:val="pt-BR"/>
        </w:rPr>
        <w:t xml:space="preserve"> </w:t>
      </w:r>
      <w:r>
        <w:rPr>
          <w:lang w:val="pt-BR"/>
        </w:rPr>
        <w:t xml:space="preserve">em vez de apenas afirmar.</w:t>
      </w:r>
    </w:p>
    <w:bookmarkEnd w:id="122"/>
    <w:bookmarkStart w:id="123" w:name="Xdc014ca45af7c10750ba4208f5692bbc14003af"/>
    <w:p>
      <w:pPr>
        <w:pStyle w:val="Heading2"/>
      </w:pPr>
      <w:r>
        <w:rPr>
          <w:rStyle w:val="SectionNumber"/>
          <w:lang w:val="pt-BR"/>
        </w:rPr>
        <w:t xml:space="preserve">9.3</w:t>
      </w:r>
      <w:r>
        <w:tab/>
      </w:r>
      <w:r>
        <w:rPr>
          <w:lang w:val="pt-BR"/>
        </w:rPr>
        <w:t xml:space="preserve">8.3 — O Zwischenraum como princípio estruturante</w:t>
      </w:r>
    </w:p>
    <w:p>
      <w:pPr>
        <w:pStyle w:val="BlockText"/>
      </w:pPr>
      <w:r>
        <w:rPr>
          <w:b/>
          <w:bCs/>
          <w:lang w:val="pt-BR"/>
        </w:rPr>
        <w:t xml:space="preserve">Tese parcial.</w:t>
      </w:r>
      <w:r>
        <w:rPr>
          <w:lang w:val="pt-BR"/>
        </w:rPr>
        <w:t xml:space="preserve"> </w:t>
      </w:r>
      <w:r>
        <w:rPr>
          <w:lang w:val="pt-BR"/>
        </w:rPr>
        <w:t xml:space="preserve">No Atlas Iconocrático, o Zwischenraum deixa de ser o</w:t>
      </w:r>
      <w:r>
        <w:rPr>
          <w:lang w:val="pt-BR"/>
        </w:rPr>
        <w:t xml:space="preserve"> </w:t>
      </w:r>
      <w:r>
        <w:rPr>
          <w:lang w:val="pt-BR"/>
        </w:rPr>
        <w:t xml:space="preserve">“espaço-entre”</w:t>
      </w:r>
      <w:r>
        <w:rPr>
          <w:lang w:val="pt-BR"/>
        </w:rPr>
        <w:t xml:space="preserve"> </w:t>
      </w:r>
      <w:r>
        <w:rPr>
          <w:lang w:val="pt-BR"/>
        </w:rPr>
        <w:t xml:space="preserve">contemplativo de</w:t>
      </w:r>
      <w:r>
        <w:rPr>
          <w:lang w:val="pt-BR"/>
        </w:rPr>
        <w:t xml:space="preserve"> </w:t>
      </w:r>
      <w:r>
        <w:rPr>
          <w:lang w:val="pt-BR"/>
        </w:rPr>
        <w:t xml:space="preserve">Warburg — o intervalo onde o pensamento respira — e torna-se o</w:t>
      </w:r>
      <w:r>
        <w:rPr>
          <w:lang w:val="pt-BR"/>
        </w:rPr>
        <w:t xml:space="preserve"> </w:t>
      </w:r>
      <w:r>
        <w:rPr>
          <w:i/>
          <w:iCs/>
          <w:lang w:val="pt-BR"/>
        </w:rPr>
        <w:t xml:space="preserve">lugar da operação</w:t>
      </w:r>
      <w:r>
        <w:rPr>
          <w:lang w:val="pt-BR"/>
        </w:rPr>
        <w:t xml:space="preserve">: o vazio entre os</w:t>
      </w:r>
      <w:r>
        <w:rPr>
          <w:lang w:val="pt-BR"/>
        </w:rPr>
        <w:t xml:space="preserve"> </w:t>
      </w:r>
      <w:r>
        <w:rPr>
          <w:lang w:val="pt-BR"/>
        </w:rPr>
        <w:t xml:space="preserve">polos do painel não separa duas imagens, mas nomeia o sítio onde a Purificação Clássica se realiza como</w:t>
      </w:r>
      <w:r>
        <w:rPr>
          <w:lang w:val="pt-BR"/>
        </w:rPr>
        <w:t xml:space="preserve"> </w:t>
      </w:r>
      <w:r>
        <w:rPr>
          <w:lang w:val="pt-BR"/>
        </w:rPr>
        <w:t xml:space="preserve">negociação invisível. O Zwischenraum é, na tese, um conceito jurídico-visual: o espaço em que o corpo</w:t>
      </w:r>
      <w:r>
        <w:rPr>
          <w:lang w:val="pt-BR"/>
        </w:rPr>
        <w:t xml:space="preserve"> </w:t>
      </w:r>
      <w:r>
        <w:rPr>
          <w:lang w:val="pt-BR"/>
        </w:rPr>
        <w:t xml:space="preserve">feminino histórico é extraído e substituído pela sua fórmula de Estado, sem que a substituição jamais</w:t>
      </w:r>
      <w:r>
        <w:rPr>
          <w:lang w:val="pt-BR"/>
        </w:rPr>
        <w:t xml:space="preserve"> </w:t>
      </w:r>
      <w:r>
        <w:rPr>
          <w:lang w:val="pt-BR"/>
        </w:rPr>
        <w:t xml:space="preserve">se dê a ver como ato.</w:t>
      </w:r>
    </w:p>
    <w:p>
      <w:pPr>
        <w:pStyle w:val="FirstParagraph"/>
      </w:pPr>
      <w:r>
        <w:rPr>
          <w:lang w:val="pt-BR"/>
        </w:rPr>
        <w:t xml:space="preserve">Warburg concebia o</w:t>
      </w:r>
      <w:r>
        <w:rPr>
          <w:lang w:val="pt-BR"/>
        </w:rPr>
        <w:t xml:space="preserve"> </w:t>
      </w:r>
      <w:r>
        <w:rPr>
          <w:i/>
          <w:iCs/>
          <w:lang w:val="pt-BR"/>
        </w:rPr>
        <w:t xml:space="preserve">Denkraum</w:t>
      </w:r>
      <w:r>
        <w:rPr>
          <w:lang w:val="pt-BR"/>
        </w:rPr>
        <w:t xml:space="preserve"> </w:t>
      </w:r>
      <w:r>
        <w:rPr>
          <w:lang w:val="pt-BR"/>
        </w:rPr>
        <w:t xml:space="preserve">— o espaço de pensamento — e o</w:t>
      </w:r>
      <w:r>
        <w:rPr>
          <w:lang w:val="pt-BR"/>
        </w:rPr>
        <w:t xml:space="preserve"> </w:t>
      </w:r>
      <w:r>
        <w:rPr>
          <w:i/>
          <w:iCs/>
          <w:lang w:val="pt-BR"/>
        </w:rPr>
        <w:t xml:space="preserve">Zwischenraum</w:t>
      </w:r>
      <w:r>
        <w:rPr>
          <w:lang w:val="pt-BR"/>
        </w:rPr>
        <w:t xml:space="preserve"> </w:t>
      </w:r>
      <w:r>
        <w:rPr>
          <w:lang w:val="pt-BR"/>
        </w:rPr>
        <w:t xml:space="preserve">como intervalos de</w:t>
      </w:r>
      <w:r>
        <w:rPr>
          <w:lang w:val="pt-BR"/>
        </w:rPr>
        <w:t xml:space="preserve"> </w:t>
      </w:r>
      <w:r>
        <w:rPr>
          <w:lang w:val="pt-BR"/>
        </w:rPr>
        <w:t xml:space="preserve">distância: a civilização, para ele, media-se pela capacidade de manter distância entre o sujeito e o</w:t>
      </w:r>
      <w:r>
        <w:rPr>
          <w:lang w:val="pt-BR"/>
        </w:rPr>
        <w:t xml:space="preserve"> </w:t>
      </w:r>
      <w:r>
        <w:rPr>
          <w:lang w:val="pt-BR"/>
        </w:rPr>
        <w:t xml:space="preserve">objeto de terror, e o intervalo entre as imagens da prancha era o correlato metodológico dessa distância</w:t>
      </w:r>
      <w:r>
        <w:rPr>
          <w:lang w:val="pt-BR"/>
        </w:rPr>
        <w:t xml:space="preserve"> </w:t>
      </w:r>
      <w:r>
        <w:rPr>
          <w:lang w:val="pt-BR"/>
        </w:rPr>
        <w:t xml:space="preserve">(Didi-Huberman, 2002; Warburg, 2000)</w:t>
      </w:r>
      <w:r>
        <w:rPr>
          <w:lang w:val="pt-BR"/>
        </w:rPr>
        <w:t xml:space="preserve"> </w:t>
      </w:r>
      <w:r>
        <w:rPr>
          <w:lang w:val="pt-BR"/>
        </w:rPr>
        <w:t xml:space="preserve">[VERIFICAR:</w:t>
      </w:r>
      <w:r>
        <w:rPr>
          <w:lang w:val="pt-BR"/>
        </w:rPr>
        <w:t xml:space="preserve"> </w:t>
      </w:r>
      <w:r>
        <w:rPr>
          <w:lang w:val="pt-BR"/>
        </w:rPr>
        <w:t xml:space="preserve">“Zwischenraum”</w:t>
      </w:r>
      <w:r>
        <w:rPr>
          <w:lang w:val="pt-BR"/>
        </w:rPr>
        <w:t xml:space="preserve"> </w:t>
      </w:r>
      <w:r>
        <w:rPr>
          <w:lang w:val="pt-BR"/>
        </w:rPr>
        <w:t xml:space="preserve">como termo do próprio Warburg é mais elaboração didi-hubermaniana do que uso documentado; conferir as passagens citadas]. O Atlas Iconocrático conserva a topologia — o sentido está no</w:t>
      </w:r>
      <w:r>
        <w:rPr>
          <w:lang w:val="pt-BR"/>
        </w:rPr>
        <w:t xml:space="preserve"> </w:t>
      </w:r>
      <w:r>
        <w:rPr>
          <w:lang w:val="pt-BR"/>
        </w:rPr>
        <w:t xml:space="preserve">intervalo, não nos termos — mas inverte a sua função. O Zwischenraum iconocrático não é o espaço onde o</w:t>
      </w:r>
      <w:r>
        <w:rPr>
          <w:lang w:val="pt-BR"/>
        </w:rPr>
        <w:t xml:space="preserve"> </w:t>
      </w:r>
      <w:r>
        <w:rPr>
          <w:lang w:val="pt-BR"/>
        </w:rPr>
        <w:t xml:space="preserve">pensamento se protege do páthos; é o espaço onde o</w:t>
      </w:r>
      <w:r>
        <w:rPr>
          <w:lang w:val="pt-BR"/>
        </w:rPr>
        <w:t xml:space="preserve"> </w:t>
      </w:r>
      <w:r>
        <w:rPr>
          <w:i/>
          <w:iCs/>
          <w:lang w:val="pt-BR"/>
        </w:rPr>
        <w:t xml:space="preserve">poder opera sem ser visto</w:t>
      </w:r>
      <w:r>
        <w:rPr>
          <w:lang w:val="pt-BR"/>
        </w:rPr>
        <w:t xml:space="preserve">. Entre a República</w:t>
      </w:r>
      <w:r>
        <w:rPr>
          <w:lang w:val="pt-BR"/>
        </w:rPr>
        <w:t xml:space="preserve"> </w:t>
      </w:r>
      <w:r>
        <w:rPr>
          <w:lang w:val="pt-BR"/>
        </w:rPr>
        <w:t xml:space="preserve">encarnada e a Semeuse perfilada não há apenas uma distância a contemplar: há uma</w:t>
      </w:r>
      <w:r>
        <w:rPr>
          <w:lang w:val="pt-BR"/>
        </w:rPr>
        <w:t xml:space="preserve"> </w:t>
      </w:r>
      <w:r>
        <w:rPr>
          <w:b/>
          <w:bCs/>
          <w:lang w:val="pt-BR"/>
        </w:rPr>
        <w:t xml:space="preserve">operação</w:t>
      </w:r>
      <w:r>
        <w:rPr>
          <w:lang w:val="pt-BR"/>
        </w:rPr>
        <w:t xml:space="preserve"> </w:t>
      </w:r>
      <w:r>
        <w:rPr>
          <w:lang w:val="pt-BR"/>
        </w:rPr>
        <w:t xml:space="preserve">— a</w:t>
      </w:r>
      <w:r>
        <w:rPr>
          <w:lang w:val="pt-BR"/>
        </w:rPr>
        <w:t xml:space="preserve"> </w:t>
      </w:r>
      <w:r>
        <w:rPr>
          <w:lang w:val="pt-BR"/>
        </w:rPr>
        <w:t xml:space="preserve">conversão do corpo em função, da carne em protocolo, do sujeito histórico em máquina de perpetuação</w:t>
      </w:r>
      <w:r>
        <w:rPr>
          <w:lang w:val="pt-BR"/>
        </w:rPr>
        <w:t xml:space="preserve"> </w:t>
      </w:r>
      <w:r>
        <w:rPr>
          <w:lang w:val="pt-BR"/>
        </w:rPr>
        <w:t xml:space="preserve">estatal. O intervalo é o verbo da frase que os polos apenas substantivam.</w:t>
      </w:r>
    </w:p>
    <w:p>
      <w:pPr>
        <w:pStyle w:val="BodyText"/>
      </w:pPr>
      <w:r>
        <w:rPr>
          <w:lang w:val="pt-BR"/>
        </w:rPr>
        <w:t xml:space="preserve">Três propriedades definem o Zwischenraum como princípio estruturante, e cada uma corresponde a um modo</w:t>
      </w:r>
      <w:r>
        <w:rPr>
          <w:lang w:val="pt-BR"/>
        </w:rPr>
        <w:t xml:space="preserve"> </w:t>
      </w:r>
      <w:r>
        <w:rPr>
          <w:lang w:val="pt-BR"/>
        </w:rPr>
        <w:t xml:space="preserve">de o painel argumentar. A</w:t>
      </w:r>
      <w:r>
        <w:rPr>
          <w:lang w:val="pt-BR"/>
        </w:rPr>
        <w:t xml:space="preserve"> </w:t>
      </w:r>
      <w:r>
        <w:rPr>
          <w:b/>
          <w:bCs/>
          <w:lang w:val="pt-BR"/>
        </w:rPr>
        <w:t xml:space="preserve">primeira</w:t>
      </w:r>
      <w:r>
        <w:rPr>
          <w:lang w:val="pt-BR"/>
        </w:rPr>
        <w:t xml:space="preserve"> </w:t>
      </w:r>
      <w:r>
        <w:rPr>
          <w:lang w:val="pt-BR"/>
        </w:rPr>
        <w:t xml:space="preserve">é a</w:t>
      </w:r>
      <w:r>
        <w:rPr>
          <w:lang w:val="pt-BR"/>
        </w:rPr>
        <w:t xml:space="preserve"> </w:t>
      </w:r>
      <w:r>
        <w:rPr>
          <w:i/>
          <w:iCs/>
          <w:lang w:val="pt-BR"/>
        </w:rPr>
        <w:t xml:space="preserve">invisibilidade operatória</w:t>
      </w:r>
      <w:r>
        <w:rPr>
          <w:lang w:val="pt-BR"/>
        </w:rPr>
        <w:t xml:space="preserve">: a Purificação Clássica só é</w:t>
      </w:r>
      <w:r>
        <w:rPr>
          <w:lang w:val="pt-BR"/>
        </w:rPr>
        <w:t xml:space="preserve"> </w:t>
      </w:r>
      <w:r>
        <w:rPr>
          <w:lang w:val="pt-BR"/>
        </w:rPr>
        <w:t xml:space="preserve">eficaz porque não se dá a ver como escolha — a Semeuse parece ter sempre sido perfil, jamais rosto. O</w:t>
      </w:r>
      <w:r>
        <w:rPr>
          <w:lang w:val="pt-BR"/>
        </w:rPr>
        <w:t xml:space="preserve"> </w:t>
      </w:r>
      <w:r>
        <w:rPr>
          <w:lang w:val="pt-BR"/>
        </w:rPr>
        <w:t xml:space="preserve">painel torna visível essa invisibilidade ao materializá-la como vazio central: o espectador é obrigado a</w:t>
      </w:r>
      <w:r>
        <w:rPr>
          <w:lang w:val="pt-BR"/>
        </w:rPr>
        <w:t xml:space="preserve"> </w:t>
      </w:r>
      <w:r>
        <w:rPr>
          <w:i/>
          <w:iCs/>
          <w:lang w:val="pt-BR"/>
        </w:rPr>
        <w:t xml:space="preserve">produzir</w:t>
      </w:r>
      <w:r>
        <w:rPr>
          <w:lang w:val="pt-BR"/>
        </w:rPr>
        <w:t xml:space="preserve">, no intervalo, a operação que a cultura oficial recalcou. A</w:t>
      </w:r>
      <w:r>
        <w:rPr>
          <w:lang w:val="pt-BR"/>
        </w:rPr>
        <w:t xml:space="preserve"> </w:t>
      </w:r>
      <w:r>
        <w:rPr>
          <w:b/>
          <w:bCs/>
          <w:lang w:val="pt-BR"/>
        </w:rPr>
        <w:t xml:space="preserve">segunda</w:t>
      </w:r>
      <w:r>
        <w:rPr>
          <w:lang w:val="pt-BR"/>
        </w:rPr>
        <w:t xml:space="preserve"> </w:t>
      </w:r>
      <w:r>
        <w:rPr>
          <w:lang w:val="pt-BR"/>
        </w:rPr>
        <w:t xml:space="preserve">é a</w:t>
      </w:r>
      <w:r>
        <w:rPr>
          <w:lang w:val="pt-BR"/>
        </w:rPr>
        <w:t xml:space="preserve"> </w:t>
      </w:r>
      <w:r>
        <w:rPr>
          <w:i/>
          <w:iCs/>
          <w:lang w:val="pt-BR"/>
        </w:rPr>
        <w:t xml:space="preserve">reversibilidade</w:t>
      </w:r>
      <w:r>
        <w:rPr>
          <w:i/>
          <w:iCs/>
          <w:lang w:val="pt-BR"/>
        </w:rPr>
        <w:t xml:space="preserve"> </w:t>
      </w:r>
      <w:r>
        <w:rPr>
          <w:i/>
          <w:iCs/>
          <w:lang w:val="pt-BR"/>
        </w:rPr>
        <w:t xml:space="preserve">truncada</w:t>
      </w:r>
      <w:r>
        <w:rPr>
          <w:lang w:val="pt-BR"/>
        </w:rPr>
        <w:t xml:space="preserve">: o Zwischenraum tem direção. Ele conduz do corpo vivo ao corpo-máquina, e a resistência a essa</w:t>
      </w:r>
      <w:r>
        <w:rPr>
          <w:lang w:val="pt-BR"/>
        </w:rPr>
        <w:t xml:space="preserve"> </w:t>
      </w:r>
      <w:r>
        <w:rPr>
          <w:lang w:val="pt-BR"/>
        </w:rPr>
        <w:t xml:space="preserve">direção — o corpo que se recusa a atravessar o intervalo — não o inverte, mas o interrompe, produzindo a</w:t>
      </w:r>
      <w:r>
        <w:rPr>
          <w:lang w:val="pt-BR"/>
        </w:rPr>
        <w:t xml:space="preserve"> </w:t>
      </w:r>
      <w:r>
        <w:rPr>
          <w:lang w:val="pt-BR"/>
        </w:rPr>
        <w:t xml:space="preserve">contra-alegoria. O Painel IV do Capítulo 9 nomeia essa interrupção com precisão clínica: o Zwischenraum</w:t>
      </w:r>
      <w:r>
        <w:rPr>
          <w:lang w:val="pt-BR"/>
        </w:rPr>
        <w:t xml:space="preserve"> </w:t>
      </w:r>
      <w:r>
        <w:rPr>
          <w:lang w:val="pt-BR"/>
        </w:rPr>
        <w:t xml:space="preserve">como</w:t>
      </w:r>
      <w:r>
        <w:rPr>
          <w:lang w:val="pt-BR"/>
        </w:rPr>
        <w:t xml:space="preserve"> </w:t>
      </w:r>
      <w:r>
        <w:rPr>
          <w:lang w:val="pt-BR"/>
        </w:rPr>
        <w:t xml:space="preserve">“cemitério das alegorias mal-nascidas”</w:t>
      </w:r>
      <w:r>
        <w:rPr>
          <w:lang w:val="pt-BR"/>
        </w:rPr>
        <w:t xml:space="preserve">, onde os corpos que falham em cruzar o limiar da</w:t>
      </w:r>
      <w:r>
        <w:rPr>
          <w:lang w:val="pt-BR"/>
        </w:rPr>
        <w:t xml:space="preserve"> </w:t>
      </w:r>
      <w:r>
        <w:rPr>
          <w:lang w:val="pt-BR"/>
        </w:rPr>
        <w:t xml:space="preserve">dessexualização apodrecem como moeda que não pode circular. A</w:t>
      </w:r>
      <w:r>
        <w:rPr>
          <w:lang w:val="pt-BR"/>
        </w:rPr>
        <w:t xml:space="preserve"> </w:t>
      </w:r>
      <w:r>
        <w:rPr>
          <w:b/>
          <w:bCs/>
          <w:lang w:val="pt-BR"/>
        </w:rPr>
        <w:t xml:space="preserve">terceira</w:t>
      </w:r>
      <w:r>
        <w:rPr>
          <w:lang w:val="pt-BR"/>
        </w:rPr>
        <w:t xml:space="preserve"> </w:t>
      </w:r>
      <w:r>
        <w:rPr>
          <w:lang w:val="pt-BR"/>
        </w:rPr>
        <w:t xml:space="preserve">é a</w:t>
      </w:r>
      <w:r>
        <w:rPr>
          <w:lang w:val="pt-BR"/>
        </w:rPr>
        <w:t xml:space="preserve"> </w:t>
      </w:r>
      <w:r>
        <w:rPr>
          <w:i/>
          <w:iCs/>
          <w:lang w:val="pt-BR"/>
        </w:rPr>
        <w:t xml:space="preserve">carga jurídica</w:t>
      </w:r>
      <w:r>
        <w:rPr>
          <w:lang w:val="pt-BR"/>
        </w:rPr>
        <w:t xml:space="preserve">: o que</w:t>
      </w:r>
      <w:r>
        <w:rPr>
          <w:lang w:val="pt-BR"/>
        </w:rPr>
        <w:t xml:space="preserve"> </w:t>
      </w:r>
      <w:r>
        <w:rPr>
          <w:lang w:val="pt-BR"/>
        </w:rPr>
        <w:t xml:space="preserve">atravessa o intervalo não é uma emoção que retorna, mas um contrato que se reencena. O Nachleben</w:t>
      </w:r>
      <w:r>
        <w:rPr>
          <w:lang w:val="pt-BR"/>
        </w:rPr>
        <w:t xml:space="preserve"> </w:t>
      </w:r>
      <w:r>
        <w:rPr>
          <w:lang w:val="pt-BR"/>
        </w:rPr>
        <w:t xml:space="preserve">iconocrático é a sobrevivência do Contrato Sexual Visual — e, na sua dimensão racializada, do Contrato</w:t>
      </w:r>
      <w:r>
        <w:rPr>
          <w:lang w:val="pt-BR"/>
        </w:rPr>
        <w:t xml:space="preserve"> </w:t>
      </w:r>
      <w:r>
        <w:rPr>
          <w:lang w:val="pt-BR"/>
        </w:rPr>
        <w:t xml:space="preserve">Racial Visual (Cap. 3) — através de cada nova cunhagem. O corpo que reaparece no polo direito do painel</w:t>
      </w:r>
      <w:r>
        <w:rPr>
          <w:lang w:val="pt-BR"/>
        </w:rPr>
        <w:t xml:space="preserve"> </w:t>
      </w:r>
      <w:r>
        <w:rPr>
          <w:lang w:val="pt-BR"/>
        </w:rPr>
        <w:t xml:space="preserve">é o mesmo que foi excluído do foro no polo esquerdo: a alegoria sobrevive porque a mulher real</w:t>
      </w:r>
      <w:r>
        <w:rPr>
          <w:lang w:val="pt-BR"/>
        </w:rPr>
        <w:t xml:space="preserve"> </w:t>
      </w:r>
      <w:r>
        <w:rPr>
          <w:lang w:val="pt-BR"/>
        </w:rPr>
        <w:t xml:space="preserve">desapareceu.</w:t>
      </w:r>
    </w:p>
    <w:p>
      <w:pPr>
        <w:pStyle w:val="BodyText"/>
      </w:pPr>
      <w:r>
        <w:rPr>
          <w:lang w:val="pt-BR"/>
        </w:rPr>
        <w:t xml:space="preserve">É essa terceira propriedade que fecha o arco de toda a Parte IV e a religa à Parte I. Se o Contrato</w:t>
      </w:r>
      <w:r>
        <w:rPr>
          <w:lang w:val="pt-BR"/>
        </w:rPr>
        <w:t xml:space="preserve"> </w:t>
      </w:r>
      <w:r>
        <w:rPr>
          <w:lang w:val="pt-BR"/>
        </w:rPr>
        <w:t xml:space="preserve">Sexual Visual é a estrutura (Cap. 1), a Feminilidade de Estado o seu regime (Cap. 2) e a Purificação</w:t>
      </w:r>
      <w:r>
        <w:rPr>
          <w:lang w:val="pt-BR"/>
        </w:rPr>
        <w:t xml:space="preserve"> </w:t>
      </w:r>
      <w:r>
        <w:rPr>
          <w:lang w:val="pt-BR"/>
        </w:rPr>
        <w:t xml:space="preserve">Clássica a sua operação (Cap. 5), o Zwischenraum é o</w:t>
      </w:r>
      <w:r>
        <w:rPr>
          <w:lang w:val="pt-BR"/>
        </w:rPr>
        <w:t xml:space="preserve"> </w:t>
      </w:r>
      <w:r>
        <w:rPr>
          <w:i/>
          <w:iCs/>
          <w:lang w:val="pt-BR"/>
        </w:rPr>
        <w:t xml:space="preserve">lugar</w:t>
      </w:r>
      <w:r>
        <w:rPr>
          <w:lang w:val="pt-BR"/>
        </w:rPr>
        <w:t xml:space="preserve"> </w:t>
      </w:r>
      <w:r>
        <w:rPr>
          <w:lang w:val="pt-BR"/>
        </w:rPr>
        <w:t xml:space="preserve">onde essa operação se dá — e o Atlas</w:t>
      </w:r>
      <w:r>
        <w:rPr>
          <w:lang w:val="pt-BR"/>
        </w:rPr>
        <w:t xml:space="preserve"> </w:t>
      </w:r>
      <w:r>
        <w:rPr>
          <w:lang w:val="pt-BR"/>
        </w:rPr>
        <w:t xml:space="preserve">Iconocrático, o dispositivo que a torna visível sem a trair, isto é, sem convertê-la de novo em prosa</w:t>
      </w:r>
      <w:r>
        <w:rPr>
          <w:lang w:val="pt-BR"/>
        </w:rPr>
        <w:t xml:space="preserve"> </w:t>
      </w:r>
      <w:r>
        <w:rPr>
          <w:lang w:val="pt-BR"/>
        </w:rPr>
        <w:t xml:space="preserve">linear que a naturalizaria. Montar o Atlas é, nesse sentido, um gesto crítico e não apenas expositivo:</w:t>
      </w:r>
      <w:r>
        <w:rPr>
          <w:lang w:val="pt-BR"/>
        </w:rPr>
        <w:t xml:space="preserve"> </w:t>
      </w:r>
      <w:r>
        <w:rPr>
          <w:lang w:val="pt-BR"/>
        </w:rPr>
        <w:t xml:space="preserve">ao dispor a série no espaço e obrigar o olhar a percorrer o intervalo, o Atlas desfaz a naturalização</w:t>
      </w:r>
      <w:r>
        <w:rPr>
          <w:lang w:val="pt-BR"/>
        </w:rPr>
        <w:t xml:space="preserve"> </w:t>
      </w:r>
      <w:r>
        <w:rPr>
          <w:lang w:val="pt-BR"/>
        </w:rPr>
        <w:t xml:space="preserve">que a circulação cotidiana das moedas, dos selos e dos monumentos havia consumado. Ele devolve à</w:t>
      </w:r>
      <w:r>
        <w:rPr>
          <w:lang w:val="pt-BR"/>
        </w:rPr>
        <w:t xml:space="preserve"> </w:t>
      </w:r>
      <w:r>
        <w:rPr>
          <w:lang w:val="pt-BR"/>
        </w:rPr>
        <w:t xml:space="preserve">alegoria a sua história — e, com ela, a pergunta que o contrato visual tornara imperceptível: por que o</w:t>
      </w:r>
      <w:r>
        <w:rPr>
          <w:lang w:val="pt-BR"/>
        </w:rPr>
        <w:t xml:space="preserve"> </w:t>
      </w:r>
      <w:r>
        <w:rPr>
          <w:lang w:val="pt-BR"/>
        </w:rPr>
        <w:t xml:space="preserve">poder tem rosto de mulher, e por que essa mulher jamais teve o poder.</w:t>
      </w:r>
    </w:p>
    <w:p>
      <w:r>
        <w:pict>
          <v:rect style="width:0;height:1.5pt" o:hralign="center" o:hrstd="t" o:hr="t"/>
        </w:pict>
      </w:r>
    </w:p>
    <w:p>
      <w:pPr>
        <w:pStyle w:val="BlockText"/>
      </w:pPr>
      <w:r>
        <w:rPr>
          <w:b/>
          <w:bCs/>
          <w:lang w:val="pt-BR"/>
        </w:rPr>
        <w:t xml:space="preserve">Pendências deste capítulo (para polimento perto da entrega):</w:t>
      </w:r>
      <w:r>
        <w:rPr>
          <w:lang w:val="pt-BR"/>
        </w:rPr>
        <w:t xml:space="preserve"> </w:t>
      </w:r>
      <w:r>
        <w:rPr>
          <w:lang w:val="pt-BR"/>
        </w:rPr>
        <w:t xml:space="preserve">1.</w:t>
      </w:r>
      <w:r>
        <w:rPr>
          <w:lang w:val="pt-BR"/>
        </w:rPr>
        <w:t xml:space="preserve"> </w:t>
      </w:r>
      <w:r>
        <w:rPr>
          <w:b/>
          <w:bCs/>
          <w:lang w:val="pt-BR"/>
        </w:rPr>
        <w:t xml:space="preserve">Referências Warburg/Nachleben</w:t>
      </w:r>
      <w:r>
        <w:rPr>
          <w:lang w:val="pt-BR"/>
        </w:rPr>
        <w:t xml:space="preserve"> </w:t>
      </w:r>
      <w:r>
        <w:rPr>
          <w:lang w:val="pt-BR"/>
        </w:rPr>
        <w:t xml:space="preserve">— confirmar que</w:t>
      </w:r>
      <w:r>
        <w:rPr>
          <w:lang w:val="pt-BR"/>
        </w:rPr>
        <w:t xml:space="preserve"> </w:t>
      </w:r>
      <w:r>
        <w:rPr>
          <w:rStyle w:val="VerbatimChar"/>
          <w:lang w:val="pt-BR"/>
        </w:rPr>
        <w:t xml:space="preserve">warburg2000</w:t>
      </w:r>
      <w:r>
        <w:rPr>
          <w:lang w:val="pt-BR"/>
        </w:rPr>
        <w:t xml:space="preserve"> </w:t>
      </w:r>
      <w:r>
        <w:rPr>
          <w:lang w:val="pt-BR"/>
        </w:rPr>
        <w:t xml:space="preserve">e</w:t>
      </w:r>
      <w:r>
        <w:rPr>
          <w:lang w:val="pt-BR"/>
        </w:rPr>
        <w:t xml:space="preserve"> </w:t>
      </w:r>
      <w:r>
        <w:rPr>
          <w:rStyle w:val="VerbatimChar"/>
          <w:lang w:val="pt-BR"/>
        </w:rPr>
        <w:t xml:space="preserve">didihuberman2002</w:t>
      </w:r>
      <w:r>
        <w:rPr>
          <w:lang w:val="pt-BR"/>
        </w:rPr>
        <w:t xml:space="preserve"> </w:t>
      </w:r>
      <w:r>
        <w:rPr>
          <w:lang w:val="pt-BR"/>
        </w:rPr>
        <w:t xml:space="preserve">cobrem as</w:t>
      </w:r>
      <w:r>
        <w:rPr>
          <w:lang w:val="pt-BR"/>
        </w:rPr>
        <w:t xml:space="preserve"> </w:t>
      </w:r>
      <w:r>
        <w:rPr>
          <w:lang w:val="pt-BR"/>
        </w:rPr>
        <w:t xml:space="preserve">passagens citadas (Bilderatlas Mnemosyne; Pathosformel/Nachleben/Denkraum); inserir edição</w:t>
      </w:r>
      <w:r>
        <w:rPr>
          <w:lang w:val="pt-BR"/>
        </w:rPr>
        <w:t xml:space="preserve"> </w:t>
      </w:r>
      <w:r>
        <w:rPr>
          <w:lang w:val="pt-BR"/>
        </w:rPr>
        <w:t xml:space="preserve">específica do</w:t>
      </w:r>
      <w:r>
        <w:rPr>
          <w:lang w:val="pt-BR"/>
        </w:rPr>
        <w:t xml:space="preserve"> </w:t>
      </w:r>
      <w:r>
        <w:rPr>
          <w:i/>
          <w:iCs/>
          <w:lang w:val="pt-BR"/>
        </w:rPr>
        <w:t xml:space="preserve">Bilderatlas</w:t>
      </w:r>
      <w:r>
        <w:rPr>
          <w:lang w:val="pt-BR"/>
        </w:rPr>
        <w:t xml:space="preserve"> </w:t>
      </w:r>
      <w:r>
        <w:rPr>
          <w:lang w:val="pt-BR"/>
        </w:rPr>
        <w:t xml:space="preserve">se necessário via</w:t>
      </w:r>
      <w:r>
        <w:rPr>
          <w:lang w:val="pt-BR"/>
        </w:rPr>
        <w:t xml:space="preserve"> </w:t>
      </w:r>
      <w:r>
        <w:rPr>
          <w:rStyle w:val="VerbatimChar"/>
          <w:lang w:val="pt-BR"/>
        </w:rPr>
        <w:t xml:space="preserve">zotero-cite</w:t>
      </w:r>
      <w:r>
        <w:rPr>
          <w:lang w:val="pt-BR"/>
        </w:rPr>
        <w:t xml:space="preserve">.</w:t>
      </w:r>
      <w:r>
        <w:rPr>
          <w:lang w:val="pt-BR"/>
        </w:rPr>
        <w:t xml:space="preserve"> </w:t>
      </w:r>
      <w:r>
        <w:rPr>
          <w:lang w:val="pt-BR"/>
        </w:rPr>
        <w:t xml:space="preserve">2.</w:t>
      </w:r>
      <w:r>
        <w:rPr>
          <w:lang w:val="pt-BR"/>
        </w:rPr>
        <w:t xml:space="preserve"> </w:t>
      </w:r>
      <w:r>
        <w:rPr>
          <w:b/>
          <w:bCs/>
          <w:lang w:val="pt-BR"/>
        </w:rPr>
        <w:t xml:space="preserve">Coerência com o Cap. 9</w:t>
      </w:r>
      <w:r>
        <w:rPr>
          <w:lang w:val="pt-BR"/>
        </w:rPr>
        <w:t xml:space="preserve"> </w:t>
      </w:r>
      <w:r>
        <w:rPr>
          <w:lang w:val="pt-BR"/>
        </w:rPr>
        <w:t xml:space="preserve">— garantir que a numeração e os títulos dos oito painéis referenciados</w:t>
      </w:r>
      <w:r>
        <w:rPr>
          <w:lang w:val="pt-BR"/>
        </w:rPr>
        <w:t xml:space="preserve"> </w:t>
      </w:r>
      <w:r>
        <w:rPr>
          <w:lang w:val="pt-BR"/>
        </w:rPr>
        <w:t xml:space="preserve">aqui (Gênese, Justitia, Domesticação, endurecimento/limiar, Pedra e Bronze, Balança e Império,</w:t>
      </w:r>
      <w:r>
        <w:rPr>
          <w:lang w:val="pt-BR"/>
        </w:rPr>
        <w:t xml:space="preserve"> </w:t>
      </w:r>
      <w:r>
        <w:rPr>
          <w:lang w:val="pt-BR"/>
        </w:rPr>
        <w:t xml:space="preserve">Branquitude, Fissuras) permaneçam idênticos aos do Cap. 9 quando este for consolidado.</w:t>
      </w:r>
      <w:r>
        <w:rPr>
          <w:lang w:val="pt-BR"/>
        </w:rPr>
        <w:t xml:space="preserve"> </w:t>
      </w:r>
      <w:r>
        <w:rPr>
          <w:lang w:val="pt-BR"/>
        </w:rPr>
        <w:t xml:space="preserve">3.</w:t>
      </w:r>
      <w:r>
        <w:rPr>
          <w:lang w:val="pt-BR"/>
        </w:rPr>
        <w:t xml:space="preserve"> </w:t>
      </w:r>
      <w:r>
        <w:rPr>
          <w:b/>
          <w:bCs/>
          <w:lang w:val="pt-BR"/>
        </w:rPr>
        <w:t xml:space="preserve">Não ceder autoria</w:t>
      </w:r>
      <w:r>
        <w:rPr>
          <w:lang w:val="pt-BR"/>
        </w:rPr>
        <w:t xml:space="preserve"> </w:t>
      </w:r>
      <w:r>
        <w:rPr>
          <w:lang w:val="pt-BR"/>
        </w:rPr>
        <w:t xml:space="preserve">dos quatro conceitos originais (Contrato Sexual Visual, Feminilidade de</w:t>
      </w:r>
      <w:r>
        <w:rPr>
          <w:lang w:val="pt-BR"/>
        </w:rPr>
        <w:t xml:space="preserve"> </w:t>
      </w:r>
      <w:r>
        <w:rPr>
          <w:lang w:val="pt-BR"/>
        </w:rPr>
        <w:t xml:space="preserve">Estado, Contrato Racial Visual, Purificação Clássica) a Warburg/Mondzain: Warburg fornece o</w:t>
      </w:r>
      <w:r>
        <w:rPr>
          <w:lang w:val="pt-BR"/>
        </w:rPr>
        <w:t xml:space="preserve"> </w:t>
      </w:r>
      <w:r>
        <w:rPr>
          <w:i/>
          <w:iCs/>
          <w:lang w:val="pt-BR"/>
        </w:rPr>
        <w:t xml:space="preserve">dispositivo</w:t>
      </w:r>
      <w:r>
        <w:rPr>
          <w:lang w:val="pt-BR"/>
        </w:rPr>
        <w:t xml:space="preserve"> </w:t>
      </w:r>
      <w:r>
        <w:rPr>
          <w:lang w:val="pt-BR"/>
        </w:rPr>
        <w:t xml:space="preserve">(montagem), não os conceitos.</w:t>
      </w:r>
    </w:p>
    <w:bookmarkEnd w:id="123"/>
    <w:bookmarkEnd w:id="124"/>
    <w:bookmarkStart w:id="183" w:name="Xb0ab7fb51e79684b7519e4ee2a7b3c836c13ca8"/>
    <w:p>
      <w:pPr>
        <w:pStyle w:val="Heading1"/>
      </w:pPr>
      <w:r>
        <w:rPr>
          <w:rStyle w:val="SectionNumber"/>
          <w:lang w:val="pt-BR"/>
        </w:rPr>
        <w:t xml:space="preserve">10</w:t>
      </w:r>
      <w:r>
        <w:tab/>
      </w:r>
      <w:r>
        <w:rPr>
          <w:lang w:val="pt-BR"/>
        </w:rPr>
        <w:t xml:space="preserve">Capítulo 9 — Os 8 Painéis do Atlas Iconocrático</w:t>
      </w:r>
    </w:p>
    <w:p>
      <w:pPr>
        <w:pStyle w:val="BlockText"/>
      </w:pPr>
      <w:r>
        <w:rPr>
          <w:b/>
          <w:bCs/>
          <w:lang w:val="pt-BR"/>
        </w:rPr>
        <w:t xml:space="preserve">Estado:</w:t>
      </w:r>
      <w:r>
        <w:rPr>
          <w:lang w:val="pt-BR"/>
        </w:rPr>
        <w:t xml:space="preserve"> </w:t>
      </w:r>
      <w:r>
        <w:rPr>
          <w:lang w:val="pt-BR"/>
        </w:rPr>
        <w:t xml:space="preserve">oito painéis redigidos em formato Zwischenraum → polos → síntese → tabela de itens. Os scores marcados como</w:t>
      </w:r>
      <w:r>
        <w:rPr>
          <w:lang w:val="pt-BR"/>
        </w:rPr>
        <w:t xml:space="preserve"> </w:t>
      </w:r>
      <w:r>
        <w:rPr>
          <w:lang w:val="pt-BR"/>
        </w:rPr>
        <w:t xml:space="preserve">“estimado”</w:t>
      </w:r>
      <w:r>
        <w:rPr>
          <w:lang w:val="pt-BR"/>
        </w:rPr>
        <w:t xml:space="preserve"> </w:t>
      </w:r>
      <w:r>
        <w:rPr>
          <w:lang w:val="pt-BR"/>
        </w:rPr>
        <w:t xml:space="preserve">exigem codificação IconoCode completa antes da defesa. Próximo passe: coerência fina com os Capítulos 7 e 8, especialmente nos usos de</w:t>
      </w:r>
      <w:r>
        <w:rPr>
          <w:lang w:val="pt-BR"/>
        </w:rPr>
        <w:t xml:space="preserve"> </w:t>
      </w:r>
      <w:r>
        <w:rPr>
          <w:lang w:val="pt-BR"/>
        </w:rPr>
        <w:t xml:space="preserve">“endurecimento”</w:t>
      </w:r>
      <w:r>
        <w:rPr>
          <w:lang w:val="pt-BR"/>
        </w:rPr>
        <w:t xml:space="preserve">, suporte material e transição fundacional → normativo → militar.</w:t>
      </w:r>
    </w:p>
    <w:bookmarkStart w:id="131" w:name="X9494384e5f15ee6eb8f5047f3a743f609ad28ec"/>
    <w:p>
      <w:pPr>
        <w:pStyle w:val="Heading2"/>
      </w:pPr>
      <w:r>
        <w:rPr>
          <w:rStyle w:val="SectionNumber"/>
          <w:lang w:val="pt-BR"/>
        </w:rPr>
        <w:t xml:space="preserve">10.1</w:t>
      </w:r>
      <w:r>
        <w:tab/>
      </w:r>
      <w:r>
        <w:rPr>
          <w:lang w:val="pt-BR"/>
        </w:rPr>
        <w:t xml:space="preserve">9.1 — Painel I: GÊNESE — O Corpo que Ainda Respira</w:t>
      </w:r>
    </w:p>
    <w:p>
      <w:pPr>
        <w:pStyle w:val="BlockText"/>
      </w:pPr>
      <w:r>
        <w:rPr>
          <w:b/>
          <w:bCs/>
          <w:lang w:val="pt-BR"/>
        </w:rPr>
        <w:t xml:space="preserve">Zwischenraum temático:</w:t>
      </w:r>
      <w:r>
        <w:rPr>
          <w:lang w:val="pt-BR"/>
        </w:rPr>
        <w:t xml:space="preserve"> </w:t>
      </w:r>
      <w:r>
        <w:rPr>
          <w:lang w:val="pt-BR"/>
        </w:rPr>
        <w:t xml:space="preserve">Toda purificação supõe um corpo a purificar. Este primeiro painel</w:t>
      </w:r>
      <w:r>
        <w:rPr>
          <w:lang w:val="pt-BR"/>
        </w:rPr>
        <w:t xml:space="preserve"> </w:t>
      </w:r>
      <w:r>
        <w:rPr>
          <w:lang w:val="pt-BR"/>
        </w:rPr>
        <w:t xml:space="preserve">documenta o</w:t>
      </w:r>
      <w:r>
        <w:rPr>
          <w:lang w:val="pt-BR"/>
        </w:rPr>
        <w:t xml:space="preserve"> </w:t>
      </w:r>
      <w:r>
        <w:rPr>
          <w:i/>
          <w:iCs/>
          <w:lang w:val="pt-BR"/>
        </w:rPr>
        <w:t xml:space="preserve">nascimento</w:t>
      </w:r>
      <w:r>
        <w:rPr>
          <w:lang w:val="pt-BR"/>
        </w:rPr>
        <w:t xml:space="preserve"> </w:t>
      </w:r>
      <w:r>
        <w:rPr>
          <w:lang w:val="pt-BR"/>
        </w:rPr>
        <w:t xml:space="preserve">da alegoria jurídica no momento revolucionário — o instante em que o corpo</w:t>
      </w:r>
      <w:r>
        <w:rPr>
          <w:lang w:val="pt-BR"/>
        </w:rPr>
        <w:t xml:space="preserve"> </w:t>
      </w:r>
      <w:r>
        <w:rPr>
          <w:lang w:val="pt-BR"/>
        </w:rPr>
        <w:t xml:space="preserve">feminino ainda respira, ainda sangra, ainda partilha da carne mortal que convoca, antes de a</w:t>
      </w:r>
      <w:r>
        <w:rPr>
          <w:lang w:val="pt-BR"/>
        </w:rPr>
        <w:t xml:space="preserve"> </w:t>
      </w:r>
      <w:r>
        <w:rPr>
          <w:lang w:val="pt-BR"/>
        </w:rPr>
        <w:t xml:space="preserve">Purificação Clássica o converter em fórmula. O Zwischenraum que ele encena é o mais curto e o mais</w:t>
      </w:r>
      <w:r>
        <w:rPr>
          <w:lang w:val="pt-BR"/>
        </w:rPr>
        <w:t xml:space="preserve"> </w:t>
      </w:r>
      <w:r>
        <w:rPr>
          <w:lang w:val="pt-BR"/>
        </w:rPr>
        <w:t xml:space="preserve">decisivo de todo o Atlas: o intervalo entre o corpo insurgente (que</w:t>
      </w:r>
      <w:r>
        <w:rPr>
          <w:lang w:val="pt-BR"/>
        </w:rPr>
        <w:t xml:space="preserve"> </w:t>
      </w:r>
      <w:r>
        <w:rPr>
          <w:i/>
          <w:iCs/>
          <w:lang w:val="pt-BR"/>
        </w:rPr>
        <w:t xml:space="preserve">age</w:t>
      </w:r>
      <w:r>
        <w:rPr>
          <w:lang w:val="pt-BR"/>
        </w:rPr>
        <w:t xml:space="preserve"> </w:t>
      </w:r>
      <w:r>
        <w:rPr>
          <w:lang w:val="pt-BR"/>
        </w:rPr>
        <w:t xml:space="preserve">na barricada) e o corpo que</w:t>
      </w:r>
      <w:r>
        <w:rPr>
          <w:lang w:val="pt-BR"/>
        </w:rPr>
        <w:t xml:space="preserve"> </w:t>
      </w:r>
      <w:r>
        <w:rPr>
          <w:lang w:val="pt-BR"/>
        </w:rPr>
        <w:t xml:space="preserve">emoldura a lei fundadora (que</w:t>
      </w:r>
      <w:r>
        <w:rPr>
          <w:lang w:val="pt-BR"/>
        </w:rPr>
        <w:t xml:space="preserve"> </w:t>
      </w:r>
      <w:r>
        <w:rPr>
          <w:i/>
          <w:iCs/>
          <w:lang w:val="pt-BR"/>
        </w:rPr>
        <w:t xml:space="preserve">mostra</w:t>
      </w:r>
      <w:r>
        <w:rPr>
          <w:lang w:val="pt-BR"/>
        </w:rPr>
        <w:t xml:space="preserve"> </w:t>
      </w:r>
      <w:r>
        <w:rPr>
          <w:lang w:val="pt-BR"/>
        </w:rPr>
        <w:t xml:space="preserve">o texto). É nesse intervalo que a alegoria nasce — e nascer, aqui,</w:t>
      </w:r>
      <w:r>
        <w:rPr>
          <w:lang w:val="pt-BR"/>
        </w:rPr>
        <w:t xml:space="preserve"> </w:t>
      </w:r>
      <w:r>
        <w:rPr>
          <w:lang w:val="pt-BR"/>
        </w:rPr>
        <w:t xml:space="preserve">já é começar a morrer como corpo.</w:t>
      </w:r>
    </w:p>
    <w:bookmarkStart w:id="128" w:name="layout-do-painel-3-imagens-2-textos"/>
    <w:p>
      <w:pPr>
        <w:pStyle w:val="Heading3"/>
      </w:pPr>
      <w:r>
        <w:rPr>
          <w:rStyle w:val="SectionNumber"/>
          <w:lang w:val="pt-BR"/>
        </w:rPr>
        <w:t xml:space="preserve">10.1.1</w:t>
      </w:r>
      <w:r>
        <w:tab/>
      </w:r>
      <w:r>
        <w:rPr>
          <w:lang w:val="pt-BR"/>
        </w:rPr>
        <w:t xml:space="preserve">9.1.1 — Layout do painel (3 imagens + 2 textos)</w:t>
      </w:r>
    </w:p>
    <w:bookmarkStart w:id="125" w:name="a-polo-esquerdo-o-corpo-insurgente"/>
    <w:p>
      <w:pPr>
        <w:pStyle w:val="Heading4"/>
      </w:pPr>
      <w:r>
        <w:rPr>
          <w:rStyle w:val="SectionNumber"/>
          <w:lang w:val="pt-BR"/>
        </w:rPr>
        <w:t xml:space="preserve">10.1.1.1</w:t>
      </w:r>
      <w:r>
        <w:tab/>
      </w:r>
      <w:r>
        <w:rPr>
          <w:lang w:val="pt-BR"/>
        </w:rPr>
        <w:t xml:space="preserve">[A] Polo esquerdo — O corpo insurgente</w:t>
      </w:r>
    </w:p>
    <w:p>
      <w:pPr>
        <w:pStyle w:val="FirstParagraph"/>
      </w:pPr>
      <w:r>
        <w:rPr>
          <w:b/>
          <w:bCs/>
          <w:lang w:val="pt-BR"/>
        </w:rPr>
        <w:t xml:space="preserve">Imagem:</w:t>
      </w:r>
      <w:r>
        <w:rPr>
          <w:lang w:val="pt-BR"/>
        </w:rPr>
        <w:t xml:space="preserve"> </w:t>
      </w:r>
      <w:r>
        <w:rPr>
          <w:lang w:val="pt-BR"/>
        </w:rPr>
        <w:t xml:space="preserve">Eugène Delacroix,</w:t>
      </w:r>
      <w:r>
        <w:rPr>
          <w:lang w:val="pt-BR"/>
        </w:rPr>
        <w:t xml:space="preserve"> </w:t>
      </w:r>
      <w:r>
        <w:rPr>
          <w:i/>
          <w:iCs/>
          <w:lang w:val="pt-BR"/>
        </w:rPr>
        <w:t xml:space="preserve">La Liberté guidant le peuple</w:t>
      </w:r>
      <w:r>
        <w:rPr>
          <w:lang w:val="pt-BR"/>
        </w:rPr>
        <w:t xml:space="preserve">, 1830 (</w:t>
      </w:r>
      <w:r>
        <w:rPr>
          <w:rStyle w:val="VerbatimChar"/>
          <w:lang w:val="pt-BR"/>
        </w:rPr>
        <w:t xml:space="preserve">ee616189</w:t>
      </w:r>
      <w:r>
        <w:rPr>
          <w:lang w:val="pt-BR"/>
        </w:rPr>
        <w:t xml:space="preserve">).</w:t>
      </w:r>
    </w:p>
    <w:p>
      <w:pPr>
        <w:pStyle w:val="BodyText"/>
      </w:pPr>
      <w:r>
        <w:rPr>
          <w:b/>
          <w:bCs/>
          <w:lang w:val="pt-BR"/>
        </w:rPr>
        <w:t xml:space="preserve">Texto de painel (300 palavras):</w:t>
      </w:r>
    </w:p>
    <w:p>
      <w:pPr>
        <w:pStyle w:val="BlockText"/>
      </w:pPr>
      <w:r>
        <w:rPr>
          <w:lang w:val="pt-BR"/>
        </w:rPr>
        <w:t xml:space="preserve">No princípio, o corpo age. A</w:t>
      </w:r>
      <w:r>
        <w:rPr>
          <w:lang w:val="pt-BR"/>
        </w:rPr>
        <w:t xml:space="preserve"> </w:t>
      </w:r>
      <w:r>
        <w:rPr>
          <w:i/>
          <w:iCs/>
          <w:lang w:val="pt-BR"/>
        </w:rPr>
        <w:t xml:space="preserve">Liberté</w:t>
      </w:r>
      <w:r>
        <w:rPr>
          <w:lang w:val="pt-BR"/>
        </w:rPr>
        <w:t xml:space="preserve"> </w:t>
      </w:r>
      <w:r>
        <w:rPr>
          <w:lang w:val="pt-BR"/>
        </w:rPr>
        <w:t xml:space="preserve">de Delacroix (composto 0,1 — o mais baixo de todo o corpus)</w:t>
      </w:r>
      <w:r>
        <w:rPr>
          <w:lang w:val="pt-BR"/>
        </w:rPr>
        <w:t xml:space="preserve"> </w:t>
      </w:r>
      <w:r>
        <w:rPr>
          <w:lang w:val="pt-BR"/>
        </w:rPr>
        <w:t xml:space="preserve">avança em diagonal ascendente, seio desnudo, braço erguido, pé sobre a barricada e sobre os mortos. É</w:t>
      </w:r>
      <w:r>
        <w:rPr>
          <w:lang w:val="pt-BR"/>
        </w:rPr>
        <w:t xml:space="preserve"> </w:t>
      </w:r>
      <w:r>
        <w:rPr>
          <w:lang w:val="pt-BR"/>
        </w:rPr>
        <w:t xml:space="preserve">um corpo com peso, sombra, torção, sujeira de pólvora — um corpo</w:t>
      </w:r>
      <w:r>
        <w:rPr>
          <w:lang w:val="pt-BR"/>
        </w:rPr>
        <w:t xml:space="preserve"> </w:t>
      </w:r>
      <w:r>
        <w:rPr>
          <w:i/>
          <w:iCs/>
          <w:lang w:val="pt-BR"/>
        </w:rPr>
        <w:t xml:space="preserve">vivo</w:t>
      </w:r>
      <w:r>
        <w:rPr>
          <w:lang w:val="pt-BR"/>
        </w:rPr>
        <w:t xml:space="preserve">. Todos os indicadores de</w:t>
      </w:r>
      <w:r>
        <w:rPr>
          <w:lang w:val="pt-BR"/>
        </w:rPr>
        <w:t xml:space="preserve"> </w:t>
      </w:r>
      <w:r>
        <w:rPr>
          <w:lang w:val="pt-BR"/>
        </w:rPr>
        <w:t xml:space="preserve">endurecimento tendem a zero: desincorporação 0, dessexualização 0, rigidez postural 0, apagamento</w:t>
      </w:r>
      <w:r>
        <w:rPr>
          <w:lang w:val="pt-BR"/>
        </w:rPr>
        <w:t xml:space="preserve"> </w:t>
      </w:r>
      <w:r>
        <w:rPr>
          <w:lang w:val="pt-BR"/>
        </w:rPr>
        <w:t xml:space="preserve">narrativo 0. A figura não personifica um conceito abstrato à distância; ela</w:t>
      </w:r>
      <w:r>
        <w:rPr>
          <w:lang w:val="pt-BR"/>
        </w:rPr>
        <w:t xml:space="preserve"> </w:t>
      </w:r>
      <w:r>
        <w:rPr>
          <w:i/>
          <w:iCs/>
          <w:lang w:val="pt-BR"/>
        </w:rPr>
        <w:t xml:space="preserve">conduz o povo</w:t>
      </w:r>
      <w:r>
        <w:rPr>
          <w:lang w:val="pt-BR"/>
        </w:rPr>
        <w:t xml:space="preserve">, partilha</w:t>
      </w:r>
      <w:r>
        <w:rPr>
          <w:lang w:val="pt-BR"/>
        </w:rPr>
        <w:t xml:space="preserve"> </w:t>
      </w:r>
      <w:r>
        <w:rPr>
          <w:lang w:val="pt-BR"/>
        </w:rPr>
        <w:t xml:space="preserve">da carne daqueles que convoca. É a Pathosformel</w:t>
      </w:r>
      <w:r>
        <w:rPr>
          <w:lang w:val="pt-BR"/>
        </w:rPr>
        <w:t xml:space="preserve"> </w:t>
      </w:r>
      <w:r>
        <w:rPr>
          <w:lang w:val="pt-BR"/>
        </w:rPr>
        <w:t xml:space="preserve">(Warburg, 2000)</w:t>
      </w:r>
      <w:r>
        <w:rPr>
          <w:lang w:val="pt-BR"/>
        </w:rPr>
        <w:t xml:space="preserve"> </w:t>
      </w:r>
      <w:r>
        <w:rPr>
          <w:lang w:val="pt-BR"/>
        </w:rPr>
        <w:t xml:space="preserve">da insurreição em estado bruto —</w:t>
      </w:r>
      <w:r>
        <w:rPr>
          <w:lang w:val="pt-BR"/>
        </w:rPr>
        <w:t xml:space="preserve"> </w:t>
      </w:r>
      <w:r>
        <w:rPr>
          <w:lang w:val="pt-BR"/>
        </w:rPr>
        <w:t xml:space="preserve">energia afetiva anterior a qualquer domesticação burocrática. Este é o grau zero da tese: o momento em</w:t>
      </w:r>
      <w:r>
        <w:rPr>
          <w:lang w:val="pt-BR"/>
        </w:rPr>
        <w:t xml:space="preserve"> </w:t>
      </w:r>
      <w:r>
        <w:rPr>
          <w:lang w:val="pt-BR"/>
        </w:rPr>
        <w:t xml:space="preserve">que a alegoria feminina ainda é indistinguível de uma mulher que age. Tudo o que os painéis seguintes</w:t>
      </w:r>
      <w:r>
        <w:rPr>
          <w:lang w:val="pt-BR"/>
        </w:rPr>
        <w:t xml:space="preserve"> </w:t>
      </w:r>
      <w:r>
        <w:rPr>
          <w:lang w:val="pt-BR"/>
        </w:rPr>
        <w:t xml:space="preserve">documentam — a serialidade da moeda, a pedra do monumento, a venda da Justiça — é a lenta subtração</w:t>
      </w:r>
      <w:r>
        <w:rPr>
          <w:lang w:val="pt-BR"/>
        </w:rPr>
        <w:t xml:space="preserve"> </w:t>
      </w:r>
      <w:r>
        <w:rPr>
          <w:lang w:val="pt-BR"/>
        </w:rPr>
        <w:t xml:space="preserve">desse corpo. O painel abre por ele porque só se pode medir uma purificação a partir daquilo que ela</w:t>
      </w:r>
      <w:r>
        <w:rPr>
          <w:lang w:val="pt-BR"/>
        </w:rPr>
        <w:t xml:space="preserve"> </w:t>
      </w:r>
      <w:r>
        <w:rPr>
          <w:lang w:val="pt-BR"/>
        </w:rPr>
        <w:t xml:space="preserve">purifica.</w:t>
      </w:r>
    </w:p>
    <w:bookmarkEnd w:id="125"/>
    <w:bookmarkStart w:id="126" w:name="b-centro-o-nascimento-da-fórmula"/>
    <w:p>
      <w:pPr>
        <w:pStyle w:val="Heading4"/>
      </w:pPr>
      <w:r>
        <w:rPr>
          <w:rStyle w:val="SectionNumber"/>
          <w:lang w:val="pt-BR"/>
        </w:rPr>
        <w:t xml:space="preserve">10.1.1.2</w:t>
      </w:r>
      <w:r>
        <w:tab/>
      </w:r>
      <w:r>
        <w:rPr>
          <w:lang w:val="pt-BR"/>
        </w:rPr>
        <w:t xml:space="preserve">[B] Centro — O nascimento da fórmula</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(250 palavras):</w:t>
      </w:r>
    </w:p>
    <w:p>
      <w:pPr>
        <w:pStyle w:val="BlockText"/>
      </w:pPr>
      <w:r>
        <w:rPr>
          <w:lang w:val="pt-BR"/>
        </w:rPr>
        <w:t xml:space="preserve">Entre o corpo que age e o corpo que emoldura a lei, a alegoria nasce. O painel não propõe uma sequência</w:t>
      </w:r>
      <w:r>
        <w:rPr>
          <w:lang w:val="pt-BR"/>
        </w:rPr>
        <w:t xml:space="preserve"> </w:t>
      </w:r>
      <w:r>
        <w:rPr>
          <w:lang w:val="pt-BR"/>
        </w:rPr>
        <w:t xml:space="preserve">cronológica linear — 1789 precede 1830 —, mas um intervalo morfológico da gramática revolucionária: a</w:t>
      </w:r>
      <w:r>
        <w:rPr>
          <w:lang w:val="pt-BR"/>
        </w:rPr>
        <w:t xml:space="preserve"> </w:t>
      </w:r>
      <w:r>
        <w:rPr>
          <w:lang w:val="pt-BR"/>
        </w:rPr>
        <w:t xml:space="preserve">energia insurgente que Delacroix torna visível como corpo é capturada, no frontispício jurídico, por uma</w:t>
      </w:r>
      <w:r>
        <w:rPr>
          <w:lang w:val="pt-BR"/>
        </w:rPr>
        <w:t xml:space="preserve"> </w:t>
      </w:r>
      <w:r>
        <w:rPr>
          <w:lang w:val="pt-BR"/>
        </w:rPr>
        <w:t xml:space="preserve">forma que apresenta o texto. A captura não é ainda purificação plena — há, na moldura revolucionária, um</w:t>
      </w:r>
      <w:r>
        <w:rPr>
          <w:lang w:val="pt-BR"/>
        </w:rPr>
        <w:t xml:space="preserve"> </w:t>
      </w:r>
      <w:r>
        <w:rPr>
          <w:lang w:val="pt-BR"/>
        </w:rPr>
        <w:t xml:space="preserve">excesso de corpo, de cor, de narrativa que a moeda posterior eliminará —, mas é o primeiro gesto da</w:t>
      </w:r>
      <w:r>
        <w:rPr>
          <w:lang w:val="pt-BR"/>
        </w:rPr>
        <w:t xml:space="preserve"> </w:t>
      </w:r>
      <w:r>
        <w:rPr>
          <w:lang w:val="pt-BR"/>
        </w:rPr>
        <w:t xml:space="preserve">operação. Nascer como alegoria é começar a ceder agência: o corpo capaz de romper correntes passa a</w:t>
      </w:r>
      <w:r>
        <w:rPr>
          <w:lang w:val="pt-BR"/>
        </w:rPr>
        <w:t xml:space="preserve"> </w:t>
      </w:r>
      <w:r>
        <w:rPr>
          <w:i/>
          <w:iCs/>
          <w:lang w:val="pt-BR"/>
        </w:rPr>
        <w:t xml:space="preserve">segurar</w:t>
      </w:r>
      <w:r>
        <w:rPr>
          <w:lang w:val="pt-BR"/>
        </w:rPr>
        <w:t xml:space="preserve"> </w:t>
      </w:r>
      <w:r>
        <w:rPr>
          <w:lang w:val="pt-BR"/>
        </w:rPr>
        <w:t xml:space="preserve">o texto que outros redigiram. O Contrato Sexual Visual instala-se aqui, no ponto em que a</w:t>
      </w:r>
      <w:r>
        <w:rPr>
          <w:lang w:val="pt-BR"/>
        </w:rPr>
        <w:t xml:space="preserve"> </w:t>
      </w:r>
      <w:r>
        <w:rPr>
          <w:lang w:val="pt-BR"/>
        </w:rPr>
        <w:t xml:space="preserve">Revolução, ao dar rosto de mulher à lei, começa a dispensar as mulheres reais da sua feitura. A gênese</w:t>
      </w:r>
      <w:r>
        <w:rPr>
          <w:lang w:val="pt-BR"/>
        </w:rPr>
        <w:t xml:space="preserve"> </w:t>
      </w:r>
      <w:r>
        <w:rPr>
          <w:lang w:val="pt-BR"/>
        </w:rPr>
        <w:t xml:space="preserve">da alegoria é, simultaneamente, a gênese da substituição.</w:t>
      </w:r>
    </w:p>
    <w:bookmarkEnd w:id="126"/>
    <w:bookmarkStart w:id="127" w:name="c-polo-direito-a-moldura-da-lei"/>
    <w:p>
      <w:pPr>
        <w:pStyle w:val="Heading4"/>
      </w:pPr>
      <w:r>
        <w:rPr>
          <w:rStyle w:val="SectionNumber"/>
          <w:lang w:val="pt-BR"/>
        </w:rPr>
        <w:t xml:space="preserve">10.1.1.3</w:t>
      </w:r>
      <w:r>
        <w:tab/>
      </w:r>
      <w:r>
        <w:rPr>
          <w:lang w:val="pt-BR"/>
        </w:rPr>
        <w:t xml:space="preserve">[C] Polo direito — A moldura da lei</w:t>
      </w:r>
    </w:p>
    <w:p>
      <w:pPr>
        <w:pStyle w:val="FirstParagraph"/>
      </w:pPr>
      <w:r>
        <w:rPr>
          <w:b/>
          <w:bCs/>
          <w:lang w:val="pt-BR"/>
        </w:rPr>
        <w:t xml:space="preserve">Imagem:</w:t>
      </w:r>
      <w:r>
        <w:rPr>
          <w:lang w:val="pt-BR"/>
        </w:rPr>
        <w:t xml:space="preserve"> </w:t>
      </w:r>
      <w:r>
        <w:rPr>
          <w:i/>
          <w:iCs/>
          <w:lang w:val="pt-BR"/>
        </w:rPr>
        <w:t xml:space="preserve">Déclaration des droits de l’homme et du citoyen</w:t>
      </w:r>
      <w:r>
        <w:rPr>
          <w:lang w:val="pt-BR"/>
        </w:rPr>
        <w:t xml:space="preserve">, frontispício alegórico, 1789 (</w:t>
      </w:r>
      <w:r>
        <w:rPr>
          <w:rStyle w:val="VerbatimChar"/>
          <w:lang w:val="pt-BR"/>
        </w:rPr>
        <w:t xml:space="preserve">29894605</w:t>
      </w:r>
      <w:r>
        <w:rPr>
          <w:lang w:val="pt-BR"/>
        </w:rPr>
        <w:t xml:space="preserve">;</w:t>
      </w:r>
      <w:r>
        <w:rPr>
          <w:lang w:val="pt-BR"/>
        </w:rPr>
        <w:t xml:space="preserve"> </w:t>
      </w:r>
      <w:r>
        <w:rPr>
          <w:lang w:val="pt-BR"/>
        </w:rPr>
        <w:t xml:space="preserve">variante</w:t>
      </w:r>
      <w:r>
        <w:rPr>
          <w:lang w:val="pt-BR"/>
        </w:rPr>
        <w:t xml:space="preserve"> </w:t>
      </w:r>
      <w:r>
        <w:rPr>
          <w:rStyle w:val="VerbatimChar"/>
          <w:lang w:val="pt-BR"/>
        </w:rPr>
        <w:t xml:space="preserve">cbb9963f</w:t>
      </w:r>
      <w:r>
        <w:rPr>
          <w:lang w:val="pt-BR"/>
        </w:rPr>
        <w:t xml:space="preserve">).</w:t>
      </w:r>
    </w:p>
    <w:p>
      <w:pPr>
        <w:pStyle w:val="BodyText"/>
      </w:pPr>
      <w:r>
        <w:rPr>
          <w:b/>
          <w:bCs/>
          <w:lang w:val="pt-BR"/>
        </w:rPr>
        <w:t xml:space="preserve">Texto de painel (250 palavras):</w:t>
      </w:r>
    </w:p>
    <w:p>
      <w:pPr>
        <w:pStyle w:val="BlockText"/>
      </w:pPr>
      <w:r>
        <w:rPr>
          <w:lang w:val="pt-BR"/>
        </w:rPr>
        <w:t xml:space="preserve">No polo direito, a alegoria já emoldura a lei fundadora. O frontispício da</w:t>
      </w:r>
      <w:r>
        <w:rPr>
          <w:lang w:val="pt-BR"/>
        </w:rPr>
        <w:t xml:space="preserve"> </w:t>
      </w:r>
      <w:r>
        <w:rPr>
          <w:i/>
          <w:iCs/>
          <w:lang w:val="pt-BR"/>
        </w:rPr>
        <w:t xml:space="preserve">Déclaration des droits de</w:t>
      </w:r>
      <w:r>
        <w:rPr>
          <w:i/>
          <w:iCs/>
          <w:lang w:val="pt-BR"/>
        </w:rPr>
        <w:t xml:space="preserve"> </w:t>
      </w:r>
      <w:r>
        <w:rPr>
          <w:i/>
          <w:iCs/>
          <w:lang w:val="pt-BR"/>
        </w:rPr>
        <w:t xml:space="preserve">l’homme et du citoyen</w:t>
      </w:r>
      <w:r>
        <w:rPr>
          <w:lang w:val="pt-BR"/>
        </w:rPr>
        <w:t xml:space="preserve"> </w:t>
      </w:r>
      <w:r>
        <w:rPr>
          <w:lang w:val="pt-BR"/>
        </w:rPr>
        <w:t xml:space="preserve">(composto 1,8) dispõe figuras femininas — a Liberdade, a França, a Razão — em</w:t>
      </w:r>
      <w:r>
        <w:rPr>
          <w:lang w:val="pt-BR"/>
        </w:rPr>
        <w:t xml:space="preserve"> </w:t>
      </w:r>
      <w:r>
        <w:rPr>
          <w:lang w:val="pt-BR"/>
        </w:rPr>
        <w:t xml:space="preserve">torno das tábuas dos direitos, apontando para o texto como quem o</w:t>
      </w:r>
      <w:r>
        <w:rPr>
          <w:lang w:val="pt-BR"/>
        </w:rPr>
        <w:t xml:space="preserve"> </w:t>
      </w:r>
      <w:r>
        <w:rPr>
          <w:i/>
          <w:iCs/>
          <w:lang w:val="pt-BR"/>
        </w:rPr>
        <w:t xml:space="preserve">garante</w:t>
      </w:r>
      <w:r>
        <w:rPr>
          <w:lang w:val="pt-BR"/>
        </w:rPr>
        <w:t xml:space="preserve">. O endurecimento subiu: a</w:t>
      </w:r>
      <w:r>
        <w:rPr>
          <w:lang w:val="pt-BR"/>
        </w:rPr>
        <w:t xml:space="preserve"> </w:t>
      </w:r>
      <w:r>
        <w:rPr>
          <w:lang w:val="pt-BR"/>
        </w:rPr>
        <w:t xml:space="preserve">narratividade da barricada cedeu lugar à composição hierática, o gesto de ação ao gesto de</w:t>
      </w:r>
      <w:r>
        <w:rPr>
          <w:lang w:val="pt-BR"/>
        </w:rPr>
        <w:t xml:space="preserve"> </w:t>
      </w:r>
      <w:r>
        <w:rPr>
          <w:lang w:val="pt-BR"/>
        </w:rPr>
        <w:t xml:space="preserve">apresentação. E a ironia fundadora é estrutural: a Declaração cujos</w:t>
      </w:r>
      <w:r>
        <w:rPr>
          <w:lang w:val="pt-BR"/>
        </w:rPr>
        <w:t xml:space="preserve"> </w:t>
      </w:r>
      <w:r>
        <w:rPr>
          <w:lang w:val="pt-BR"/>
        </w:rPr>
        <w:t xml:space="preserve">“direitos do homem”</w:t>
      </w:r>
      <w:r>
        <w:rPr>
          <w:lang w:val="pt-BR"/>
        </w:rPr>
        <w:t xml:space="preserve"> </w:t>
      </w:r>
      <w:r>
        <w:rPr>
          <w:lang w:val="pt-BR"/>
        </w:rPr>
        <w:t xml:space="preserve">excluíam</w:t>
      </w:r>
      <w:r>
        <w:rPr>
          <w:lang w:val="pt-BR"/>
        </w:rPr>
        <w:t xml:space="preserve"> </w:t>
      </w:r>
      <w:r>
        <w:rPr>
          <w:lang w:val="pt-BR"/>
        </w:rPr>
        <w:t xml:space="preserve">juridicamente as mulheres é</w:t>
      </w:r>
      <w:r>
        <w:rPr>
          <w:lang w:val="pt-BR"/>
        </w:rPr>
        <w:t xml:space="preserve"> </w:t>
      </w:r>
      <w:r>
        <w:rPr>
          <w:i/>
          <w:iCs/>
          <w:lang w:val="pt-BR"/>
        </w:rPr>
        <w:t xml:space="preserve">emoldurada</w:t>
      </w:r>
      <w:r>
        <w:rPr>
          <w:lang w:val="pt-BR"/>
        </w:rPr>
        <w:t xml:space="preserve"> </w:t>
      </w:r>
      <w:r>
        <w:rPr>
          <w:lang w:val="pt-BR"/>
        </w:rPr>
        <w:t xml:space="preserve">por corpos femininos. A alegoria feminina inaugura o direito</w:t>
      </w:r>
      <w:r>
        <w:rPr>
          <w:lang w:val="pt-BR"/>
        </w:rPr>
        <w:t xml:space="preserve"> </w:t>
      </w:r>
      <w:r>
        <w:rPr>
          <w:lang w:val="pt-BR"/>
        </w:rPr>
        <w:t xml:space="preserve">moderno no exato documento que institui a cidadania masculina — o rosto de mulher preside a lei que a</w:t>
      </w:r>
      <w:r>
        <w:rPr>
          <w:lang w:val="pt-BR"/>
        </w:rPr>
        <w:t xml:space="preserve"> </w:t>
      </w:r>
      <w:r>
        <w:rPr>
          <w:lang w:val="pt-BR"/>
        </w:rPr>
        <w:t xml:space="preserve">mulher real não ajudou a escrever e à qual não terá acesso pleno. É a certidão de nascimento visual do</w:t>
      </w:r>
      <w:r>
        <w:rPr>
          <w:lang w:val="pt-BR"/>
        </w:rPr>
        <w:t xml:space="preserve"> </w:t>
      </w:r>
      <w:r>
        <w:rPr>
          <w:lang w:val="pt-BR"/>
        </w:rPr>
        <w:t xml:space="preserve">Contrato Sexual Visual: a presença simbólica das mulheres como condição estética da sua ausência cívica.</w:t>
      </w:r>
    </w:p>
    <w:bookmarkEnd w:id="127"/>
    <w:bookmarkEnd w:id="128"/>
    <w:bookmarkStart w:id="129" w:name="síntese-do-painel"/>
    <w:p>
      <w:pPr>
        <w:pStyle w:val="Heading3"/>
      </w:pPr>
      <w:r>
        <w:rPr>
          <w:rStyle w:val="SectionNumber"/>
          <w:lang w:val="pt-BR"/>
        </w:rPr>
        <w:t xml:space="preserve">10.1.2</w:t>
      </w:r>
      <w:r>
        <w:tab/>
      </w:r>
      <w:r>
        <w:rPr>
          <w:lang w:val="pt-BR"/>
        </w:rPr>
        <w:t xml:space="preserve">9.1.2 — Síntese do painel</w:t>
      </w:r>
    </w:p>
    <w:p>
      <w:pPr>
        <w:pStyle w:val="BlockText"/>
      </w:pPr>
      <w:r>
        <w:rPr>
          <w:lang w:val="pt-BR"/>
        </w:rPr>
        <w:t xml:space="preserve">Este painel propõe que a alegoria jurídica nasce de uma captura: a energia do corpo insurgente</w:t>
      </w:r>
      <w:r>
        <w:rPr>
          <w:lang w:val="pt-BR"/>
        </w:rPr>
        <w:t xml:space="preserve"> </w:t>
      </w:r>
      <w:r>
        <w:rPr>
          <w:lang w:val="pt-BR"/>
        </w:rPr>
        <w:t xml:space="preserve">(Delacroix, 0,1, tomado como grau zero morfológico) é convertida na moldura hierática da lei fundadora</w:t>
      </w:r>
      <w:r>
        <w:rPr>
          <w:lang w:val="pt-BR"/>
        </w:rPr>
        <w:t xml:space="preserve"> </w:t>
      </w:r>
      <w:r>
        <w:rPr>
          <w:lang w:val="pt-BR"/>
        </w:rPr>
        <w:t xml:space="preserve">(</w:t>
      </w:r>
      <w:r>
        <w:rPr>
          <w:i/>
          <w:iCs/>
          <w:lang w:val="pt-BR"/>
        </w:rPr>
        <w:t xml:space="preserve">Déclaration</w:t>
      </w:r>
      <w:r>
        <w:rPr>
          <w:lang w:val="pt-BR"/>
        </w:rPr>
        <w:t xml:space="preserve">, 1,8). A gênese é já o primeiro passo da Purificação Clássica: o corpo que age começa a</w:t>
      </w:r>
      <w:r>
        <w:rPr>
          <w:lang w:val="pt-BR"/>
        </w:rPr>
        <w:t xml:space="preserve"> </w:t>
      </w:r>
      <w:r>
        <w:rPr>
          <w:lang w:val="pt-BR"/>
        </w:rPr>
        <w:t xml:space="preserve">apenas mostrar. Todos os painéis seguintes desenvolvem essa subtração até os seus extremos (a pedra, a</w:t>
      </w:r>
      <w:r>
        <w:rPr>
          <w:lang w:val="pt-BR"/>
        </w:rPr>
        <w:t xml:space="preserve"> </w:t>
      </w:r>
      <w:r>
        <w:rPr>
          <w:lang w:val="pt-BR"/>
        </w:rPr>
        <w:t xml:space="preserve">moeda imperial, a venda). Mas é aqui, no nascimento, que a operação se torna mais legível — porque o</w:t>
      </w:r>
      <w:r>
        <w:rPr>
          <w:lang w:val="pt-BR"/>
        </w:rPr>
        <w:t xml:space="preserve"> </w:t>
      </w:r>
      <w:r>
        <w:rPr>
          <w:lang w:val="pt-BR"/>
        </w:rPr>
        <w:t xml:space="preserve">corpo ainda está suficientemente vivo para que a sua captura se veja como perda.</w:t>
      </w:r>
    </w:p>
    <w:bookmarkEnd w:id="129"/>
    <w:bookmarkStart w:id="130" w:name="itens-corpus-identificados"/>
    <w:p>
      <w:pPr>
        <w:pStyle w:val="Heading3"/>
      </w:pPr>
      <w:r>
        <w:rPr>
          <w:rStyle w:val="SectionNumber"/>
          <w:lang w:val="pt-BR"/>
        </w:rPr>
        <w:t xml:space="preserve">10.1.3</w:t>
      </w:r>
      <w:r>
        <w:tab/>
      </w:r>
      <w:r>
        <w:rPr>
          <w:lang w:val="pt-BR"/>
        </w:rPr>
        <w:t xml:space="preserve">9.1.3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lang w:val="pt-BR"/>
              </w:rPr>
              <w:t xml:space="preserve">Delacroix,</w:t>
            </w:r>
            <w:r>
              <w:rPr>
                <w:lang w:val="pt-BR"/>
              </w:rPr>
              <w:t xml:space="preserve"> </w:t>
            </w:r>
            <w:r>
              <w:rPr>
                <w:i/>
                <w:iCs/>
                <w:lang w:val="pt-BR"/>
              </w:rPr>
              <w:t xml:space="preserve">La Liberté guidant le peuple</w:t>
            </w:r>
          </w:p>
        </w:tc>
        <w:tc>
          <w:tcPr/>
          <w:p>
            <w:pPr>
              <w:pStyle w:val="Compact"/>
            </w:pPr>
            <w:r>
              <w:rPr>
                <w:rStyle w:val="VerbatimChar"/>
                <w:lang w:val="pt-BR"/>
              </w:rPr>
              <w:t xml:space="preserve">ee616189</w:t>
            </w:r>
          </w:p>
        </w:tc>
        <w:tc>
          <w:tcPr/>
          <w:p>
            <w:pPr>
              <w:pStyle w:val="Compact"/>
            </w:pPr>
            <w:r>
              <w:rPr>
                <w:lang w:val="pt-BR"/>
              </w:rPr>
              <w:t xml:space="preserve">fundacional</w:t>
            </w:r>
          </w:p>
        </w:tc>
        <w:tc>
          <w:tcPr/>
          <w:p>
            <w:pPr>
              <w:pStyle w:val="Compact"/>
            </w:pPr>
            <w:r>
              <w:rPr>
                <w:lang w:val="pt-BR"/>
              </w:rPr>
              <w:t xml:space="preserve">0,1</w:t>
            </w:r>
          </w:p>
        </w:tc>
        <w:tc>
          <w:tcPr/>
          <w:p>
            <w:pPr>
              <w:pStyle w:val="Compact"/>
            </w:pPr>
            <w:r>
              <w:rPr>
                <w:lang w:val="pt-BR"/>
              </w:rPr>
              <w:t xml:space="preserve">Polo esquerdo: corpo insurgente, grau zero</w:t>
            </w:r>
          </w:p>
        </w:tc>
      </w:tr>
      <w:tr>
        <w:tc>
          <w:tcPr/>
          <w:p>
            <w:pPr>
              <w:pStyle w:val="Compact"/>
            </w:pPr>
            <w:r>
              <w:rPr>
                <w:i/>
                <w:iCs/>
                <w:lang w:val="pt-BR"/>
              </w:rPr>
              <w:t xml:space="preserve">Déclaration des droits de l’homme et du citoyen</w:t>
            </w:r>
          </w:p>
        </w:tc>
        <w:tc>
          <w:tcPr/>
          <w:p>
            <w:pPr>
              <w:pStyle w:val="Compact"/>
            </w:pPr>
            <w:r>
              <w:rPr>
                <w:rStyle w:val="VerbatimChar"/>
                <w:lang w:val="pt-BR"/>
              </w:rPr>
              <w:t xml:space="preserve">29894605</w:t>
            </w:r>
          </w:p>
        </w:tc>
        <w:tc>
          <w:tcPr/>
          <w:p>
            <w:pPr>
              <w:pStyle w:val="Compact"/>
            </w:pPr>
            <w:r>
              <w:rPr>
                <w:lang w:val="pt-BR"/>
              </w:rPr>
              <w:t xml:space="preserve">fundacional</w:t>
            </w:r>
          </w:p>
        </w:tc>
        <w:tc>
          <w:tcPr/>
          <w:p>
            <w:pPr>
              <w:pStyle w:val="Compact"/>
            </w:pPr>
            <w:r>
              <w:rPr>
                <w:lang w:val="pt-BR"/>
              </w:rPr>
              <w:t xml:space="preserve">1,8</w:t>
            </w:r>
          </w:p>
        </w:tc>
        <w:tc>
          <w:tcPr/>
          <w:p>
            <w:pPr>
              <w:pStyle w:val="Compact"/>
            </w:pPr>
            <w:r>
              <w:rPr>
                <w:lang w:val="pt-BR"/>
              </w:rPr>
              <w:t xml:space="preserve">Polo direito: alegoria como moldura da lei</w:t>
            </w:r>
          </w:p>
        </w:tc>
      </w:tr>
      <w:tr>
        <w:tc>
          <w:tcPr/>
          <w:p>
            <w:pPr>
              <w:pStyle w:val="Compact"/>
            </w:pPr>
            <w:r>
              <w:rPr>
                <w:i/>
                <w:iCs/>
                <w:lang w:val="pt-BR"/>
              </w:rPr>
              <w:t xml:space="preserve">Déclaration des droits…</w:t>
            </w:r>
            <w:r>
              <w:rPr>
                <w:lang w:val="pt-BR"/>
              </w:rPr>
              <w:t xml:space="preserve"> </w:t>
            </w:r>
            <w:r>
              <w:rPr>
                <w:lang w:val="pt-BR"/>
              </w:rPr>
              <w:t xml:space="preserve">(variante)</w:t>
            </w:r>
          </w:p>
        </w:tc>
        <w:tc>
          <w:tcPr/>
          <w:p>
            <w:pPr>
              <w:pStyle w:val="Compact"/>
            </w:pPr>
            <w:r>
              <w:rPr>
                <w:rStyle w:val="VerbatimChar"/>
                <w:lang w:val="pt-BR"/>
              </w:rPr>
              <w:t xml:space="preserve">cbb9963f</w:t>
            </w:r>
          </w:p>
        </w:tc>
        <w:tc>
          <w:tcPr/>
          <w:p>
            <w:pPr>
              <w:pStyle w:val="Compact"/>
            </w:pPr>
            <w:r>
              <w:rPr>
                <w:lang w:val="pt-BR"/>
              </w:rPr>
              <w:t xml:space="preserve">fundacional</w:t>
            </w:r>
          </w:p>
        </w:tc>
        <w:tc>
          <w:tcPr/>
          <w:p>
            <w:pPr>
              <w:pStyle w:val="Compact"/>
            </w:pPr>
            <w:r>
              <w:rPr>
                <w:lang w:val="pt-BR"/>
              </w:rPr>
              <w:t xml:space="preserve">1,8</w:t>
            </w:r>
          </w:p>
        </w:tc>
        <w:tc>
          <w:tcPr/>
          <w:p>
            <w:pPr>
              <w:pStyle w:val="Compact"/>
            </w:pPr>
            <w:r>
              <w:rPr>
                <w:lang w:val="pt-BR"/>
              </w:rPr>
              <w:t xml:space="preserve">Polo direito: reiteração da fórmula</w:t>
            </w:r>
          </w:p>
        </w:tc>
      </w:tr>
    </w:tbl>
    <w:p>
      <w:r>
        <w:pict>
          <v:rect style="width:0;height:1.5pt" o:hralign="center" o:hrstd="t" o:hr="t"/>
        </w:pict>
      </w:r>
    </w:p>
    <w:bookmarkEnd w:id="130"/>
    <w:bookmarkEnd w:id="131"/>
    <w:bookmarkStart w:id="138" w:name="painel-ii-justitia-a-genealogia-da-venda"/>
    <w:p>
      <w:pPr>
        <w:pStyle w:val="Heading2"/>
      </w:pPr>
      <w:r>
        <w:rPr>
          <w:rStyle w:val="SectionNumber"/>
          <w:lang w:val="pt-BR"/>
        </w:rPr>
        <w:t xml:space="preserve">10.2</w:t>
      </w:r>
      <w:r>
        <w:tab/>
      </w:r>
      <w:r>
        <w:rPr>
          <w:lang w:val="pt-BR"/>
        </w:rPr>
        <w:t xml:space="preserve">9.2 — Painel II: JUSTITIA — A Genealogia da Venda</w:t>
      </w:r>
    </w:p>
    <w:p>
      <w:pPr>
        <w:pStyle w:val="BlockText"/>
      </w:pPr>
      <w:r>
        <w:rPr>
          <w:b/>
          <w:bCs/>
          <w:lang w:val="pt-BR"/>
        </w:rPr>
        <w:t xml:space="preserve">Zwischenraum temático:</w:t>
      </w:r>
      <w:r>
        <w:rPr>
          <w:lang w:val="pt-BR"/>
        </w:rPr>
        <w:t xml:space="preserve"> </w:t>
      </w:r>
      <w:r>
        <w:rPr>
          <w:lang w:val="pt-BR"/>
        </w:rPr>
        <w:t xml:space="preserve">Nenhuma fórmula alegórica é mais estável nem mais reveladora que a Justitia.</w:t>
      </w:r>
      <w:r>
        <w:rPr>
          <w:lang w:val="pt-BR"/>
        </w:rPr>
        <w:t xml:space="preserve"> </w:t>
      </w:r>
      <w:r>
        <w:rPr>
          <w:lang w:val="pt-BR"/>
        </w:rPr>
        <w:t xml:space="preserve">Este painel encena a operação que o Capítulo 1 reconstruiu genealogicamente: a passagem da Justiça ainda</w:t>
      </w:r>
      <w:r>
        <w:rPr>
          <w:lang w:val="pt-BR"/>
        </w:rPr>
        <w:t xml:space="preserve"> </w:t>
      </w:r>
      <w:r>
        <w:rPr>
          <w:lang w:val="pt-BR"/>
        </w:rPr>
        <w:t xml:space="preserve">enviada, situada e relacional à Justiça vendada como emblema autônomo. O Zwischenraum é a própria venda:</w:t>
      </w:r>
      <w:r>
        <w:rPr>
          <w:lang w:val="pt-BR"/>
        </w:rPr>
        <w:t xml:space="preserve"> </w:t>
      </w:r>
      <w:r>
        <w:rPr>
          <w:lang w:val="pt-BR"/>
        </w:rPr>
        <w:t xml:space="preserve">não um objeto, mas uma</w:t>
      </w:r>
      <w:r>
        <w:rPr>
          <w:lang w:val="pt-BR"/>
        </w:rPr>
        <w:t xml:space="preserve"> </w:t>
      </w:r>
      <w:r>
        <w:rPr>
          <w:i/>
          <w:iCs/>
          <w:lang w:val="pt-BR"/>
        </w:rPr>
        <w:t xml:space="preserve">operação</w:t>
      </w:r>
      <w:r>
        <w:rPr>
          <w:lang w:val="pt-BR"/>
        </w:rPr>
        <w:t xml:space="preserve"> </w:t>
      </w:r>
      <w:r>
        <w:rPr>
          <w:lang w:val="pt-BR"/>
        </w:rPr>
        <w:t xml:space="preserve">que, entre 1494 e 1603, inverte de sentido — de imposição satírica (a</w:t>
      </w:r>
      <w:r>
        <w:rPr>
          <w:lang w:val="pt-BR"/>
        </w:rPr>
        <w:t xml:space="preserve"> </w:t>
      </w:r>
      <w:r>
        <w:rPr>
          <w:lang w:val="pt-BR"/>
        </w:rPr>
        <w:t xml:space="preserve">Justiça impedida de ver pelo bobo, em Brant) a atributo naturalizado (a imparcialidade que não precisa</w:t>
      </w:r>
      <w:r>
        <w:rPr>
          <w:lang w:val="pt-BR"/>
        </w:rPr>
        <w:t xml:space="preserve"> </w:t>
      </w:r>
      <w:r>
        <w:rPr>
          <w:lang w:val="pt-BR"/>
        </w:rPr>
        <w:t xml:space="preserve">mais ser explicada, em Ripa). A venda que cega a Justiça é a mesma que cega a alegoria para a sua própria</w:t>
      </w:r>
      <w:r>
        <w:rPr>
          <w:lang w:val="pt-BR"/>
        </w:rPr>
        <w:t xml:space="preserve"> </w:t>
      </w:r>
      <w:r>
        <w:rPr>
          <w:lang w:val="pt-BR"/>
        </w:rPr>
        <w:t xml:space="preserve">exclusão: a mulher que personifica o foro é a que dele foi banida.</w:t>
      </w:r>
    </w:p>
    <w:bookmarkStart w:id="135" w:name="layout-do-painel-3-imagens-2-textos-1"/>
    <w:p>
      <w:pPr>
        <w:pStyle w:val="Heading3"/>
      </w:pPr>
      <w:r>
        <w:rPr>
          <w:rStyle w:val="SectionNumber"/>
          <w:lang w:val="pt-BR"/>
        </w:rPr>
        <w:t xml:space="preserve">10.2.1</w:t>
      </w:r>
      <w:r>
        <w:tab/>
      </w:r>
      <w:r>
        <w:rPr>
          <w:lang w:val="pt-BR"/>
        </w:rPr>
        <w:t xml:space="preserve">9.2.1 — Layout do painel (3 imagens + 2 textos)</w:t>
      </w:r>
    </w:p>
    <w:bookmarkStart w:id="132" w:name="a-polo-esquerdo-a-justiça-ainda-enviada"/>
    <w:p>
      <w:pPr>
        <w:pStyle w:val="Heading4"/>
      </w:pPr>
      <w:r>
        <w:rPr>
          <w:rStyle w:val="SectionNumber"/>
          <w:lang w:val="pt-BR"/>
        </w:rPr>
        <w:t xml:space="preserve">10.2.1.1</w:t>
      </w:r>
      <w:r>
        <w:tab/>
      </w:r>
      <w:r>
        <w:rPr>
          <w:lang w:val="pt-BR"/>
        </w:rPr>
        <w:t xml:space="preserve">[A] Polo esquerdo — A Justiça ainda enviada</w:t>
      </w:r>
    </w:p>
    <w:p>
      <w:pPr>
        <w:pStyle w:val="FirstParagraph"/>
      </w:pPr>
      <w:r>
        <w:rPr>
          <w:b/>
          <w:bCs/>
          <w:lang w:val="pt-BR"/>
        </w:rPr>
        <w:t xml:space="preserve">Imagens:</w:t>
      </w:r>
      <w:r>
        <w:rPr>
          <w:lang w:val="pt-BR"/>
        </w:rPr>
        <w:t xml:space="preserve"> </w:t>
      </w:r>
      <w:r>
        <w:rPr>
          <w:lang w:val="pt-BR"/>
        </w:rPr>
        <w:t xml:space="preserve">(1)</w:t>
      </w:r>
      <w:r>
        <w:rPr>
          <w:lang w:val="pt-BR"/>
        </w:rPr>
        <w:t xml:space="preserve"> </w:t>
      </w:r>
      <w:r>
        <w:rPr>
          <w:i/>
          <w:iCs/>
          <w:lang w:val="pt-BR"/>
        </w:rPr>
        <w:t xml:space="preserve">L’envoyé de la Justice</w:t>
      </w:r>
      <w:r>
        <w:rPr>
          <w:lang w:val="pt-BR"/>
        </w:rPr>
        <w:t xml:space="preserve"> </w:t>
      </w:r>
      <w:r>
        <w:rPr>
          <w:lang w:val="pt-BR"/>
        </w:rPr>
        <w:t xml:space="preserve">(</w:t>
      </w:r>
      <w:r>
        <w:rPr>
          <w:rStyle w:val="VerbatimChar"/>
          <w:lang w:val="pt-BR"/>
        </w:rPr>
        <w:t xml:space="preserve">9f77480d</w:t>
      </w:r>
      <w:r>
        <w:rPr>
          <w:lang w:val="pt-BR"/>
        </w:rPr>
        <w:t xml:space="preserve">); (2)</w:t>
      </w:r>
      <w:r>
        <w:rPr>
          <w:lang w:val="pt-BR"/>
        </w:rPr>
        <w:t xml:space="preserve"> </w:t>
      </w:r>
      <w:r>
        <w:rPr>
          <w:i/>
          <w:iCs/>
          <w:lang w:val="pt-BR"/>
        </w:rPr>
        <w:t xml:space="preserve">Justice and History</w:t>
      </w:r>
      <w:r>
        <w:rPr>
          <w:lang w:val="pt-BR"/>
        </w:rPr>
        <w:t xml:space="preserve">, modelo em gesso para o</w:t>
      </w:r>
      <w:r>
        <w:rPr>
          <w:lang w:val="pt-BR"/>
        </w:rPr>
        <w:t xml:space="preserve"> </w:t>
      </w:r>
      <w:r>
        <w:rPr>
          <w:lang w:val="pt-BR"/>
        </w:rPr>
        <w:t xml:space="preserve">Capitólio dos EUA (</w:t>
      </w:r>
      <w:r>
        <w:rPr>
          <w:rStyle w:val="VerbatimChar"/>
          <w:lang w:val="pt-BR"/>
        </w:rPr>
        <w:t xml:space="preserve">416a2c38</w:t>
      </w:r>
      <w:r>
        <w:rPr>
          <w:lang w:val="pt-BR"/>
        </w:rPr>
        <w:t xml:space="preserve">).</w:t>
      </w:r>
    </w:p>
    <w:p>
      <w:pPr>
        <w:pStyle w:val="BodyText"/>
      </w:pPr>
      <w:r>
        <w:rPr>
          <w:b/>
          <w:bCs/>
          <w:lang w:val="pt-BR"/>
        </w:rPr>
        <w:t xml:space="preserve">Texto de painel (300 palavras):</w:t>
      </w:r>
    </w:p>
    <w:p>
      <w:pPr>
        <w:pStyle w:val="BlockText"/>
      </w:pPr>
      <w:r>
        <w:rPr>
          <w:lang w:val="pt-BR"/>
        </w:rPr>
        <w:t xml:space="preserve">No polo esquerdo, a Justiça ainda não é o emblema cego e autossuficiente do foro.</w:t>
      </w:r>
      <w:r>
        <w:rPr>
          <w:lang w:val="pt-BR"/>
        </w:rPr>
        <w:t xml:space="preserve"> </w:t>
      </w:r>
      <w:r>
        <w:rPr>
          <w:i/>
          <w:iCs/>
          <w:lang w:val="pt-BR"/>
        </w:rPr>
        <w:t xml:space="preserve">L’envoyé de la</w:t>
      </w:r>
      <w:r>
        <w:rPr>
          <w:i/>
          <w:iCs/>
          <w:lang w:val="pt-BR"/>
        </w:rPr>
        <w:t xml:space="preserve"> </w:t>
      </w:r>
      <w:r>
        <w:rPr>
          <w:i/>
          <w:iCs/>
          <w:lang w:val="pt-BR"/>
        </w:rPr>
        <w:t xml:space="preserve">Justice</w:t>
      </w:r>
      <w:r>
        <w:rPr>
          <w:lang w:val="pt-BR"/>
        </w:rPr>
        <w:t xml:space="preserve"> </w:t>
      </w:r>
      <w:r>
        <w:rPr>
          <w:lang w:val="pt-BR"/>
        </w:rPr>
        <w:t xml:space="preserve">(</w:t>
      </w:r>
      <w:r>
        <w:rPr>
          <w:rStyle w:val="VerbatimChar"/>
          <w:lang w:val="pt-BR"/>
        </w:rPr>
        <w:t xml:space="preserve">9f77480d</w:t>
      </w:r>
      <w:r>
        <w:rPr>
          <w:lang w:val="pt-BR"/>
        </w:rPr>
        <w:t xml:space="preserve">, composto 0,9) mostra a justiça como cena de delegação: ela é enviada, acionada,</w:t>
      </w:r>
      <w:r>
        <w:rPr>
          <w:lang w:val="pt-BR"/>
        </w:rPr>
        <w:t xml:space="preserve"> </w:t>
      </w:r>
      <w:r>
        <w:rPr>
          <w:lang w:val="pt-BR"/>
        </w:rPr>
        <w:t xml:space="preserve">inscrita numa narrativa que conserva agentes, direção e acontecimento. O endurecimento é baixo porque o</w:t>
      </w:r>
      <w:r>
        <w:rPr>
          <w:lang w:val="pt-BR"/>
        </w:rPr>
        <w:t xml:space="preserve"> </w:t>
      </w:r>
      <w:r>
        <w:rPr>
          <w:lang w:val="pt-BR"/>
        </w:rPr>
        <w:t xml:space="preserve">apagamento narrativo ainda não venceu.</w:t>
      </w:r>
      <w:r>
        <w:rPr>
          <w:lang w:val="pt-BR"/>
        </w:rPr>
        <w:t xml:space="preserve"> </w:t>
      </w:r>
      <w:r>
        <w:rPr>
          <w:i/>
          <w:iCs/>
          <w:lang w:val="pt-BR"/>
        </w:rPr>
        <w:t xml:space="preserve">Justice and History</w:t>
      </w:r>
      <w:r>
        <w:rPr>
          <w:lang w:val="pt-BR"/>
        </w:rPr>
        <w:t xml:space="preserve"> </w:t>
      </w:r>
      <w:r>
        <w:rPr>
          <w:lang w:val="pt-BR"/>
        </w:rPr>
        <w:t xml:space="preserve">(</w:t>
      </w:r>
      <w:r>
        <w:rPr>
          <w:rStyle w:val="VerbatimChar"/>
          <w:lang w:val="pt-BR"/>
        </w:rPr>
        <w:t xml:space="preserve">416a2c38</w:t>
      </w:r>
      <w:r>
        <w:rPr>
          <w:lang w:val="pt-BR"/>
        </w:rPr>
        <w:t xml:space="preserve">, composto 2,1) desloca essa</w:t>
      </w:r>
      <w:r>
        <w:rPr>
          <w:lang w:val="pt-BR"/>
        </w:rPr>
        <w:t xml:space="preserve"> </w:t>
      </w:r>
      <w:r>
        <w:rPr>
          <w:lang w:val="pt-BR"/>
        </w:rPr>
        <w:t xml:space="preserve">cena para outro suporte: o corpo feminino já se aproxima da arquitetura do Capitólio, mas ainda aparece</w:t>
      </w:r>
      <w:r>
        <w:rPr>
          <w:lang w:val="pt-BR"/>
        </w:rPr>
        <w:t xml:space="preserve"> </w:t>
      </w:r>
      <w:r>
        <w:rPr>
          <w:lang w:val="pt-BR"/>
        </w:rPr>
        <w:t xml:space="preserve">em par, acompanhado por História, antes de se reduzir à solidão protocolar da venda. A diferença entre</w:t>
      </w:r>
      <w:r>
        <w:rPr>
          <w:lang w:val="pt-BR"/>
        </w:rPr>
        <w:t xml:space="preserve"> </w:t>
      </w:r>
      <w:r>
        <w:rPr>
          <w:lang w:val="pt-BR"/>
        </w:rPr>
        <w:t xml:space="preserve">os dois itens é instrutiva. Em</w:t>
      </w:r>
      <w:r>
        <w:rPr>
          <w:lang w:val="pt-BR"/>
        </w:rPr>
        <w:t xml:space="preserve"> </w:t>
      </w:r>
      <w:r>
        <w:rPr>
          <w:rStyle w:val="VerbatimChar"/>
          <w:lang w:val="pt-BR"/>
        </w:rPr>
        <w:t xml:space="preserve">9f77480d</w:t>
      </w:r>
      <w:r>
        <w:rPr>
          <w:lang w:val="pt-BR"/>
        </w:rPr>
        <w:t xml:space="preserve">, a Justiça ainda depende de uma ordem que a envia; em</w:t>
      </w:r>
      <w:r>
        <w:rPr>
          <w:lang w:val="pt-BR"/>
        </w:rPr>
        <w:t xml:space="preserve"> </w:t>
      </w:r>
      <w:r>
        <w:rPr>
          <w:rStyle w:val="VerbatimChar"/>
          <w:lang w:val="pt-BR"/>
        </w:rPr>
        <w:t xml:space="preserve">416a2c38</w:t>
      </w:r>
      <w:r>
        <w:rPr>
          <w:lang w:val="pt-BR"/>
        </w:rPr>
        <w:t xml:space="preserve">, ela já guarda uma entrada institucional. Em nenhum dos dois casos, porém, a venda aparece</w:t>
      </w:r>
      <w:r>
        <w:rPr>
          <w:lang w:val="pt-BR"/>
        </w:rPr>
        <w:t xml:space="preserve"> </w:t>
      </w:r>
      <w:r>
        <w:rPr>
          <w:lang w:val="pt-BR"/>
        </w:rPr>
        <w:t xml:space="preserve">como essência natural. A Justiça ainda é situada: tem relação, par, tarefa, cenário. É desse campo</w:t>
      </w:r>
      <w:r>
        <w:rPr>
          <w:lang w:val="pt-BR"/>
        </w:rPr>
        <w:t xml:space="preserve"> </w:t>
      </w:r>
      <w:r>
        <w:rPr>
          <w:lang w:val="pt-BR"/>
        </w:rPr>
        <w:t xml:space="preserve">relacional que a venda a extrairá.</w:t>
      </w:r>
    </w:p>
    <w:bookmarkEnd w:id="132"/>
    <w:bookmarkStart w:id="133" w:name="b-centro-a-venda-como-operação"/>
    <w:p>
      <w:pPr>
        <w:pStyle w:val="Heading4"/>
      </w:pPr>
      <w:r>
        <w:rPr>
          <w:rStyle w:val="SectionNumber"/>
          <w:lang w:val="pt-BR"/>
        </w:rPr>
        <w:t xml:space="preserve">10.2.1.2</w:t>
      </w:r>
      <w:r>
        <w:tab/>
      </w:r>
      <w:r>
        <w:rPr>
          <w:lang w:val="pt-BR"/>
        </w:rPr>
        <w:t xml:space="preserve">[B] Centro — A venda como operação</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(300 palavras):</w:t>
      </w:r>
    </w:p>
    <w:p>
      <w:pPr>
        <w:pStyle w:val="BlockText"/>
      </w:pPr>
      <w:r>
        <w:rPr>
          <w:lang w:val="pt-BR"/>
        </w:rPr>
        <w:t xml:space="preserve">O intervalo entre a Justiça que vê e a Justiça vendada é o Zwischenraum genealógico reconstruído no</w:t>
      </w:r>
      <w:r>
        <w:rPr>
          <w:lang w:val="pt-BR"/>
        </w:rPr>
        <w:t xml:space="preserve"> </w:t>
      </w:r>
      <w:r>
        <w:rPr>
          <w:lang w:val="pt-BR"/>
        </w:rPr>
        <w:t xml:space="preserve">Capítulo 1. A venda aparece pela primeira vez em 1494, na xilogravura do</w:t>
      </w:r>
      <w:r>
        <w:rPr>
          <w:lang w:val="pt-BR"/>
        </w:rPr>
        <w:t xml:space="preserve"> </w:t>
      </w:r>
      <w:r>
        <w:rPr>
          <w:i/>
          <w:iCs/>
          <w:lang w:val="pt-BR"/>
        </w:rPr>
        <w:t xml:space="preserve">Narrenschiff</w:t>
      </w:r>
      <w:r>
        <w:rPr>
          <w:lang w:val="pt-BR"/>
        </w:rPr>
        <w:t xml:space="preserve"> </w:t>
      </w:r>
      <w:r>
        <w:rPr>
          <w:lang w:val="pt-BR"/>
        </w:rPr>
        <w:t xml:space="preserve">de Brant, como</w:t>
      </w:r>
      <w:r>
        <w:rPr>
          <w:lang w:val="pt-BR"/>
        </w:rPr>
        <w:t xml:space="preserve"> </w:t>
      </w:r>
      <w:r>
        <w:rPr>
          <w:i/>
          <w:iCs/>
          <w:lang w:val="pt-BR"/>
        </w:rPr>
        <w:t xml:space="preserve">imposição</w:t>
      </w:r>
      <w:r>
        <w:rPr>
          <w:lang w:val="pt-BR"/>
        </w:rPr>
        <w:t xml:space="preserve">: um bobo venda a Justiça por trás, e a cegueira significa corrupção, não virtude — o corpo</w:t>
      </w:r>
      <w:r>
        <w:rPr>
          <w:lang w:val="pt-BR"/>
        </w:rPr>
        <w:t xml:space="preserve"> </w:t>
      </w:r>
      <w:r>
        <w:rPr>
          <w:lang w:val="pt-BR"/>
        </w:rPr>
        <w:t xml:space="preserve">feminino passivo é manipulado por agentes masculinos ativos. Um século depois, quando Ripa sistematiza</w:t>
      </w:r>
      <w:r>
        <w:rPr>
          <w:lang w:val="pt-BR"/>
        </w:rPr>
        <w:t xml:space="preserve"> </w:t>
      </w:r>
      <w:r>
        <w:rPr>
          <w:lang w:val="pt-BR"/>
        </w:rPr>
        <w:t xml:space="preserve">a</w:t>
      </w:r>
      <w:r>
        <w:rPr>
          <w:lang w:val="pt-BR"/>
        </w:rPr>
        <w:t xml:space="preserve"> </w:t>
      </w:r>
      <w:r>
        <w:rPr>
          <w:i/>
          <w:iCs/>
          <w:lang w:val="pt-BR"/>
        </w:rPr>
        <w:t xml:space="preserve">Iconologia</w:t>
      </w:r>
      <w:r>
        <w:rPr>
          <w:lang w:val="pt-BR"/>
        </w:rPr>
        <w:t xml:space="preserve"> </w:t>
      </w:r>
      <w:r>
        <w:rPr>
          <w:lang w:val="pt-BR"/>
        </w:rPr>
        <w:t xml:space="preserve">(1603), a venda já é</w:t>
      </w:r>
      <w:r>
        <w:rPr>
          <w:lang w:val="pt-BR"/>
        </w:rPr>
        <w:t xml:space="preserve"> </w:t>
      </w:r>
      <w:r>
        <w:rPr>
          <w:i/>
          <w:iCs/>
          <w:lang w:val="pt-BR"/>
        </w:rPr>
        <w:t xml:space="preserve">atributo</w:t>
      </w:r>
      <w:r>
        <w:rPr>
          <w:lang w:val="pt-BR"/>
        </w:rPr>
        <w:t xml:space="preserve">: propriedade intrínseca da alegoria, signo de</w:t>
      </w:r>
      <w:r>
        <w:rPr>
          <w:lang w:val="pt-BR"/>
        </w:rPr>
        <w:t xml:space="preserve"> </w:t>
      </w:r>
      <w:r>
        <w:rPr>
          <w:lang w:val="pt-BR"/>
        </w:rPr>
        <w:t xml:space="preserve">imparcialidade que não precisa mais ser explicado. O que desapareceu entre 1494 e 1603 não é apenas a</w:t>
      </w:r>
      <w:r>
        <w:rPr>
          <w:lang w:val="pt-BR"/>
        </w:rPr>
        <w:t xml:space="preserve"> </w:t>
      </w:r>
      <w:r>
        <w:rPr>
          <w:lang w:val="pt-BR"/>
        </w:rPr>
        <w:t xml:space="preserve">conotação satírica; é o</w:t>
      </w:r>
      <w:r>
        <w:rPr>
          <w:lang w:val="pt-BR"/>
        </w:rPr>
        <w:t xml:space="preserve"> </w:t>
      </w:r>
      <w:r>
        <w:rPr>
          <w:i/>
          <w:iCs/>
          <w:lang w:val="pt-BR"/>
        </w:rPr>
        <w:t xml:space="preserve">agente</w:t>
      </w:r>
      <w:r>
        <w:rPr>
          <w:lang w:val="pt-BR"/>
        </w:rPr>
        <w:t xml:space="preserve"> </w:t>
      </w:r>
      <w:r>
        <w:rPr>
          <w:lang w:val="pt-BR"/>
        </w:rPr>
        <w:t xml:space="preserve">da vendação. Ninguém mais venda a Justiça — ela simplesmente</w:t>
      </w:r>
      <w:r>
        <w:rPr>
          <w:lang w:val="pt-BR"/>
        </w:rPr>
        <w:t xml:space="preserve"> </w:t>
      </w:r>
      <w:r>
        <w:rPr>
          <w:i/>
          <w:iCs/>
          <w:lang w:val="pt-BR"/>
        </w:rPr>
        <w:t xml:space="preserve">é</w:t>
      </w:r>
      <w:r>
        <w:rPr>
          <w:lang w:val="pt-BR"/>
        </w:rPr>
        <w:t xml:space="preserve"> </w:t>
      </w:r>
      <w:r>
        <w:rPr>
          <w:lang w:val="pt-BR"/>
        </w:rPr>
        <w:t xml:space="preserve">vendada. A passividade imposta ao corpo feminino (ser privado da visão) foi reinterpretada como</w:t>
      </w:r>
      <w:r>
        <w:rPr>
          <w:lang w:val="pt-BR"/>
        </w:rPr>
        <w:t xml:space="preserve"> </w:t>
      </w:r>
      <w:r>
        <w:rPr>
          <w:lang w:val="pt-BR"/>
        </w:rPr>
        <w:t xml:space="preserve">autonomia institucional (a imparcialidade). É o contrato visual em operação: a captura do corpo, a</w:t>
      </w:r>
      <w:r>
        <w:rPr>
          <w:lang w:val="pt-BR"/>
        </w:rPr>
        <w:t xml:space="preserve"> </w:t>
      </w:r>
      <w:r>
        <w:rPr>
          <w:lang w:val="pt-BR"/>
        </w:rPr>
        <w:t xml:space="preserve">naturalização da violência que o transforma em alegoria, a legitimação circular entre imagem e</w:t>
      </w:r>
      <w:r>
        <w:rPr>
          <w:lang w:val="pt-BR"/>
        </w:rPr>
        <w:t xml:space="preserve"> </w:t>
      </w:r>
      <w:r>
        <w:rPr>
          <w:lang w:val="pt-BR"/>
        </w:rPr>
        <w:t xml:space="preserve">instituição. E há um paradoxo adicional que o painel torna visível: a venda que cega a Justiça é a</w:t>
      </w:r>
      <w:r>
        <w:rPr>
          <w:lang w:val="pt-BR"/>
        </w:rPr>
        <w:t xml:space="preserve"> </w:t>
      </w:r>
      <w:r>
        <w:rPr>
          <w:lang w:val="pt-BR"/>
        </w:rPr>
        <w:t xml:space="preserve">mesma que a cega para a sua própria exclusão. A cultura jurídica que produz a alegoria feminina da</w:t>
      </w:r>
      <w:r>
        <w:rPr>
          <w:lang w:val="pt-BR"/>
        </w:rPr>
        <w:t xml:space="preserve"> </w:t>
      </w:r>
      <w:r>
        <w:rPr>
          <w:lang w:val="pt-BR"/>
        </w:rPr>
        <w:t xml:space="preserve">justiça é a mesma que nega às mulheres reais o acesso às funções que a alegoria simboliza.</w:t>
      </w:r>
    </w:p>
    <w:bookmarkEnd w:id="133"/>
    <w:bookmarkStart w:id="134" w:name="c-polo-direito-a-justiça-cega"/>
    <w:p>
      <w:pPr>
        <w:pStyle w:val="Heading4"/>
      </w:pPr>
      <w:r>
        <w:rPr>
          <w:rStyle w:val="SectionNumber"/>
          <w:lang w:val="pt-BR"/>
        </w:rPr>
        <w:t xml:space="preserve">10.2.1.3</w:t>
      </w:r>
      <w:r>
        <w:tab/>
      </w:r>
      <w:r>
        <w:rPr>
          <w:lang w:val="pt-BR"/>
        </w:rPr>
        <w:t xml:space="preserve">[C] Polo direito — A Justiça cega</w:t>
      </w:r>
    </w:p>
    <w:p>
      <w:pPr>
        <w:pStyle w:val="FirstParagraph"/>
      </w:pPr>
      <w:r>
        <w:rPr>
          <w:b/>
          <w:bCs/>
          <w:lang w:val="pt-BR"/>
        </w:rPr>
        <w:t xml:space="preserve">Imagem:</w:t>
      </w:r>
      <w:r>
        <w:rPr>
          <w:lang w:val="pt-BR"/>
        </w:rPr>
        <w:t xml:space="preserve"> </w:t>
      </w:r>
      <w:r>
        <w:rPr>
          <w:i/>
          <w:iCs/>
          <w:lang w:val="pt-BR"/>
        </w:rPr>
        <w:t xml:space="preserve">Justice</w:t>
      </w:r>
      <w:r>
        <w:rPr>
          <w:lang w:val="pt-BR"/>
        </w:rPr>
        <w:t xml:space="preserve"> </w:t>
      </w:r>
      <w:r>
        <w:rPr>
          <w:lang w:val="pt-BR"/>
        </w:rPr>
        <w:t xml:space="preserve">(mulher vendada com espada e balança), EUA (</w:t>
      </w:r>
      <w:r>
        <w:rPr>
          <w:rStyle w:val="VerbatimChar"/>
          <w:lang w:val="pt-BR"/>
        </w:rPr>
        <w:t xml:space="preserve">734dd76f</w:t>
      </w:r>
      <w:r>
        <w:rPr>
          <w:lang w:val="pt-BR"/>
        </w:rPr>
        <w:t xml:space="preserve">).</w:t>
      </w:r>
    </w:p>
    <w:p>
      <w:pPr>
        <w:pStyle w:val="BodyText"/>
      </w:pPr>
      <w:r>
        <w:rPr>
          <w:b/>
          <w:bCs/>
          <w:lang w:val="pt-BR"/>
        </w:rPr>
        <w:t xml:space="preserve">Texto de painel (300 palavras):</w:t>
      </w:r>
    </w:p>
    <w:p>
      <w:pPr>
        <w:pStyle w:val="BlockText"/>
      </w:pPr>
      <w:r>
        <w:rPr>
          <w:lang w:val="pt-BR"/>
        </w:rPr>
        <w:t xml:space="preserve">No polo direito, a Justiça vendada aparece em seu grau normativo mais puro. A</w:t>
      </w:r>
      <w:r>
        <w:rPr>
          <w:lang w:val="pt-BR"/>
        </w:rPr>
        <w:t xml:space="preserve"> </w:t>
      </w:r>
      <w:r>
        <w:rPr>
          <w:i/>
          <w:iCs/>
          <w:lang w:val="pt-BR"/>
        </w:rPr>
        <w:t xml:space="preserve">Justice</w:t>
      </w:r>
      <w:r>
        <w:rPr>
          <w:lang w:val="pt-BR"/>
        </w:rPr>
        <w:t xml:space="preserve"> </w:t>
      </w:r>
      <w:r>
        <w:rPr>
          <w:lang w:val="pt-BR"/>
        </w:rPr>
        <w:t xml:space="preserve">estadunidense</w:t>
      </w:r>
      <w:r>
        <w:rPr>
          <w:lang w:val="pt-BR"/>
        </w:rPr>
        <w:t xml:space="preserve"> </w:t>
      </w:r>
      <w:r>
        <w:rPr>
          <w:lang w:val="pt-BR"/>
        </w:rPr>
        <w:t xml:space="preserve">(</w:t>
      </w:r>
      <w:r>
        <w:rPr>
          <w:rStyle w:val="VerbatimChar"/>
          <w:lang w:val="pt-BR"/>
        </w:rPr>
        <w:t xml:space="preserve">734dd76f</w:t>
      </w:r>
      <w:r>
        <w:rPr>
          <w:lang w:val="pt-BR"/>
        </w:rPr>
        <w:t xml:space="preserve">, composto 2,2) é descrita na codificação como o</w:t>
      </w:r>
      <w:r>
        <w:rPr>
          <w:lang w:val="pt-BR"/>
        </w:rPr>
        <w:t xml:space="preserve"> </w:t>
      </w:r>
      <w:r>
        <w:rPr>
          <w:lang w:val="pt-BR"/>
        </w:rPr>
        <w:t xml:space="preserve">“grau zero”</w:t>
      </w:r>
      <w:r>
        <w:rPr>
          <w:lang w:val="pt-BR"/>
        </w:rPr>
        <w:t xml:space="preserve"> </w:t>
      </w:r>
      <w:r>
        <w:rPr>
          <w:lang w:val="pt-BR"/>
        </w:rPr>
        <w:t xml:space="preserve">do endurecimento normativo — e a</w:t>
      </w:r>
      <w:r>
        <w:rPr>
          <w:lang w:val="pt-BR"/>
        </w:rPr>
        <w:t xml:space="preserve"> </w:t>
      </w:r>
      <w:r>
        <w:rPr>
          <w:lang w:val="pt-BR"/>
        </w:rPr>
        <w:t xml:space="preserve">leitura de nível 3 é lapidar: um Estado que exclui as mulheres do foro produz a imagem da Justiça como</w:t>
      </w:r>
      <w:r>
        <w:rPr>
          <w:lang w:val="pt-BR"/>
        </w:rPr>
        <w:t xml:space="preserve"> </w:t>
      </w:r>
      <w:r>
        <w:rPr>
          <w:lang w:val="pt-BR"/>
        </w:rPr>
        <w:t xml:space="preserve">mulher, e a venda que lhe cobre os olhos</w:t>
      </w:r>
      <w:r>
        <w:rPr>
          <w:lang w:val="pt-BR"/>
        </w:rPr>
        <w:t xml:space="preserve"> </w:t>
      </w:r>
      <w:r>
        <w:rPr>
          <w:i/>
          <w:iCs/>
          <w:lang w:val="pt-BR"/>
        </w:rPr>
        <w:t xml:space="preserve">mascara a própria exclusão da figura</w:t>
      </w:r>
      <w:r>
        <w:rPr>
          <w:lang w:val="pt-BR"/>
        </w:rPr>
        <w:t xml:space="preserve"> </w:t>
      </w:r>
      <w:r>
        <w:rPr>
          <w:lang w:val="pt-BR"/>
        </w:rPr>
        <w:t xml:space="preserve">(Resnik; Curtis, 2011)</w:t>
      </w:r>
      <w:r>
        <w:rPr>
          <w:lang w:val="pt-BR"/>
        </w:rPr>
        <w:t xml:space="preserve">.</w:t>
      </w:r>
      <w:r>
        <w:rPr>
          <w:lang w:val="pt-BR"/>
        </w:rPr>
        <w:t xml:space="preserve"> </w:t>
      </w:r>
      <w:r>
        <w:rPr>
          <w:lang w:val="pt-BR"/>
        </w:rPr>
        <w:t xml:space="preserve">Aqui a narratividade do polo esquerdo desapareceu por completo: apagamento narrativo, serialidade e</w:t>
      </w:r>
      <w:r>
        <w:rPr>
          <w:lang w:val="pt-BR"/>
        </w:rPr>
        <w:t xml:space="preserve"> </w:t>
      </w:r>
      <w:r>
        <w:rPr>
          <w:lang w:val="pt-BR"/>
        </w:rPr>
        <w:t xml:space="preserve">inscrição estatal alcançam o grau máximo. A Justiça não é mais enviada, não guarda um par, não compõe uma</w:t>
      </w:r>
      <w:r>
        <w:rPr>
          <w:lang w:val="pt-BR"/>
        </w:rPr>
        <w:t xml:space="preserve"> </w:t>
      </w:r>
      <w:r>
        <w:rPr>
          <w:lang w:val="pt-BR"/>
        </w:rPr>
        <w:t xml:space="preserve">cena histórica; ela simplesmente</w:t>
      </w:r>
      <w:r>
        <w:rPr>
          <w:lang w:val="pt-BR"/>
        </w:rPr>
        <w:t xml:space="preserve"> </w:t>
      </w:r>
      <w:r>
        <w:rPr>
          <w:i/>
          <w:iCs/>
          <w:lang w:val="pt-BR"/>
        </w:rPr>
        <w:t xml:space="preserve">é</w:t>
      </w:r>
      <w:r>
        <w:rPr>
          <w:lang w:val="pt-BR"/>
        </w:rPr>
        <w:t xml:space="preserve">, cega, imóvel, reiterável. A comparação entre os polos é o próprio</w:t>
      </w:r>
      <w:r>
        <w:rPr>
          <w:lang w:val="pt-BR"/>
        </w:rPr>
        <w:t xml:space="preserve"> </w:t>
      </w:r>
      <w:r>
        <w:rPr>
          <w:lang w:val="pt-BR"/>
        </w:rPr>
        <w:t xml:space="preserve">argumento do painel: a Justiça endurece na exata medida em que perde relação, visão, ação e narrativa.</w:t>
      </w:r>
      <w:r>
        <w:rPr>
          <w:lang w:val="pt-BR"/>
        </w:rPr>
        <w:t xml:space="preserve"> </w:t>
      </w:r>
      <w:r>
        <w:rPr>
          <w:lang w:val="pt-BR"/>
        </w:rPr>
        <w:t xml:space="preserve">Cegá-la foi torná-la funcional.</w:t>
      </w:r>
    </w:p>
    <w:bookmarkEnd w:id="134"/>
    <w:bookmarkEnd w:id="135"/>
    <w:bookmarkStart w:id="136" w:name="síntese-do-painel-1"/>
    <w:p>
      <w:pPr>
        <w:pStyle w:val="Heading3"/>
      </w:pPr>
      <w:r>
        <w:rPr>
          <w:rStyle w:val="SectionNumber"/>
          <w:lang w:val="pt-BR"/>
        </w:rPr>
        <w:t xml:space="preserve">10.2.2</w:t>
      </w:r>
      <w:r>
        <w:tab/>
      </w:r>
      <w:r>
        <w:rPr>
          <w:lang w:val="pt-BR"/>
        </w:rPr>
        <w:t xml:space="preserve">9.2.2 — Síntese do painel</w:t>
      </w:r>
    </w:p>
    <w:p>
      <w:pPr>
        <w:pStyle w:val="BlockText"/>
      </w:pPr>
      <w:r>
        <w:rPr>
          <w:lang w:val="pt-BR"/>
        </w:rPr>
        <w:t xml:space="preserve">Este painel propõe que a venda de Justitia não é acessório iconográfico, mas o operador central da sua</w:t>
      </w:r>
      <w:r>
        <w:rPr>
          <w:lang w:val="pt-BR"/>
        </w:rPr>
        <w:t xml:space="preserve"> </w:t>
      </w:r>
      <w:r>
        <w:rPr>
          <w:lang w:val="pt-BR"/>
        </w:rPr>
        <w:t xml:space="preserve">purificação. A trajetória da Justiça enviada (</w:t>
      </w:r>
      <w:r>
        <w:rPr>
          <w:rStyle w:val="VerbatimChar"/>
          <w:lang w:val="pt-BR"/>
        </w:rPr>
        <w:t xml:space="preserve">9f77480d</w:t>
      </w:r>
      <w:r>
        <w:rPr>
          <w:lang w:val="pt-BR"/>
        </w:rPr>
        <w:t xml:space="preserve">, 0,9), passando pela Justiça já arquitetônica</w:t>
      </w:r>
      <w:r>
        <w:rPr>
          <w:lang w:val="pt-BR"/>
        </w:rPr>
        <w:t xml:space="preserve"> </w:t>
      </w:r>
      <w:r>
        <w:rPr>
          <w:lang w:val="pt-BR"/>
        </w:rPr>
        <w:t xml:space="preserve">(</w:t>
      </w:r>
      <w:r>
        <w:rPr>
          <w:rStyle w:val="VerbatimChar"/>
          <w:lang w:val="pt-BR"/>
        </w:rPr>
        <w:t xml:space="preserve">416a2c38</w:t>
      </w:r>
      <w:r>
        <w:rPr>
          <w:lang w:val="pt-BR"/>
        </w:rPr>
        <w:t xml:space="preserve">, 2,1), até a Justiça cega (</w:t>
      </w:r>
      <w:r>
        <w:rPr>
          <w:rStyle w:val="VerbatimChar"/>
          <w:lang w:val="pt-BR"/>
        </w:rPr>
        <w:t xml:space="preserve">734dd76f</w:t>
      </w:r>
      <w:r>
        <w:rPr>
          <w:lang w:val="pt-BR"/>
        </w:rPr>
        <w:t xml:space="preserve">, 2,2) é a trajetória da subtração da agência:</w:t>
      </w:r>
      <w:r>
        <w:rPr>
          <w:lang w:val="pt-BR"/>
        </w:rPr>
        <w:t xml:space="preserve"> </w:t>
      </w:r>
      <w:r>
        <w:rPr>
          <w:lang w:val="pt-BR"/>
        </w:rPr>
        <w:t xml:space="preserve">retiram-se-lhe a ordem narrativa, o par histórico, os olhos e a ação até restar a marca pura do Estado.</w:t>
      </w:r>
      <w:r>
        <w:rPr>
          <w:lang w:val="pt-BR"/>
        </w:rPr>
        <w:t xml:space="preserve"> </w:t>
      </w:r>
      <w:r>
        <w:rPr>
          <w:lang w:val="pt-BR"/>
        </w:rPr>
        <w:t xml:space="preserve">A genealogia da venda — de imposição satírica (1494) a atributo naturalizado (1603) — demonstra que a</w:t>
      </w:r>
      <w:r>
        <w:rPr>
          <w:lang w:val="pt-BR"/>
        </w:rPr>
        <w:t xml:space="preserve"> </w:t>
      </w:r>
      <w:r>
        <w:rPr>
          <w:lang w:val="pt-BR"/>
        </w:rPr>
        <w:t xml:space="preserve">operação é histórica, não natural: houve um tempo em que cegar a Justiça significava corrompê-la, e é a</w:t>
      </w:r>
      <w:r>
        <w:rPr>
          <w:lang w:val="pt-BR"/>
        </w:rPr>
        <w:t xml:space="preserve"> </w:t>
      </w:r>
      <w:r>
        <w:rPr>
          <w:lang w:val="pt-BR"/>
        </w:rPr>
        <w:t xml:space="preserve">memória apagada desse tempo que a alegoria normativa recalca. A Justiça cega é a Feminilidade de Estado</w:t>
      </w:r>
      <w:r>
        <w:rPr>
          <w:lang w:val="pt-BR"/>
        </w:rPr>
        <w:t xml:space="preserve"> </w:t>
      </w:r>
      <w:r>
        <w:rPr>
          <w:lang w:val="pt-BR"/>
        </w:rPr>
        <w:t xml:space="preserve">em sua forma mais eficaz: uma mulher que personifica o foro do qual toda mulher foi banida, e cuja</w:t>
      </w:r>
      <w:r>
        <w:rPr>
          <w:lang w:val="pt-BR"/>
        </w:rPr>
        <w:t xml:space="preserve"> </w:t>
      </w:r>
      <w:r>
        <w:rPr>
          <w:lang w:val="pt-BR"/>
        </w:rPr>
        <w:t xml:space="preserve">cegueira institui como virtude a própria exclusão que a fundou.</w:t>
      </w:r>
    </w:p>
    <w:bookmarkEnd w:id="136"/>
    <w:bookmarkStart w:id="137" w:name="itens-corpus-identificados-1"/>
    <w:p>
      <w:pPr>
        <w:pStyle w:val="Heading3"/>
      </w:pPr>
      <w:r>
        <w:rPr>
          <w:rStyle w:val="SectionNumber"/>
          <w:lang w:val="pt-BR"/>
        </w:rPr>
        <w:t xml:space="preserve">10.2.3</w:t>
      </w:r>
      <w:r>
        <w:tab/>
      </w:r>
      <w:r>
        <w:rPr>
          <w:lang w:val="pt-BR"/>
        </w:rPr>
        <w:t xml:space="preserve">9.2.3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i/>
                <w:iCs/>
                <w:lang w:val="pt-BR"/>
              </w:rPr>
              <w:t xml:space="preserve">L’envoyé de la Justice</w:t>
            </w:r>
          </w:p>
        </w:tc>
        <w:tc>
          <w:tcPr/>
          <w:p>
            <w:pPr>
              <w:pStyle w:val="Compact"/>
            </w:pPr>
            <w:r>
              <w:rPr>
                <w:rStyle w:val="VerbatimChar"/>
                <w:lang w:val="pt-BR"/>
              </w:rPr>
              <w:t xml:space="preserve">9f77480d</w:t>
            </w:r>
          </w:p>
        </w:tc>
        <w:tc>
          <w:tcPr/>
          <w:p>
            <w:pPr>
              <w:pStyle w:val="Compact"/>
            </w:pPr>
            <w:r>
              <w:rPr>
                <w:lang w:val="pt-BR"/>
              </w:rPr>
              <w:t xml:space="preserve">fundacional</w:t>
            </w:r>
          </w:p>
        </w:tc>
        <w:tc>
          <w:tcPr/>
          <w:p>
            <w:pPr>
              <w:pStyle w:val="Compact"/>
            </w:pPr>
            <w:r>
              <w:rPr>
                <w:lang w:val="pt-BR"/>
              </w:rPr>
              <w:t xml:space="preserve">0,9</w:t>
            </w:r>
          </w:p>
        </w:tc>
        <w:tc>
          <w:tcPr/>
          <w:p>
            <w:pPr>
              <w:pStyle w:val="Compact"/>
            </w:pPr>
            <w:r>
              <w:rPr>
                <w:lang w:val="pt-BR"/>
              </w:rPr>
              <w:t xml:space="preserve">Polo esquerdo: delegação masculina, justiça enviada</w:t>
            </w:r>
          </w:p>
        </w:tc>
      </w:tr>
      <w:tr>
        <w:tc>
          <w:tcPr/>
          <w:p>
            <w:pPr>
              <w:pStyle w:val="Compact"/>
            </w:pPr>
            <w:r>
              <w:rPr>
                <w:i/>
                <w:iCs/>
                <w:lang w:val="pt-BR"/>
              </w:rPr>
              <w:t xml:space="preserve">Justice and History</w:t>
            </w:r>
            <w:r>
              <w:rPr>
                <w:lang w:val="pt-BR"/>
              </w:rPr>
              <w:t xml:space="preserve"> </w:t>
            </w:r>
            <w:r>
              <w:rPr>
                <w:lang w:val="pt-BR"/>
              </w:rPr>
              <w:t xml:space="preserve">(gesso, Capitólio)</w:t>
            </w:r>
          </w:p>
        </w:tc>
        <w:tc>
          <w:tcPr/>
          <w:p>
            <w:pPr>
              <w:pStyle w:val="Compact"/>
            </w:pPr>
            <w:r>
              <w:rPr>
                <w:rStyle w:val="VerbatimChar"/>
                <w:lang w:val="pt-BR"/>
              </w:rPr>
              <w:t xml:space="preserve">416a2c38</w:t>
            </w:r>
          </w:p>
        </w:tc>
        <w:tc>
          <w:tcPr/>
          <w:p>
            <w:pPr>
              <w:pStyle w:val="Compact"/>
            </w:pPr>
            <w:r>
              <w:rPr>
                <w:lang w:val="pt-BR"/>
              </w:rPr>
              <w:t xml:space="preserve">normativo</w:t>
            </w:r>
          </w:p>
        </w:tc>
        <w:tc>
          <w:tcPr/>
          <w:p>
            <w:pPr>
              <w:pStyle w:val="Compact"/>
            </w:pPr>
            <w:r>
              <w:rPr>
                <w:lang w:val="pt-BR"/>
              </w:rPr>
              <w:t xml:space="preserve">2,1</w:t>
            </w:r>
          </w:p>
        </w:tc>
        <w:tc>
          <w:tcPr/>
          <w:p>
            <w:pPr>
              <w:pStyle w:val="Compact"/>
            </w:pPr>
            <w:r>
              <w:rPr>
                <w:lang w:val="pt-BR"/>
              </w:rPr>
              <w:t xml:space="preserve">Polo esquerdo/ponte: Justiça relacional já arquitetônica</w:t>
            </w:r>
          </w:p>
        </w:tc>
      </w:tr>
      <w:tr>
        <w:tc>
          <w:tcPr/>
          <w:p>
            <w:pPr>
              <w:pStyle w:val="Compact"/>
            </w:pPr>
            <w:r>
              <w:rPr>
                <w:i/>
                <w:iCs/>
                <w:lang w:val="pt-BR"/>
              </w:rPr>
              <w:t xml:space="preserve">Justice</w:t>
            </w:r>
            <w:r>
              <w:rPr>
                <w:lang w:val="pt-BR"/>
              </w:rPr>
              <w:t xml:space="preserve"> </w:t>
            </w:r>
            <w:r>
              <w:rPr>
                <w:lang w:val="pt-BR"/>
              </w:rPr>
              <w:t xml:space="preserve">(vendada, EUA)</w:t>
            </w:r>
          </w:p>
        </w:tc>
        <w:tc>
          <w:tcPr/>
          <w:p>
            <w:pPr>
              <w:pStyle w:val="Compact"/>
            </w:pPr>
            <w:r>
              <w:rPr>
                <w:rStyle w:val="VerbatimChar"/>
                <w:lang w:val="pt-BR"/>
              </w:rPr>
              <w:t xml:space="preserve">734dd76f</w:t>
            </w:r>
          </w:p>
        </w:tc>
        <w:tc>
          <w:tcPr/>
          <w:p>
            <w:pPr>
              <w:pStyle w:val="Compact"/>
            </w:pPr>
            <w:r>
              <w:rPr>
                <w:lang w:val="pt-BR"/>
              </w:rPr>
              <w:t xml:space="preserve">normativo</w:t>
            </w:r>
          </w:p>
        </w:tc>
        <w:tc>
          <w:tcPr/>
          <w:p>
            <w:pPr>
              <w:pStyle w:val="Compact"/>
            </w:pPr>
            <w:r>
              <w:rPr>
                <w:lang w:val="pt-BR"/>
              </w:rPr>
              <w:t xml:space="preserve">2,2</w:t>
            </w:r>
          </w:p>
        </w:tc>
        <w:tc>
          <w:tcPr/>
          <w:p>
            <w:pPr>
              <w:pStyle w:val="Compact"/>
            </w:pPr>
            <w:r>
              <w:rPr>
                <w:lang w:val="pt-BR"/>
              </w:rPr>
              <w:t xml:space="preserve">Polo direito: grau zero normativo, Justiça cega</w:t>
            </w:r>
          </w:p>
        </w:tc>
      </w:tr>
    </w:tbl>
    <w:p>
      <w:r>
        <w:pict>
          <v:rect style="width:0;height:1.5pt" o:hralign="center" o:hrstd="t" o:hr="t"/>
        </w:pict>
      </w:r>
    </w:p>
    <w:bookmarkEnd w:id="137"/>
    <w:bookmarkEnd w:id="138"/>
    <w:bookmarkStart w:id="146" w:name="X14bc33ec9ed2bba83aa4745c1b4d8060fde7fb7"/>
    <w:p>
      <w:pPr>
        <w:pStyle w:val="Heading2"/>
      </w:pPr>
      <w:r>
        <w:rPr>
          <w:rStyle w:val="SectionNumber"/>
          <w:lang w:val="pt-BR"/>
        </w:rPr>
        <w:t xml:space="preserve">10.3</w:t>
      </w:r>
      <w:r>
        <w:tab/>
      </w:r>
      <w:r>
        <w:rPr>
          <w:lang w:val="pt-BR"/>
        </w:rPr>
        <w:t xml:space="preserve">9.3 — Painel III: DOMESTICAÇÃO — Do Corpo Vivo ao Corpo Máquina</w:t>
      </w:r>
    </w:p>
    <w:p>
      <w:pPr>
        <w:pStyle w:val="BlockText"/>
      </w:pPr>
      <w:r>
        <w:rPr>
          <w:b/>
          <w:bCs/>
          <w:lang w:val="pt-BR"/>
        </w:rPr>
        <w:t xml:space="preserve">Zwischenraum temático:</w:t>
      </w:r>
      <w:r>
        <w:rPr>
          <w:lang w:val="pt-BR"/>
        </w:rPr>
        <w:t xml:space="preserve"> </w:t>
      </w:r>
      <w:r>
        <w:rPr>
          <w:lang w:val="pt-BR"/>
        </w:rPr>
        <w:t xml:space="preserve">A transição do regime iconocrático fundacional ao normativo é uma</w:t>
      </w:r>
      <w:r>
        <w:rPr>
          <w:lang w:val="pt-BR"/>
        </w:rPr>
        <w:t xml:space="preserve"> </w:t>
      </w:r>
      <w:r>
        <w:rPr>
          <w:i/>
          <w:iCs/>
          <w:lang w:val="pt-BR"/>
        </w:rPr>
        <w:t xml:space="preserve">operação racial de substituição</w:t>
      </w:r>
      <w:r>
        <w:rPr>
          <w:lang w:val="pt-BR"/>
        </w:rPr>
        <w:t xml:space="preserve">: o corpo que nasce na revolução como corpo de carne — branco, mas ainda vivo, ainda capaz de sujeira, de pólvora, de seio visível — é gradualmente substituído pelo corpo-máquina da ordem institucional: marmóreo, perfilado, cromático, sem seio, sem suor, sem história. Este painel mostra essa operação em três momentos: o nascimento (Villares, 1889), a consolidação europeia (Rops, 1871 → Roty, 1897), e a síntese industrial (Janinet/Moitte).</w:t>
      </w:r>
    </w:p>
    <w:bookmarkStart w:id="142" w:name="layout-do-painel-3-imagens-2-textos-2"/>
    <w:p>
      <w:pPr>
        <w:pStyle w:val="Heading3"/>
      </w:pPr>
      <w:r>
        <w:rPr>
          <w:rStyle w:val="SectionNumber"/>
          <w:lang w:val="pt-BR"/>
        </w:rPr>
        <w:t xml:space="preserve">10.3.1</w:t>
      </w:r>
      <w:r>
        <w:tab/>
      </w:r>
      <w:r>
        <w:rPr>
          <w:lang w:val="pt-BR"/>
        </w:rPr>
        <w:t xml:space="preserve">9.3.1 — Layout do painel (3 imagens + 2 textos)</w:t>
      </w:r>
    </w:p>
    <w:bookmarkStart w:id="139" w:name="a-polo-esquerdo-o-corpo-fundacional"/>
    <w:p>
      <w:pPr>
        <w:pStyle w:val="Heading4"/>
      </w:pPr>
      <w:r>
        <w:rPr>
          <w:rStyle w:val="SectionNumber"/>
          <w:lang w:val="pt-BR"/>
        </w:rPr>
        <w:t xml:space="preserve">10.3.1.1</w:t>
      </w:r>
      <w:r>
        <w:tab/>
      </w:r>
      <w:r>
        <w:rPr>
          <w:lang w:val="pt-BR"/>
        </w:rPr>
        <w:t xml:space="preserve">[A] Polo esquerdo — O corpo fundacional</w:t>
      </w:r>
    </w:p>
    <w:p>
      <w:pPr>
        <w:pStyle w:val="FirstParagraph"/>
      </w:pPr>
      <w:r>
        <w:rPr>
          <w:b/>
          <w:bCs/>
          <w:lang w:val="pt-BR"/>
        </w:rPr>
        <w:t xml:space="preserve">Imagem:</w:t>
      </w:r>
      <w:r>
        <w:rPr>
          <w:lang w:val="pt-BR"/>
        </w:rPr>
        <w:t xml:space="preserve"> </w:t>
      </w:r>
      <w:r>
        <w:rPr>
          <w:lang w:val="pt-BR"/>
        </w:rPr>
        <w:t xml:space="preserve">Décio Villares,</w:t>
      </w:r>
      <w:r>
        <w:rPr>
          <w:lang w:val="pt-BR"/>
        </w:rPr>
        <w:t xml:space="preserve"> </w:t>
      </w:r>
      <w:r>
        <w:rPr>
          <w:i/>
          <w:iCs/>
          <w:lang w:val="pt-BR"/>
        </w:rPr>
        <w:t xml:space="preserve">Alegoria da República</w:t>
      </w:r>
      <w:r>
        <w:rPr>
          <w:lang w:val="pt-BR"/>
        </w:rPr>
        <w:t xml:space="preserve">, 1889. Óleo sobre tela. MNBA, Rio de Janeiro. (BR-005)</w:t>
      </w:r>
    </w:p>
    <w:p>
      <w:pPr>
        <w:pStyle w:val="BodyText"/>
      </w:pPr>
      <w:r>
        <w:rPr>
          <w:b/>
          <w:bCs/>
          <w:lang w:val="pt-BR"/>
        </w:rPr>
        <w:t xml:space="preserve">Texto de painel (300 palavras):</w:t>
      </w:r>
    </w:p>
    <w:p>
      <w:pPr>
        <w:pStyle w:val="BlockText"/>
      </w:pPr>
      <w:r>
        <w:rPr>
          <w:lang w:val="pt-BR"/>
        </w:rPr>
        <w:t xml:space="preserve">A República que Villares pinta para Paris é a República que o Brasil</w:t>
      </w:r>
      <w:r>
        <w:rPr>
          <w:lang w:val="pt-BR"/>
        </w:rPr>
        <w:t xml:space="preserve"> </w:t>
      </w:r>
      <w:r>
        <w:rPr>
          <w:i/>
          <w:iCs/>
          <w:lang w:val="pt-BR"/>
        </w:rPr>
        <w:t xml:space="preserve">desejava ser</w:t>
      </w:r>
      <w:r>
        <w:rPr>
          <w:lang w:val="pt-BR"/>
        </w:rPr>
        <w:t xml:space="preserve">: branca, europeia, clássica. O corpo está inteiramente vestido — túnica branca coroando corpo que não se vê. A vestimenta arquitetura, não esconde. O ombro direito, o véu que cai do busto, a mão que segura o livro: tudo remete a uma única operação formal, a Purificação Clássica. O que se purifica aqui é o</w:t>
      </w:r>
      <w:r>
        <w:rPr>
          <w:lang w:val="pt-BR"/>
        </w:rPr>
        <w:t xml:space="preserve"> </w:t>
      </w:r>
      <w:r>
        <w:rPr>
          <w:i/>
          <w:iCs/>
          <w:lang w:val="pt-BR"/>
        </w:rPr>
        <w:t xml:space="preserve">não-branco</w:t>
      </w:r>
      <w:r>
        <w:rPr>
          <w:lang w:val="pt-BR"/>
        </w:rPr>
        <w:t xml:space="preserve">. O Brasil que emerge da escravidão, 60% negro e mestiço [VERIFICAR: percentual demográfico sem fonte — citar censo de 1872/1890], é representado por um corpo que não poderia habitá-lo. A alegoria funciona como promessa de futuro na medida em que nega o presente.</w:t>
      </w:r>
    </w:p>
    <w:p>
      <w:pPr>
        <w:pStyle w:val="BlockText"/>
      </w:pPr>
      <w:r>
        <w:rPr>
          <w:lang w:val="pt-BR"/>
        </w:rPr>
        <w:t xml:space="preserve">Endurecimento: desincorporação 3 · rigidez 3 · uniformização facial 3 · monocromatização 3 · inscrição estatal 0. O baixo score de inscrição é sintomático: o corpo ainda resiste à fixação estatal. Ainda há, na tela, um excesso de técnica pictórica que a moeda posterior eliminará.</w:t>
      </w:r>
    </w:p>
    <w:bookmarkEnd w:id="139"/>
    <w:bookmarkStart w:id="140" w:name="b-centro-o-zwischenraum-como-operação"/>
    <w:p>
      <w:pPr>
        <w:pStyle w:val="Heading4"/>
      </w:pPr>
      <w:r>
        <w:rPr>
          <w:rStyle w:val="SectionNumber"/>
          <w:lang w:val="pt-BR"/>
        </w:rPr>
        <w:t xml:space="preserve">10.3.1.2</w:t>
      </w:r>
      <w:r>
        <w:tab/>
      </w:r>
      <w:r>
        <w:rPr>
          <w:lang w:val="pt-BR"/>
        </w:rPr>
        <w:t xml:space="preserve">[B] Centro — O Zwischenraum como operação</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(250 palavras):</w:t>
      </w:r>
    </w:p>
    <w:p>
      <w:pPr>
        <w:pStyle w:val="BlockText"/>
      </w:pPr>
      <w:r>
        <w:rPr>
          <w:lang w:val="pt-BR"/>
        </w:rPr>
        <w:t xml:space="preserve">O espaço entre Villares e Roty é onde o Contrato Racial Visual opera como</w:t>
      </w:r>
      <w:r>
        <w:rPr>
          <w:lang w:val="pt-BR"/>
        </w:rPr>
        <w:t xml:space="preserve"> </w:t>
      </w:r>
      <w:r>
        <w:rPr>
          <w:i/>
          <w:iCs/>
          <w:lang w:val="pt-BR"/>
        </w:rPr>
        <w:t xml:space="preserve">negociação invisível</w:t>
      </w:r>
      <w:r>
        <w:rPr>
          <w:lang w:val="pt-BR"/>
        </w:rPr>
        <w:t xml:space="preserve">. O corpo que atravessa esse espaço chega como</w:t>
      </w:r>
      <w:r>
        <w:rPr>
          <w:lang w:val="pt-BR"/>
        </w:rPr>
        <w:t xml:space="preserve"> </w:t>
      </w:r>
      <w:r>
        <w:rPr>
          <w:i/>
          <w:iCs/>
          <w:lang w:val="pt-BR"/>
        </w:rPr>
        <w:t xml:space="preserve">abstração branca</w:t>
      </w:r>
      <w:r>
        <w:rPr>
          <w:lang w:val="pt-BR"/>
        </w:rPr>
        <w:t xml:space="preserve"> </w:t>
      </w:r>
      <w:r>
        <w:rPr>
          <w:lang w:val="pt-BR"/>
        </w:rPr>
        <w:t xml:space="preserve">— perfil e foice, não túnica e livro. A Semeuse de Roty não tem seio porque não precisa: ela é</w:t>
      </w:r>
      <w:r>
        <w:rPr>
          <w:lang w:val="pt-BR"/>
        </w:rPr>
        <w:t xml:space="preserve"> </w:t>
      </w:r>
      <w:r>
        <w:rPr>
          <w:i/>
          <w:iCs/>
          <w:lang w:val="pt-BR"/>
        </w:rPr>
        <w:t xml:space="preserve">máquina de semear</w:t>
      </w:r>
      <w:r>
        <w:rPr>
          <w:lang w:val="pt-BR"/>
        </w:rPr>
        <w:t xml:space="preserve"> </w:t>
      </w:r>
      <w:r>
        <w:rPr>
          <w:lang w:val="pt-BR"/>
        </w:rPr>
        <w:t xml:space="preserve">— o gesto mecânico da função estatal. A branquitude, aqui, é</w:t>
      </w:r>
      <w:r>
        <w:rPr>
          <w:lang w:val="pt-BR"/>
        </w:rPr>
        <w:t xml:space="preserve"> </w:t>
      </w:r>
      <w:r>
        <w:rPr>
          <w:i/>
          <w:iCs/>
          <w:lang w:val="pt-BR"/>
        </w:rPr>
        <w:t xml:space="preserve">condição de desaparição</w:t>
      </w:r>
      <w:r>
        <w:rPr>
          <w:lang w:val="pt-BR"/>
        </w:rPr>
        <w:t xml:space="preserve"> </w:t>
      </w:r>
      <w:r>
        <w:rPr>
          <w:lang w:val="pt-BR"/>
        </w:rPr>
        <w:t xml:space="preserve">do corpo. O corpo branco é o único que pode desaparecer em função sem deixar de ser legível. O corpo negro, o corpo pardo, o corpo indígena são sempre visíveis como particulares. O Contrato Racial Visual diz: só o corpo que já é abstrato pode tornar-se função. E só o corpo branco é, no vocabulário visual do século XIX, abstrato o suficiente.</w:t>
      </w:r>
    </w:p>
    <w:bookmarkEnd w:id="140"/>
    <w:bookmarkStart w:id="141" w:name="c-polo-direito-o-corpo-normativo"/>
    <w:p>
      <w:pPr>
        <w:pStyle w:val="Heading4"/>
      </w:pPr>
      <w:r>
        <w:rPr>
          <w:rStyle w:val="SectionNumber"/>
          <w:lang w:val="pt-BR"/>
        </w:rPr>
        <w:t xml:space="preserve">10.3.1.3</w:t>
      </w:r>
      <w:r>
        <w:tab/>
      </w:r>
      <w:r>
        <w:rPr>
          <w:lang w:val="pt-BR"/>
        </w:rPr>
        <w:t xml:space="preserve">[C] Polo direito — O corpo normativo</w:t>
      </w:r>
    </w:p>
    <w:p>
      <w:pPr>
        <w:pStyle w:val="FirstParagraph"/>
      </w:pPr>
      <w:r>
        <w:rPr>
          <w:b/>
          <w:bCs/>
          <w:lang w:val="pt-BR"/>
        </w:rPr>
        <w:t xml:space="preserve">Imagem:</w:t>
      </w:r>
      <w:r>
        <w:rPr>
          <w:lang w:val="pt-BR"/>
        </w:rPr>
        <w:t xml:space="preserve"> </w:t>
      </w:r>
      <w:r>
        <w:rPr>
          <w:lang w:val="pt-BR"/>
        </w:rPr>
        <w:t xml:space="preserve">Louis-Oscar Roty,</w:t>
      </w:r>
      <w:r>
        <w:rPr>
          <w:lang w:val="pt-BR"/>
        </w:rPr>
        <w:t xml:space="preserve"> </w:t>
      </w:r>
      <w:r>
        <w:rPr>
          <w:i/>
          <w:iCs/>
          <w:lang w:val="pt-BR"/>
        </w:rPr>
        <w:t xml:space="preserve">La Semeuse</w:t>
      </w:r>
      <w:r>
        <w:rPr>
          <w:lang w:val="pt-BR"/>
        </w:rPr>
        <w:t xml:space="preserve">, 1897. Moeda de 1 franc (FR-038, enriquecido pela ficha LPAI com URL). Objeto distinto do</w:t>
      </w:r>
      <w:r>
        <w:rPr>
          <w:lang w:val="pt-BR"/>
        </w:rPr>
        <w:t xml:space="preserve"> </w:t>
      </w:r>
      <w:r>
        <w:rPr>
          <w:i/>
          <w:iCs/>
          <w:lang w:val="pt-BR"/>
        </w:rPr>
        <w:t xml:space="preserve">selo definitivo</w:t>
      </w:r>
      <w:r>
        <w:rPr>
          <w:lang w:val="pt-BR"/>
        </w:rPr>
        <w:t xml:space="preserve"> </w:t>
      </w:r>
      <w:r>
        <w:rPr>
          <w:lang w:val="pt-BR"/>
        </w:rPr>
        <w:t xml:space="preserve">de 1903 (item</w:t>
      </w:r>
      <w:r>
        <w:rPr>
          <w:lang w:val="pt-BR"/>
        </w:rPr>
        <w:t xml:space="preserve"> </w:t>
      </w:r>
      <w:r>
        <w:rPr>
          <w:rStyle w:val="VerbatimChar"/>
          <w:lang w:val="pt-BR"/>
        </w:rPr>
        <w:t xml:space="preserve">4e0ca57a</w:t>
      </w:r>
      <w:r>
        <w:rPr>
          <w:lang w:val="pt-BR"/>
        </w:rPr>
        <w:t xml:space="preserve">, composto 1,7), discutido em 7.1.</w:t>
      </w:r>
    </w:p>
    <w:p>
      <w:pPr>
        <w:pStyle w:val="BodyText"/>
      </w:pPr>
      <w:r>
        <w:rPr>
          <w:b/>
          <w:bCs/>
          <w:lang w:val="pt-BR"/>
        </w:rPr>
        <w:t xml:space="preserve">Texto de painel (250 palavras):</w:t>
      </w:r>
    </w:p>
    <w:p>
      <w:pPr>
        <w:pStyle w:val="BlockText"/>
      </w:pPr>
      <w:r>
        <w:rPr>
          <w:lang w:val="pt-BR"/>
        </w:rPr>
        <w:t xml:space="preserve">A Semeuse de Roty é a realização do Contrato Racial Visual como contrato</w:t>
      </w:r>
      <w:r>
        <w:rPr>
          <w:lang w:val="pt-BR"/>
        </w:rPr>
        <w:t xml:space="preserve"> </w:t>
      </w:r>
      <w:r>
        <w:rPr>
          <w:i/>
          <w:iCs/>
          <w:lang w:val="pt-BR"/>
        </w:rPr>
        <w:t xml:space="preserve">cumprido</w:t>
      </w:r>
      <w:r>
        <w:rPr>
          <w:lang w:val="pt-BR"/>
        </w:rPr>
        <w:t xml:space="preserve">. O corpo é perfil — não rosto, mas perfil. A fisionomia desapareceu; resta a</w:t>
      </w:r>
      <w:r>
        <w:rPr>
          <w:lang w:val="pt-BR"/>
        </w:rPr>
        <w:t xml:space="preserve"> </w:t>
      </w:r>
      <w:r>
        <w:rPr>
          <w:i/>
          <w:iCs/>
          <w:lang w:val="pt-BR"/>
        </w:rPr>
        <w:t xml:space="preserve">forma do gesto</w:t>
      </w:r>
      <w:r>
        <w:rPr>
          <w:lang w:val="pt-BR"/>
        </w:rPr>
        <w:t xml:space="preserve">. A foice que semeia é atributo da</w:t>
      </w:r>
      <w:r>
        <w:rPr>
          <w:lang w:val="pt-BR"/>
        </w:rPr>
        <w:t xml:space="preserve"> </w:t>
      </w:r>
      <w:r>
        <w:rPr>
          <w:i/>
          <w:iCs/>
          <w:lang w:val="pt-BR"/>
        </w:rPr>
        <w:t xml:space="preserve">continuidade estatal</w:t>
      </w:r>
      <w:r>
        <w:rPr>
          <w:lang w:val="pt-BR"/>
        </w:rPr>
        <w:t xml:space="preserve">: o Estado que semeia a si mesmo, perpetuamente. A cor da pele é o branco do metal, não da carne. A monocromatização atinge seu extremo: há apenas</w:t>
      </w:r>
      <w:r>
        <w:rPr>
          <w:lang w:val="pt-BR"/>
        </w:rPr>
        <w:t xml:space="preserve"> </w:t>
      </w:r>
      <w:r>
        <w:rPr>
          <w:i/>
          <w:iCs/>
          <w:lang w:val="pt-BR"/>
        </w:rPr>
        <w:t xml:space="preserve">cromia do Estado</w:t>
      </w:r>
      <w:r>
        <w:rPr>
          <w:lang w:val="pt-BR"/>
        </w:rPr>
        <w:t xml:space="preserve">. Endurecimento composto 2,5 no registro codificado (antes da codificação, estimava-se 2,7), regime normativo (com trajetória de transição para o militar; ver Painel IV). A Semeuse sobrevive porque cruzou o limiar de dessexualização — o corpo que deixa de ser desejável para tornar-se funcional.</w:t>
      </w:r>
    </w:p>
    <w:p>
      <w:pPr>
        <w:pStyle w:val="BlockText"/>
      </w:pPr>
      <w:r>
        <w:rPr>
          <w:lang w:val="pt-BR"/>
        </w:rPr>
        <w:t xml:space="preserve">A série de quatro fotografias do</w:t>
      </w:r>
      <w:r>
        <w:rPr>
          <w:lang w:val="pt-BR"/>
        </w:rPr>
        <w:t xml:space="preserve"> </w:t>
      </w:r>
      <w:r>
        <w:rPr>
          <w:i/>
          <w:iCs/>
          <w:lang w:val="pt-BR"/>
        </w:rPr>
        <w:t xml:space="preserve">Buste de la République</w:t>
      </w:r>
      <w:r>
        <w:rPr>
          <w:lang w:val="pt-BR"/>
        </w:rPr>
        <w:t xml:space="preserve"> </w:t>
      </w:r>
      <w:r>
        <w:rPr>
          <w:lang w:val="pt-BR"/>
        </w:rPr>
        <w:t xml:space="preserve">(Agence Rol, enriquecendo FR-009) mostra o mesmo corpo</w:t>
      </w:r>
      <w:r>
        <w:rPr>
          <w:lang w:val="pt-BR"/>
        </w:rPr>
        <w:t xml:space="preserve"> </w:t>
      </w:r>
      <w:r>
        <w:rPr>
          <w:i/>
          <w:iCs/>
          <w:lang w:val="pt-BR"/>
        </w:rPr>
        <w:t xml:space="preserve">antes</w:t>
      </w:r>
      <w:r>
        <w:rPr>
          <w:lang w:val="pt-BR"/>
        </w:rPr>
        <w:t xml:space="preserve"> </w:t>
      </w:r>
      <w:r>
        <w:rPr>
          <w:lang w:val="pt-BR"/>
        </w:rPr>
        <w:t xml:space="preserve">dessa transição: há volume, sombra, a possibilidade de desejo. A moeda extingue essa possibilidade. O Zwischenraum entre busto fotográfico e moeda perfilada é o lugar onde o desejo morre e a função nasce.</w:t>
      </w:r>
    </w:p>
    <w:bookmarkEnd w:id="141"/>
    <w:bookmarkEnd w:id="142"/>
    <w:bookmarkStart w:id="143" w:name="contraponto-inferior-imagem-4-opcional"/>
    <w:p>
      <w:pPr>
        <w:pStyle w:val="Heading3"/>
      </w:pPr>
      <w:r>
        <w:rPr>
          <w:rStyle w:val="SectionNumber"/>
          <w:lang w:val="pt-BR"/>
        </w:rPr>
        <w:t xml:space="preserve">10.3.2</w:t>
      </w:r>
      <w:r>
        <w:tab/>
      </w:r>
      <w:r>
        <w:rPr>
          <w:lang w:val="pt-BR"/>
        </w:rPr>
        <w:t xml:space="preserve">9.3.2 — Contraponto inferior (imagem 4, opcional)</w:t>
      </w:r>
    </w:p>
    <w:p>
      <w:pPr>
        <w:pStyle w:val="FirstParagraph"/>
      </w:pPr>
      <w:r>
        <w:rPr>
          <w:b/>
          <w:bCs/>
          <w:lang w:val="pt-BR"/>
        </w:rPr>
        <w:t xml:space="preserve">Imagem:</w:t>
      </w:r>
      <w:r>
        <w:rPr>
          <w:lang w:val="pt-BR"/>
        </w:rPr>
        <w:t xml:space="preserve"> </w:t>
      </w:r>
      <w:r>
        <w:rPr>
          <w:lang w:val="pt-BR"/>
        </w:rPr>
        <w:t xml:space="preserve">Moitte/Janinet,</w:t>
      </w:r>
      <w:r>
        <w:rPr>
          <w:lang w:val="pt-BR"/>
        </w:rPr>
        <w:t xml:space="preserve"> </w:t>
      </w:r>
      <w:r>
        <w:rPr>
          <w:i/>
          <w:iCs/>
          <w:lang w:val="pt-BR"/>
        </w:rPr>
        <w:t xml:space="preserve">Liberté</w:t>
      </w:r>
      <w:r>
        <w:rPr>
          <w:lang w:val="pt-BR"/>
        </w:rPr>
        <w:t xml:space="preserve"> </w:t>
      </w:r>
      <w:r>
        <w:rPr>
          <w:lang w:val="pt-BR"/>
        </w:rPr>
        <w:t xml:space="preserve">(FR-SCOUT-006, enriquecido). Gravura em cores, [data].</w:t>
      </w:r>
    </w:p>
    <w:p>
      <w:pPr>
        <w:pStyle w:val="BodyText"/>
      </w:pPr>
      <w:r>
        <w:rPr>
          <w:b/>
          <w:bCs/>
          <w:lang w:val="pt-BR"/>
        </w:rPr>
        <w:t xml:space="preserve">Função:</w:t>
      </w:r>
      <w:r>
        <w:rPr>
          <w:lang w:val="pt-BR"/>
        </w:rPr>
        <w:t xml:space="preserve"> </w:t>
      </w:r>
      <w:r>
        <w:rPr>
          <w:lang w:val="pt-BR"/>
        </w:rPr>
        <w:t xml:space="preserve">Mostrar uma</w:t>
      </w:r>
      <w:r>
        <w:rPr>
          <w:lang w:val="pt-BR"/>
        </w:rPr>
        <w:t xml:space="preserve"> </w:t>
      </w:r>
      <w:r>
        <w:rPr>
          <w:i/>
          <w:iCs/>
          <w:lang w:val="pt-BR"/>
        </w:rPr>
        <w:t xml:space="preserve">falha</w:t>
      </w:r>
      <w:r>
        <w:rPr>
          <w:lang w:val="pt-BR"/>
        </w:rPr>
        <w:t xml:space="preserve"> </w:t>
      </w:r>
      <w:r>
        <w:rPr>
          <w:lang w:val="pt-BR"/>
        </w:rPr>
        <w:t xml:space="preserve">do Contrato Racial Visual. A</w:t>
      </w:r>
      <w:r>
        <w:rPr>
          <w:lang w:val="pt-BR"/>
        </w:rPr>
        <w:t xml:space="preserve"> </w:t>
      </w:r>
      <w:r>
        <w:rPr>
          <w:i/>
          <w:iCs/>
          <w:lang w:val="pt-BR"/>
        </w:rPr>
        <w:t xml:space="preserve">Liberté</w:t>
      </w:r>
      <w:r>
        <w:rPr>
          <w:lang w:val="pt-BR"/>
        </w:rPr>
        <w:t xml:space="preserve"> </w:t>
      </w:r>
      <w:r>
        <w:rPr>
          <w:lang w:val="pt-BR"/>
        </w:rPr>
        <w:t xml:space="preserve">de Moitte/Janinet mantém cromia (vermelho, azul, branco — e o branco é da bandeira, não da pele). O rosto é individualizado, com traços que lembram um retrato. Isso representa uma resistência à Purificação Clássica — um corpo que</w:t>
      </w:r>
      <w:r>
        <w:rPr>
          <w:lang w:val="pt-BR"/>
        </w:rPr>
        <w:t xml:space="preserve"> </w:t>
      </w:r>
      <w:r>
        <w:rPr>
          <w:i/>
          <w:iCs/>
          <w:lang w:val="pt-BR"/>
        </w:rPr>
        <w:t xml:space="preserve">não</w:t>
      </w:r>
      <w:r>
        <w:rPr>
          <w:lang w:val="pt-BR"/>
        </w:rPr>
        <w:t xml:space="preserve"> </w:t>
      </w:r>
      <w:r>
        <w:rPr>
          <w:lang w:val="pt-BR"/>
        </w:rPr>
        <w:t xml:space="preserve">se deixou abstrair completamente. Funciona como contra-alegoria dentro do próprio painel.</w:t>
      </w:r>
    </w:p>
    <w:bookmarkEnd w:id="143"/>
    <w:bookmarkStart w:id="144" w:name="síntese-do-painel-2"/>
    <w:p>
      <w:pPr>
        <w:pStyle w:val="Heading3"/>
      </w:pPr>
      <w:r>
        <w:rPr>
          <w:rStyle w:val="SectionNumber"/>
          <w:lang w:val="pt-BR"/>
        </w:rPr>
        <w:t xml:space="preserve">10.3.3</w:t>
      </w:r>
      <w:r>
        <w:tab/>
      </w:r>
      <w:r>
        <w:rPr>
          <w:lang w:val="pt-BR"/>
        </w:rPr>
        <w:t xml:space="preserve">9.3.3 — Síntese do painel</w:t>
      </w:r>
    </w:p>
    <w:p>
      <w:pPr>
        <w:pStyle w:val="BlockText"/>
      </w:pPr>
      <w:r>
        <w:rPr>
          <w:lang w:val="pt-BR"/>
        </w:rPr>
        <w:t xml:space="preserve">Este painel propõe que a transição fundacional → normativo exige a renúncia do corpo à sua própria corporalidade. A branquitude é</w:t>
      </w:r>
      <w:r>
        <w:rPr>
          <w:lang w:val="pt-BR"/>
        </w:rPr>
        <w:t xml:space="preserve"> </w:t>
      </w:r>
      <w:r>
        <w:rPr>
          <w:i/>
          <w:iCs/>
          <w:lang w:val="pt-BR"/>
        </w:rPr>
        <w:t xml:space="preserve">resultado</w:t>
      </w:r>
      <w:r>
        <w:rPr>
          <w:lang w:val="pt-BR"/>
        </w:rPr>
        <w:t xml:space="preserve">, não premissa — o resíduo que sobra quando todo o resto foi purificado. O Contrato Racial Visual é o contrato não-assinado sobre o qual a República é fundada: não há assinatura porque não há sujeito — há apenas corpo, e o corpo que pode</w:t>
      </w:r>
      <w:r>
        <w:rPr>
          <w:lang w:val="pt-BR"/>
        </w:rPr>
        <w:t xml:space="preserve"> </w:t>
      </w:r>
      <w:r>
        <w:rPr>
          <w:i/>
          <w:iCs/>
          <w:lang w:val="pt-BR"/>
        </w:rPr>
        <w:t xml:space="preserve">desaparecer</w:t>
      </w:r>
      <w:r>
        <w:rPr>
          <w:lang w:val="pt-BR"/>
        </w:rPr>
        <w:t xml:space="preserve"> </w:t>
      </w:r>
      <w:r>
        <w:rPr>
          <w:lang w:val="pt-BR"/>
        </w:rPr>
        <w:t xml:space="preserve">em função é sempre o corpo que já era, visualmente, abstrato. O Zwischenraum é onde essa desaparição se realiza.</w:t>
      </w:r>
    </w:p>
    <w:bookmarkEnd w:id="144"/>
    <w:bookmarkStart w:id="145" w:name="itens-corpus-identificados-2"/>
    <w:p>
      <w:pPr>
        <w:pStyle w:val="Heading3"/>
      </w:pPr>
      <w:r>
        <w:rPr>
          <w:rStyle w:val="SectionNumber"/>
          <w:lang w:val="pt-BR"/>
        </w:rPr>
        <w:t xml:space="preserve">10.3.4</w:t>
      </w:r>
      <w:r>
        <w:tab/>
      </w:r>
      <w:r>
        <w:rPr>
          <w:lang w:val="pt-BR"/>
        </w:rPr>
        <w:t xml:space="preserve">9.3.4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lang w:val="pt-BR"/>
              </w:rPr>
              <w:t xml:space="preserve">Villares,</w:t>
            </w:r>
            <w:r>
              <w:rPr>
                <w:lang w:val="pt-BR"/>
              </w:rPr>
              <w:t xml:space="preserve"> </w:t>
            </w:r>
            <w:r>
              <w:rPr>
                <w:i/>
                <w:iCs/>
                <w:lang w:val="pt-BR"/>
              </w:rPr>
              <w:t xml:space="preserve">Alegoria da República</w:t>
            </w:r>
          </w:p>
        </w:tc>
        <w:tc>
          <w:tcPr/>
          <w:p>
            <w:pPr>
              <w:pStyle w:val="Compact"/>
            </w:pPr>
            <w:r>
              <w:rPr>
                <w:lang w:val="pt-BR"/>
              </w:rPr>
              <w:t xml:space="preserve">BR-005</w:t>
            </w:r>
          </w:p>
        </w:tc>
        <w:tc>
          <w:tcPr/>
          <w:p>
            <w:pPr>
              <w:pStyle w:val="Compact"/>
            </w:pPr>
            <w:r>
              <w:rPr>
                <w:lang w:val="pt-BR"/>
              </w:rPr>
              <w:t xml:space="preserve">fundacional</w:t>
            </w:r>
          </w:p>
        </w:tc>
        <w:tc>
          <w:tcPr/>
          <w:p>
            <w:pPr>
              <w:pStyle w:val="Compact"/>
            </w:pPr>
            <w:r>
              <w:rPr>
                <w:lang w:val="pt-BR"/>
              </w:rPr>
              <w:t xml:space="preserve">2,4 (estimado; ledger: 1,0 — VERIFICAR divergência)</w:t>
            </w:r>
          </w:p>
        </w:tc>
        <w:tc>
          <w:tcPr/>
          <w:p>
            <w:pPr>
              <w:pStyle w:val="Compact"/>
            </w:pPr>
            <w:r>
              <w:rPr>
                <w:lang w:val="pt-BR"/>
              </w:rPr>
              <w:t xml:space="preserve">Polo esquerdo: corpo vivo que resiste</w:t>
            </w:r>
          </w:p>
        </w:tc>
      </w:tr>
      <w:tr>
        <w:tc>
          <w:tcPr/>
          <w:p>
            <w:pPr>
              <w:pStyle w:val="Compact"/>
            </w:pPr>
            <w:r>
              <w:rPr>
                <w:lang w:val="pt-BR"/>
              </w:rPr>
              <w:t xml:space="preserve">Rops,</w:t>
            </w:r>
            <w:r>
              <w:rPr>
                <w:lang w:val="pt-BR"/>
              </w:rPr>
              <w:t xml:space="preserve"> </w:t>
            </w:r>
            <w:r>
              <w:rPr>
                <w:i/>
                <w:iCs/>
                <w:lang w:val="pt-BR"/>
              </w:rPr>
              <w:t xml:space="preserve">La République aimable</w:t>
            </w:r>
          </w:p>
        </w:tc>
        <w:tc>
          <w:tcPr/>
          <w:p>
            <w:pPr>
              <w:pStyle w:val="Compact"/>
            </w:pPr>
            <w:r>
              <w:rPr>
                <w:lang w:val="pt-BR"/>
              </w:rPr>
              <w:t xml:space="preserve">FR-005</w:t>
            </w:r>
          </w:p>
        </w:tc>
        <w:tc>
          <w:tcPr/>
          <w:p>
            <w:pPr>
              <w:pStyle w:val="Compact"/>
            </w:pPr>
            <w:r>
              <w:rPr>
                <w:lang w:val="pt-BR"/>
              </w:rPr>
              <w:t xml:space="preserve">fundacional</w:t>
            </w:r>
          </w:p>
        </w:tc>
        <w:tc>
          <w:tcPr/>
          <w:p>
            <w:pPr>
              <w:pStyle w:val="Compact"/>
            </w:pPr>
            <w:r>
              <w:rPr>
                <w:lang w:val="pt-BR"/>
              </w:rPr>
              <w:t xml:space="preserve">1,9 (estimado; ledger: 0,5, normativo — VERIFICAR)</w:t>
            </w:r>
          </w:p>
        </w:tc>
        <w:tc>
          <w:tcPr/>
          <w:p>
            <w:pPr>
              <w:pStyle w:val="Compact"/>
            </w:pPr>
            <w:r>
              <w:rPr>
                <w:lang w:val="pt-BR"/>
              </w:rPr>
              <w:t xml:space="preserve">Referência implícita: europeu, menos purificado</w:t>
            </w:r>
          </w:p>
        </w:tc>
      </w:tr>
      <w:tr>
        <w:tc>
          <w:tcPr/>
          <w:p>
            <w:pPr>
              <w:pStyle w:val="Compact"/>
            </w:pPr>
            <w:r>
              <w:rPr>
                <w:lang w:val="pt-BR"/>
              </w:rPr>
              <w:t xml:space="preserve">Roty,</w:t>
            </w:r>
            <w:r>
              <w:rPr>
                <w:lang w:val="pt-BR"/>
              </w:rPr>
              <w:t xml:space="preserve"> </w:t>
            </w:r>
            <w:r>
              <w:rPr>
                <w:i/>
                <w:iCs/>
                <w:lang w:val="pt-BR"/>
              </w:rPr>
              <w:t xml:space="preserve">La Semeuse</w:t>
            </w:r>
          </w:p>
        </w:tc>
        <w:tc>
          <w:tcPr/>
          <w:p>
            <w:pPr>
              <w:pStyle w:val="Compact"/>
            </w:pPr>
            <w:r>
              <w:rPr>
                <w:lang w:val="pt-BR"/>
              </w:rPr>
              <w:t xml:space="preserve">FR-SEM-1898</w:t>
            </w:r>
          </w:p>
        </w:tc>
        <w:tc>
          <w:tcPr/>
          <w:p>
            <w:pPr>
              <w:pStyle w:val="Compact"/>
            </w:pPr>
            <w:r>
              <w:rPr>
                <w:lang w:val="pt-BR"/>
              </w:rPr>
              <w:t xml:space="preserve">normativo (traj. → militar)</w:t>
            </w:r>
          </w:p>
        </w:tc>
        <w:tc>
          <w:tcPr/>
          <w:p>
            <w:pPr>
              <w:pStyle w:val="Compact"/>
            </w:pPr>
            <w:r>
              <w:rPr>
                <w:lang w:val="pt-BR"/>
              </w:rPr>
              <w:t xml:space="preserve">2,5 (codificado; era 2,7 estimado)</w:t>
            </w:r>
          </w:p>
        </w:tc>
        <w:tc>
          <w:tcPr/>
          <w:p>
            <w:pPr>
              <w:pStyle w:val="Compact"/>
            </w:pPr>
            <w:r>
              <w:rPr>
                <w:lang w:val="pt-BR"/>
              </w:rPr>
              <w:t xml:space="preserve">Polo direito: corpo máquina</w:t>
            </w:r>
          </w:p>
        </w:tc>
      </w:tr>
      <w:tr>
        <w:tc>
          <w:tcPr/>
          <w:p>
            <w:pPr>
              <w:pStyle w:val="Compact"/>
            </w:pPr>
            <w:r>
              <w:rPr>
                <w:lang w:val="pt-BR"/>
              </w:rPr>
              <w:t xml:space="preserve">Moitte/Janinet,</w:t>
            </w:r>
            <w:r>
              <w:rPr>
                <w:lang w:val="pt-BR"/>
              </w:rPr>
              <w:t xml:space="preserve"> </w:t>
            </w:r>
            <w:r>
              <w:rPr>
                <w:i/>
                <w:iCs/>
                <w:lang w:val="pt-BR"/>
              </w:rPr>
              <w:t xml:space="preserve">Liberté</w:t>
            </w:r>
          </w:p>
        </w:tc>
        <w:tc>
          <w:tcPr/>
          <w:p>
            <w:pPr>
              <w:pStyle w:val="Compact"/>
            </w:pPr>
            <w:r>
              <w:rPr>
                <w:lang w:val="pt-BR"/>
              </w:rPr>
              <w:t xml:space="preserve">FR-038</w:t>
            </w:r>
          </w:p>
        </w:tc>
        <w:tc>
          <w:tcPr/>
          <w:p>
            <w:pPr>
              <w:pStyle w:val="Compact"/>
            </w:pPr>
            <w:r>
              <w:rPr>
                <w:lang w:val="pt-BR"/>
              </w:rPr>
              <w:t xml:space="preserve">contra-alegoria? [VERIFICAR regime no ledger]</w:t>
            </w:r>
          </w:p>
        </w:tc>
        <w:tc>
          <w:tcPr/>
          <w:p>
            <w:pPr>
              <w:pStyle w:val="Compact"/>
            </w:pPr>
            <w:r>
              <w:rPr>
                <w:lang w:val="pt-BR"/>
              </w:rPr>
              <w:t xml:space="preserve">1,5 (estimado; ledger: 1,2)</w:t>
            </w:r>
          </w:p>
        </w:tc>
        <w:tc>
          <w:tcPr/>
          <w:p>
            <w:pPr>
              <w:pStyle w:val="Compact"/>
            </w:pPr>
            <w:r>
              <w:rPr>
                <w:lang w:val="pt-BR"/>
              </w:rPr>
              <w:t xml:space="preserve">Contraponto: resistência à abstração</w:t>
            </w:r>
          </w:p>
        </w:tc>
      </w:tr>
    </w:tbl>
    <w:p>
      <w:r>
        <w:pict>
          <v:rect style="width:0;height:1.5pt" o:hralign="center" o:hrstd="t" o:hr="t"/>
        </w:pict>
      </w:r>
    </w:p>
    <w:bookmarkEnd w:id="145"/>
    <w:bookmarkEnd w:id="146"/>
    <w:bookmarkStart w:id="154" w:name="X26c5a48516e98d0a4d788edd49060460bb09fd1"/>
    <w:p>
      <w:pPr>
        <w:pStyle w:val="Heading2"/>
      </w:pPr>
      <w:r>
        <w:rPr>
          <w:rStyle w:val="SectionNumber"/>
          <w:lang w:val="pt-BR"/>
        </w:rPr>
        <w:t xml:space="preserve">10.4</w:t>
      </w:r>
      <w:r>
        <w:tab/>
      </w:r>
      <w:r>
        <w:rPr>
          <w:lang w:val="pt-BR"/>
        </w:rPr>
        <w:t xml:space="preserve">9.4 — Painel IV: endurecimento — O Limiar da Dessexualização e a Falha Americana</w:t>
      </w:r>
    </w:p>
    <w:p>
      <w:pPr>
        <w:pStyle w:val="BlockText"/>
      </w:pPr>
      <w:r>
        <w:rPr>
          <w:b/>
          <w:bCs/>
          <w:lang w:val="pt-BR"/>
        </w:rPr>
        <w:t xml:space="preserve">Zwischenraum temático:</w:t>
      </w:r>
      <w:r>
        <w:rPr>
          <w:lang w:val="pt-BR"/>
        </w:rPr>
        <w:t xml:space="preserve"> </w:t>
      </w:r>
      <w:r>
        <w:rPr>
          <w:lang w:val="pt-BR"/>
        </w:rPr>
        <w:t xml:space="preserve">A transição do regime normativo ao militar na iconosfera estadunidense se quebra como</w:t>
      </w:r>
      <w:r>
        <w:rPr>
          <w:lang w:val="pt-BR"/>
        </w:rPr>
        <w:t xml:space="preserve"> </w:t>
      </w:r>
      <w:r>
        <w:rPr>
          <w:i/>
          <w:iCs/>
          <w:lang w:val="pt-BR"/>
        </w:rPr>
        <w:t xml:space="preserve">ruptura por recusa</w:t>
      </w:r>
      <w:r>
        <w:rPr>
          <w:lang w:val="pt-BR"/>
        </w:rPr>
        <w:t xml:space="preserve">. O corpo alegórico que a América tenta instituir — Columbia, personificação feminina do continente, da nação e da república — falha sistematicamente em atravessar o Zwischenraum que separa a Feminilidade de Estado da máquina de guerra. Onde a tradição francesa realiza a Purificação Clássica até seu termo operacional, convertendo a Semeuse em dispositivo fiscal autônomo, o sistema monetário norte-americano tropeça num limiar específico e talvez insuperável: o</w:t>
      </w:r>
      <w:r>
        <w:rPr>
          <w:lang w:val="pt-BR"/>
        </w:rPr>
        <w:t xml:space="preserve"> </w:t>
      </w:r>
      <w:r>
        <w:rPr>
          <w:i/>
          <w:iCs/>
          <w:lang w:val="pt-BR"/>
        </w:rPr>
        <w:t xml:space="preserve">limiar da dessexualização</w:t>
      </w:r>
      <w:r>
        <w:rPr>
          <w:lang w:val="pt-BR"/>
        </w:rPr>
        <w:t xml:space="preserve">. Refiro-me à sua</w:t>
      </w:r>
      <w:r>
        <w:rPr>
          <w:lang w:val="pt-BR"/>
        </w:rPr>
        <w:t xml:space="preserve"> </w:t>
      </w:r>
      <w:r>
        <w:rPr>
          <w:i/>
          <w:iCs/>
          <w:lang w:val="pt-BR"/>
        </w:rPr>
        <w:t xml:space="preserve">operação incompleta</w:t>
      </w:r>
      <w:r>
        <w:rPr>
          <w:lang w:val="pt-BR"/>
        </w:rPr>
        <w:t xml:space="preserve"> </w:t>
      </w:r>
      <w:r>
        <w:rPr>
          <w:lang w:val="pt-BR"/>
        </w:rPr>
        <w:t xml:space="preserve">— o corpo é despojado o suficiente para ser reconhecido como purificado, insuficientemente para deixar de ser desejável. É essa indecisão formal que mata a alegoria. Nesse Zwischenraum maldito — onde a personificação é simultaneamente viva e morta, feminina e funcional, pedagógica e erótica, desejável e proibida — o projeto americano de uma República incarada fracassa. O recalque vem de dentro: da incapacidade estrutural do Contrato Sexual Visual em comportar um corpo que recusa tanto a carne quanto a máquina. Este painel documenta essa falha em três momentos: o limiar inacabado (Seated Liberty, 1840), a catástrofe performativa (History Instructing Youth, 1896) e a morte programática (Columbia adormecida, Flagg, 1917), sempre em contraste com a travessia bem-sucedida operada pela via francesa.</w:t>
      </w:r>
    </w:p>
    <w:bookmarkStart w:id="151" w:name="layout-do-painel-4-imagens-3-textos"/>
    <w:p>
      <w:pPr>
        <w:pStyle w:val="Heading3"/>
      </w:pPr>
      <w:r>
        <w:rPr>
          <w:rStyle w:val="SectionNumber"/>
          <w:lang w:val="pt-BR"/>
        </w:rPr>
        <w:t xml:space="preserve">10.4.1</w:t>
      </w:r>
      <w:r>
        <w:tab/>
      </w:r>
      <w:r>
        <w:rPr>
          <w:lang w:val="pt-BR"/>
        </w:rPr>
        <w:t xml:space="preserve">9.4.1 — Layout do painel (4 imagens + 3 textos)</w:t>
      </w:r>
    </w:p>
    <w:bookmarkStart w:id="147" w:name="a-polo-esquerdo-o-limiar-inacabado"/>
    <w:p>
      <w:pPr>
        <w:pStyle w:val="Heading4"/>
      </w:pPr>
      <w:r>
        <w:rPr>
          <w:rStyle w:val="SectionNumber"/>
          <w:lang w:val="pt-BR"/>
        </w:rPr>
        <w:t xml:space="preserve">10.4.1.1</w:t>
      </w:r>
      <w:r>
        <w:tab/>
      </w:r>
      <w:r>
        <w:rPr>
          <w:lang w:val="pt-BR"/>
        </w:rPr>
        <w:t xml:space="preserve">[A] Polo esquerdo — O limiar inacabado</w:t>
      </w:r>
    </w:p>
    <w:p>
      <w:pPr>
        <w:pStyle w:val="FirstParagraph"/>
      </w:pPr>
      <w:r>
        <w:rPr>
          <w:b/>
          <w:bCs/>
          <w:lang w:val="pt-BR"/>
        </w:rPr>
        <w:t xml:space="preserve">Imagem:</w:t>
      </w:r>
      <w:r>
        <w:rPr>
          <w:lang w:val="pt-BR"/>
        </w:rPr>
        <w:t xml:space="preserve"> </w:t>
      </w:r>
      <w:r>
        <w:rPr>
          <w:lang w:val="pt-BR"/>
        </w:rPr>
        <w:t xml:space="preserve">Christian Gobrecht / Robert Ball Hughes,</w:t>
      </w:r>
      <w:r>
        <w:rPr>
          <w:lang w:val="pt-BR"/>
        </w:rPr>
        <w:t xml:space="preserve"> </w:t>
      </w:r>
      <w:r>
        <w:rPr>
          <w:i/>
          <w:iCs/>
          <w:lang w:val="pt-BR"/>
        </w:rPr>
        <w:t xml:space="preserve">Seated Liberty</w:t>
      </w:r>
      <w:r>
        <w:rPr>
          <w:lang w:val="pt-BR"/>
        </w:rPr>
        <w:t xml:space="preserve"> </w:t>
      </w:r>
      <w:r>
        <w:rPr>
          <w:lang w:val="pt-BR"/>
        </w:rPr>
        <w:t xml:space="preserve">(tipo</w:t>
      </w:r>
      <w:r>
        <w:rPr>
          <w:lang w:val="pt-BR"/>
        </w:rPr>
        <w:t xml:space="preserve"> </w:t>
      </w:r>
      <w:r>
        <w:rPr>
          <w:lang w:val="pt-BR"/>
        </w:rPr>
        <w:t xml:space="preserve">“No Motto”</w:t>
      </w:r>
      <w:r>
        <w:rPr>
          <w:lang w:val="pt-BR"/>
        </w:rPr>
        <w:t xml:space="preserve">, versão 1840–1866). Prata, múltiplas denominações. (US-SEATED-1840)</w:t>
      </w:r>
    </w:p>
    <w:p>
      <w:pPr>
        <w:pStyle w:val="BodyText"/>
      </w:pPr>
      <w:r>
        <w:rPr>
          <w:b/>
          <w:bCs/>
          <w:lang w:val="pt-BR"/>
        </w:rPr>
        <w:t xml:space="preserve">Texto de painel (500 palavras):</w:t>
      </w:r>
    </w:p>
    <w:p>
      <w:pPr>
        <w:pStyle w:val="BlockText"/>
      </w:pPr>
      <w:r>
        <w:rPr>
          <w:lang w:val="pt-BR"/>
        </w:rPr>
        <w:t xml:space="preserve">A</w:t>
      </w:r>
      <w:r>
        <w:rPr>
          <w:lang w:val="pt-BR"/>
        </w:rPr>
        <w:t xml:space="preserve"> </w:t>
      </w:r>
      <w:r>
        <w:rPr>
          <w:i/>
          <w:iCs/>
          <w:lang w:val="pt-BR"/>
        </w:rPr>
        <w:t xml:space="preserve">Seated Liberty</w:t>
      </w:r>
      <w:r>
        <w:rPr>
          <w:lang w:val="pt-BR"/>
        </w:rPr>
        <w:t xml:space="preserve"> </w:t>
      </w:r>
      <w:r>
        <w:rPr>
          <w:lang w:val="pt-BR"/>
        </w:rPr>
        <w:t xml:space="preserve">inaugurada em 1840 é uma</w:t>
      </w:r>
      <w:r>
        <w:rPr>
          <w:lang w:val="pt-BR"/>
        </w:rPr>
        <w:t xml:space="preserve"> </w:t>
      </w:r>
      <w:r>
        <w:rPr>
          <w:i/>
          <w:iCs/>
          <w:lang w:val="pt-BR"/>
        </w:rPr>
        <w:t xml:space="preserve">falha de consolidação</w:t>
      </w:r>
      <w:r>
        <w:rPr>
          <w:lang w:val="pt-BR"/>
        </w:rPr>
        <w:t xml:space="preserve"> </w:t>
      </w:r>
      <w:r>
        <w:rPr>
          <w:lang w:val="pt-BR"/>
        </w:rPr>
        <w:t xml:space="preserve">fossilizada no metal. Gobrecht e, posteriormente, Hughes constroem um corpo feminino que deveria operar segundo a Purificação Clássica: figura sentada, vestida em túnica neoclássica, escudo ao lado, capuz sobre a cabeça, tudo remetendo às filiadas romanas da república. Mas a operação permanece incompleta. O busto, ainda que moldado pela vestimenta, mantém volume; o rosto, embora perfilado, conserva traços individuais que resistem à abstração; e, sobretudo, a posição sentada — ao contrário da marcha da Semeuse — fixa o corpo num espaço de</w:t>
      </w:r>
      <w:r>
        <w:rPr>
          <w:lang w:val="pt-BR"/>
        </w:rPr>
        <w:t xml:space="preserve"> </w:t>
      </w:r>
      <w:r>
        <w:rPr>
          <w:i/>
          <w:iCs/>
          <w:lang w:val="pt-BR"/>
        </w:rPr>
        <w:t xml:space="preserve">recepção</w:t>
      </w:r>
      <w:r>
        <w:rPr>
          <w:lang w:val="pt-BR"/>
        </w:rPr>
        <w:t xml:space="preserve">, não de ação. A sentada é passiva, exposta à visão. Ela espera, não semeia. E na espera, o corpo permanece visível como corpo.</w:t>
      </w:r>
    </w:p>
    <w:p>
      <w:pPr>
        <w:pStyle w:val="BlockText"/>
      </w:pPr>
      <w:r>
        <w:rPr>
          <w:lang w:val="pt-BR"/>
        </w:rPr>
        <w:t xml:space="preserve">Falta à</w:t>
      </w:r>
      <w:r>
        <w:rPr>
          <w:lang w:val="pt-BR"/>
        </w:rPr>
        <w:t xml:space="preserve"> </w:t>
      </w:r>
      <w:r>
        <w:rPr>
          <w:i/>
          <w:iCs/>
          <w:lang w:val="pt-BR"/>
        </w:rPr>
        <w:t xml:space="preserve">Seated Liberty</w:t>
      </w:r>
      <w:r>
        <w:rPr>
          <w:lang w:val="pt-BR"/>
        </w:rPr>
        <w:t xml:space="preserve"> </w:t>
      </w:r>
      <w:r>
        <w:rPr>
          <w:lang w:val="pt-BR"/>
        </w:rPr>
        <w:t xml:space="preserve">o endurecimento suficiente para transmutar o corpo em função. O endurecimento composto estimado oscila entre 1,8 e 2,1: a desincorporação é parcial, a rigidez é geométrica sem ser protocolar, a uniformização facial falha porque os traços mantêm diferença. A monocromatização do metal auxilia sem resolver o problema operacional: o corpo continua a ser</w:t>
      </w:r>
      <w:r>
        <w:rPr>
          <w:lang w:val="pt-BR"/>
        </w:rPr>
        <w:t xml:space="preserve"> </w:t>
      </w:r>
      <w:r>
        <w:rPr>
          <w:i/>
          <w:iCs/>
          <w:lang w:val="pt-BR"/>
        </w:rPr>
        <w:t xml:space="preserve">lido como corpo</w:t>
      </w:r>
      <w:r>
        <w:rPr>
          <w:lang w:val="pt-BR"/>
        </w:rPr>
        <w:t xml:space="preserve">, e um corpo feminino lido como corpo numa moeda de circulação nacional ativa o Contrato Sexual Visual de maneira indesejável. O governo norte-americano, ao não conseguir levar a Purificação Clássica até seu termo, gera um</w:t>
      </w:r>
      <w:r>
        <w:rPr>
          <w:lang w:val="pt-BR"/>
        </w:rPr>
        <w:t xml:space="preserve"> </w:t>
      </w:r>
      <w:r>
        <w:rPr>
          <w:i/>
          <w:iCs/>
          <w:lang w:val="pt-BR"/>
        </w:rPr>
        <w:t xml:space="preserve">sem-alegoria</w:t>
      </w:r>
      <w:r>
        <w:rPr>
          <w:lang w:val="pt-BR"/>
        </w:rPr>
        <w:t xml:space="preserve">: demasiado abstrato para ser desejado, demasiado carnal para ser funcional. É esse Zwischenraum que a moeda habitada pelas</w:t>
      </w:r>
      <w:r>
        <w:rPr>
          <w:lang w:val="pt-BR"/>
        </w:rPr>
        <w:t xml:space="preserve"> </w:t>
      </w:r>
      <w:r>
        <w:rPr>
          <w:i/>
          <w:iCs/>
          <w:lang w:val="pt-BR"/>
        </w:rPr>
        <w:t xml:space="preserve">Seated Liberties</w:t>
      </w:r>
      <w:r>
        <w:rPr>
          <w:lang w:val="pt-BR"/>
        </w:rPr>
        <w:t xml:space="preserve"> </w:t>
      </w:r>
      <w:r>
        <w:rPr>
          <w:lang w:val="pt-BR"/>
        </w:rPr>
        <w:t xml:space="preserve">de 1840 a 1891 não consegue dissolver.</w:t>
      </w:r>
    </w:p>
    <w:p>
      <w:pPr>
        <w:pStyle w:val="BlockText"/>
      </w:pPr>
      <w:r>
        <w:rPr>
          <w:lang w:val="pt-BR"/>
        </w:rPr>
        <w:t xml:space="preserve">A consequência é histórica. Em vez de cruzar o limiar da dessexualização, o corpo de Columbia nas moedas se torna</w:t>
      </w:r>
      <w:r>
        <w:rPr>
          <w:lang w:val="pt-BR"/>
        </w:rPr>
        <w:t xml:space="preserve"> </w:t>
      </w:r>
      <w:r>
        <w:rPr>
          <w:i/>
          <w:iCs/>
          <w:lang w:val="pt-BR"/>
        </w:rPr>
        <w:t xml:space="preserve">sintoma de impossibilidade</w:t>
      </w:r>
      <w:r>
        <w:rPr>
          <w:lang w:val="pt-BR"/>
        </w:rPr>
        <w:t xml:space="preserve">. A série é modificada inúmeras vezes — com e sem lema, com e sem arcos, com e sem escudos — numa série de tentativas de correção que apenas evidenciam o problema estrutural: a incapacidade do sistema numismático estadunidense de gerar uma Feminilidade de Estado estável. Onde a França, a partir de 1848 e definitivamente em 1897, faz da moeda um espaço de operação sem sujeito, os Estados Unidos, entre 1840 e 1896, produzem um corpo permanentemente</w:t>
      </w:r>
      <w:r>
        <w:rPr>
          <w:lang w:val="pt-BR"/>
        </w:rPr>
        <w:t xml:space="preserve"> </w:t>
      </w:r>
      <w:r>
        <w:rPr>
          <w:i/>
          <w:iCs/>
          <w:lang w:val="pt-BR"/>
        </w:rPr>
        <w:t xml:space="preserve">em vias de ser purificado</w:t>
      </w:r>
      <w:r>
        <w:rPr>
          <w:lang w:val="pt-BR"/>
        </w:rPr>
        <w:t xml:space="preserve">, nunca purificado. Esse inacabamento é</w:t>
      </w:r>
      <w:r>
        <w:rPr>
          <w:lang w:val="pt-BR"/>
        </w:rPr>
        <w:t xml:space="preserve"> </w:t>
      </w:r>
      <w:r>
        <w:rPr>
          <w:i/>
          <w:iCs/>
          <w:lang w:val="pt-BR"/>
        </w:rPr>
        <w:t xml:space="preserve">regimático</w:t>
      </w:r>
      <w:r>
        <w:rPr>
          <w:lang w:val="pt-BR"/>
        </w:rPr>
        <w:t xml:space="preserve">. O regime normativo exige que o corpo desapareça em função; a</w:t>
      </w:r>
      <w:r>
        <w:rPr>
          <w:lang w:val="pt-BR"/>
        </w:rPr>
        <w:t xml:space="preserve"> </w:t>
      </w:r>
      <w:r>
        <w:rPr>
          <w:i/>
          <w:iCs/>
          <w:lang w:val="pt-BR"/>
        </w:rPr>
        <w:t xml:space="preserve">Seated Liberty</w:t>
      </w:r>
      <w:r>
        <w:rPr>
          <w:lang w:val="pt-BR"/>
        </w:rPr>
        <w:t xml:space="preserve"> </w:t>
      </w:r>
      <w:r>
        <w:rPr>
          <w:lang w:val="pt-BR"/>
        </w:rPr>
        <w:t xml:space="preserve">recusa essa desaparição, conservando um resíduo de corporalidade que a impede de persistir como alegoria e, paradoxalmente, a impede também de ser rejeitada. Ela sobrevive como moeda, mas fracassa como ícone.</w:t>
      </w:r>
    </w:p>
    <w:bookmarkEnd w:id="147"/>
    <w:bookmarkStart w:id="148" w:name="Xb1323b49aa4a22b3188df17c4956dad79838e1a"/>
    <w:p>
      <w:pPr>
        <w:pStyle w:val="Heading4"/>
      </w:pPr>
      <w:r>
        <w:rPr>
          <w:rStyle w:val="SectionNumber"/>
          <w:lang w:val="pt-BR"/>
        </w:rPr>
        <w:t xml:space="preserve">10.4.1.2</w:t>
      </w:r>
      <w:r>
        <w:tab/>
      </w:r>
      <w:r>
        <w:rPr>
          <w:lang w:val="pt-BR"/>
        </w:rPr>
        <w:t xml:space="preserve">[B] Centro — O Zwischenraum como operação fatal</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(450 palavras):</w:t>
      </w:r>
    </w:p>
    <w:p>
      <w:pPr>
        <w:pStyle w:val="BlockText"/>
      </w:pPr>
      <w:r>
        <w:rPr>
          <w:lang w:val="pt-BR"/>
        </w:rPr>
        <w:t xml:space="preserve">O espaço que separa a</w:t>
      </w:r>
      <w:r>
        <w:rPr>
          <w:lang w:val="pt-BR"/>
        </w:rPr>
        <w:t xml:space="preserve"> </w:t>
      </w:r>
      <w:r>
        <w:rPr>
          <w:i/>
          <w:iCs/>
          <w:lang w:val="pt-BR"/>
        </w:rPr>
        <w:t xml:space="preserve">Seated Liberty</w:t>
      </w:r>
      <w:r>
        <w:rPr>
          <w:lang w:val="pt-BR"/>
        </w:rPr>
        <w:t xml:space="preserve"> </w:t>
      </w:r>
      <w:r>
        <w:rPr>
          <w:lang w:val="pt-BR"/>
        </w:rPr>
        <w:t xml:space="preserve">de 1840 do</w:t>
      </w:r>
      <w:r>
        <w:rPr>
          <w:lang w:val="pt-BR"/>
        </w:rPr>
        <w:t xml:space="preserve"> </w:t>
      </w:r>
      <w:r>
        <w:rPr>
          <w:i/>
          <w:iCs/>
          <w:lang w:val="pt-BR"/>
        </w:rPr>
        <w:t xml:space="preserve">History Instructing Youth</w:t>
      </w:r>
      <w:r>
        <w:rPr>
          <w:lang w:val="pt-BR"/>
        </w:rPr>
        <w:t xml:space="preserve"> </w:t>
      </w:r>
      <w:r>
        <w:rPr>
          <w:lang w:val="pt-BR"/>
        </w:rPr>
        <w:t xml:space="preserve">de 1896 é um</w:t>
      </w:r>
      <w:r>
        <w:rPr>
          <w:lang w:val="pt-BR"/>
        </w:rPr>
        <w:t xml:space="preserve"> </w:t>
      </w:r>
      <w:r>
        <w:rPr>
          <w:i/>
          <w:iCs/>
          <w:lang w:val="pt-BR"/>
        </w:rPr>
        <w:t xml:space="preserve">Zwischenraum de endurecimento falho</w:t>
      </w:r>
      <w:r>
        <w:rPr>
          <w:lang w:val="pt-BR"/>
        </w:rPr>
        <w:t xml:space="preserve">. Neste intervalo de cinquenta e seis anos, o sistema monetário norte-americano tenta repetidamente operar a Purificação Clássica sem jamais alcançar o limiar crítico da dessexualização. O conceito de limiar, aqui, designa uma</w:t>
      </w:r>
      <w:r>
        <w:rPr>
          <w:lang w:val="pt-BR"/>
        </w:rPr>
        <w:t xml:space="preserve"> </w:t>
      </w:r>
      <w:r>
        <w:rPr>
          <w:i/>
          <w:iCs/>
          <w:lang w:val="pt-BR"/>
        </w:rPr>
        <w:t xml:space="preserve">condição de possibilidade do regime iconocrático</w:t>
      </w:r>
      <w:r>
        <w:rPr>
          <w:lang w:val="pt-BR"/>
        </w:rPr>
        <w:t xml:space="preserve">. Para que uma alegoria feminina de Estado persista como dispositivo normativo — e, subsequentemente, como aparelho de guerra —, ela deve atravessar o limiar da dessexualização de maneira irreversível: o corpo deve tornar-se tão puro, tão abstrato, tão despojado de resíduos eróticos que deixe de ser legível como corpo para tornar-se legível</w:t>
      </w:r>
      <w:r>
        <w:rPr>
          <w:lang w:val="pt-BR"/>
        </w:rPr>
        <w:t xml:space="preserve"> </w:t>
      </w:r>
      <w:r>
        <w:rPr>
          <w:i/>
          <w:iCs/>
          <w:lang w:val="pt-BR"/>
        </w:rPr>
        <w:t xml:space="preserve">apenas</w:t>
      </w:r>
      <w:r>
        <w:rPr>
          <w:lang w:val="pt-BR"/>
        </w:rPr>
        <w:t xml:space="preserve"> </w:t>
      </w:r>
      <w:r>
        <w:rPr>
          <w:lang w:val="pt-BR"/>
        </w:rPr>
        <w:t xml:space="preserve">como função.</w:t>
      </w:r>
    </w:p>
    <w:p>
      <w:pPr>
        <w:pStyle w:val="BlockText"/>
      </w:pPr>
      <w:r>
        <w:rPr>
          <w:lang w:val="pt-BR"/>
        </w:rPr>
        <w:t xml:space="preserve">A operação francesa da Semeuse realiza precisamente isso: o corpo é reduzido a perfil, o perfil a gesto, o gesto a função semeadora, a função semeadora à marca do Estado. A dessexualização é total porque a carne é inteiramente convertida em protocolo. O corpo deixa de ser representado; passa a ser</w:t>
      </w:r>
      <w:r>
        <w:rPr>
          <w:lang w:val="pt-BR"/>
        </w:rPr>
        <w:t xml:space="preserve"> </w:t>
      </w:r>
      <w:r>
        <w:rPr>
          <w:i/>
          <w:iCs/>
          <w:lang w:val="pt-BR"/>
        </w:rPr>
        <w:t xml:space="preserve">atravessado</w:t>
      </w:r>
      <w:r>
        <w:rPr>
          <w:lang w:val="pt-BR"/>
        </w:rPr>
        <w:t xml:space="preserve"> </w:t>
      </w:r>
      <w:r>
        <w:rPr>
          <w:lang w:val="pt-BR"/>
        </w:rPr>
        <w:t xml:space="preserve">pela representação estatal. É essa operação que, nos termos de Mondzain</w:t>
      </w:r>
      <w:r>
        <w:rPr>
          <w:lang w:val="pt-BR"/>
        </w:rPr>
        <w:t xml:space="preserve"> </w:t>
      </w:r>
      <w:r>
        <w:rPr>
          <w:lang w:val="pt-BR"/>
        </w:rPr>
        <w:t xml:space="preserve">(Mondzain, 2002)</w:t>
      </w:r>
      <w:r>
        <w:rPr>
          <w:lang w:val="pt-BR"/>
        </w:rPr>
        <w:t xml:space="preserve">, converte o ícone em economia icônica [VERIFICAR: conferir a passagem exata e a página em Mondzain 2002; a leitura da Semeuse é da tese], e que a teoria do endurecimento refrata como a transição do regime fundacional ao normativo: o corpo que persistia como Nachleben — sobrevivência, revenant, retorno do morto — é finalmente assassinado pela abstração, morte</w:t>
      </w:r>
      <w:r>
        <w:rPr>
          <w:lang w:val="pt-BR"/>
        </w:rPr>
        <w:t xml:space="preserve"> </w:t>
      </w:r>
      <w:r>
        <w:rPr>
          <w:i/>
          <w:iCs/>
          <w:lang w:val="pt-BR"/>
        </w:rPr>
        <w:t xml:space="preserve">produtiva</w:t>
      </w:r>
      <w:r>
        <w:rPr>
          <w:lang w:val="pt-BR"/>
        </w:rPr>
        <w:t xml:space="preserve"> </w:t>
      </w:r>
      <w:r>
        <w:rPr>
          <w:lang w:val="pt-BR"/>
        </w:rPr>
        <w:t xml:space="preserve">porque gera a máquina. A Semeuse vive porque morreu como corpo.</w:t>
      </w:r>
    </w:p>
    <w:p>
      <w:pPr>
        <w:pStyle w:val="BlockText"/>
      </w:pPr>
      <w:r>
        <w:rPr>
          <w:lang w:val="pt-BR"/>
        </w:rPr>
        <w:t xml:space="preserve">O sistema estadunidense, porém, não consegue matar Columbia como corpo. Cada tentativa de Purificação Clássica preserva um resíduo de desejo: a sentada expõe o colo, a educadora inclina-se sobre o aluno, a figura adormecida oferece o corpo em descanso. São variações sobre o mesmo erro estrutural: a</w:t>
      </w:r>
      <w:r>
        <w:rPr>
          <w:lang w:val="pt-BR"/>
        </w:rPr>
        <w:t xml:space="preserve"> </w:t>
      </w:r>
      <w:r>
        <w:rPr>
          <w:i/>
          <w:iCs/>
          <w:lang w:val="pt-BR"/>
        </w:rPr>
        <w:t xml:space="preserve">incompletude da dessexualização</w:t>
      </w:r>
      <w:r>
        <w:rPr>
          <w:lang w:val="pt-BR"/>
        </w:rPr>
        <w:t xml:space="preserve">. O corpo é despojado apenas o suficiente para que o que reste pareça</w:t>
      </w:r>
      <w:r>
        <w:rPr>
          <w:lang w:val="pt-BR"/>
        </w:rPr>
        <w:t xml:space="preserve"> </w:t>
      </w:r>
      <w:r>
        <w:rPr>
          <w:i/>
          <w:iCs/>
          <w:lang w:val="pt-BR"/>
        </w:rPr>
        <w:t xml:space="preserve">proibido</w:t>
      </w:r>
      <w:r>
        <w:rPr>
          <w:lang w:val="pt-BR"/>
        </w:rPr>
        <w:t xml:space="preserve">. É essa proibição parcial, essa nudez quase-clássica, esse seio quase-invisível, que ativa o recalque. A censura que recolhe o Educational Series em 1896 [VERIFICAR: recolhimento em 1896 não documentado — a série foi emitida a partir de 1896 e descontinuada por volta de 1899; re-ancorar em queixas contemporâneas documentadas ou no encerramento da série] é o sintoma de um sistema iconocrático que</w:t>
      </w:r>
      <w:r>
        <w:rPr>
          <w:lang w:val="pt-BR"/>
        </w:rPr>
        <w:t xml:space="preserve"> </w:t>
      </w:r>
      <w:r>
        <w:rPr>
          <w:i/>
          <w:iCs/>
          <w:lang w:val="pt-BR"/>
        </w:rPr>
        <w:t xml:space="preserve">reconhece</w:t>
      </w:r>
      <w:r>
        <w:rPr>
          <w:lang w:val="pt-BR"/>
        </w:rPr>
        <w:t xml:space="preserve">, em sua própria produção, a falha operacional de não ter conseguido atravessar o limiar. A moeda é recolhida por ser</w:t>
      </w:r>
      <w:r>
        <w:rPr>
          <w:lang w:val="pt-BR"/>
        </w:rPr>
        <w:t xml:space="preserve"> </w:t>
      </w:r>
      <w:r>
        <w:rPr>
          <w:i/>
          <w:iCs/>
          <w:lang w:val="pt-BR"/>
        </w:rPr>
        <w:t xml:space="preserve">insuficientemente dessexualizada</w:t>
      </w:r>
      <w:r>
        <w:rPr>
          <w:lang w:val="pt-BR"/>
        </w:rPr>
        <w:t xml:space="preserve">: o que se vê nela é o cadáver insepulto da alegoria.</w:t>
      </w:r>
    </w:p>
    <w:bookmarkEnd w:id="148"/>
    <w:bookmarkStart w:id="149" w:name="X9f3c85852f7377c071e405f8323f3d1d74625e4"/>
    <w:p>
      <w:pPr>
        <w:pStyle w:val="Heading4"/>
      </w:pPr>
      <w:r>
        <w:rPr>
          <w:rStyle w:val="SectionNumber"/>
          <w:lang w:val="pt-BR"/>
        </w:rPr>
        <w:t xml:space="preserve">10.4.1.3</w:t>
      </w:r>
      <w:r>
        <w:tab/>
      </w:r>
      <w:r>
        <w:rPr>
          <w:lang w:val="pt-BR"/>
        </w:rPr>
        <w:t xml:space="preserve">[C] Polo direito — A catástrofe performativa e a morte programática</w:t>
      </w:r>
    </w:p>
    <w:p>
      <w:pPr>
        <w:pStyle w:val="FirstParagraph"/>
      </w:pPr>
      <w:r>
        <w:rPr>
          <w:b/>
          <w:bCs/>
          <w:lang w:val="pt-BR"/>
        </w:rPr>
        <w:t xml:space="preserve">Imagens:</w:t>
      </w:r>
      <w:r>
        <w:rPr>
          <w:lang w:val="pt-BR"/>
        </w:rPr>
        <w:t xml:space="preserve"> </w:t>
      </w:r>
      <w:r>
        <w:rPr>
          <w:lang w:val="pt-BR"/>
        </w:rPr>
        <w:t xml:space="preserve">(1) Will H. Low / Charles E. Barber (gravura),</w:t>
      </w:r>
      <w:r>
        <w:rPr>
          <w:lang w:val="pt-BR"/>
        </w:rPr>
        <w:t xml:space="preserve"> </w:t>
      </w:r>
      <w:r>
        <w:rPr>
          <w:i/>
          <w:iCs/>
          <w:lang w:val="pt-BR"/>
        </w:rPr>
        <w:t xml:space="preserve">History Instructing Youth</w:t>
      </w:r>
      <w:r>
        <w:rPr>
          <w:lang w:val="pt-BR"/>
        </w:rPr>
        <w:t xml:space="preserve">, nota de 1 dólar, Educational Series, 1896. (US-EDUC-1896-01); (2) James Montgomery Flagg,</w:t>
      </w:r>
      <w:r>
        <w:rPr>
          <w:lang w:val="pt-BR"/>
        </w:rPr>
        <w:t xml:space="preserve"> </w:t>
      </w:r>
      <w:r>
        <w:rPr>
          <w:i/>
          <w:iCs/>
          <w:lang w:val="pt-BR"/>
        </w:rPr>
        <w:t xml:space="preserve">Columbia</w:t>
      </w:r>
      <w:r>
        <w:rPr>
          <w:lang w:val="pt-BR"/>
        </w:rPr>
        <w:t xml:space="preserve">, 1917. Propaganda de guerra. (US-011)</w:t>
      </w:r>
    </w:p>
    <w:p>
      <w:pPr>
        <w:pStyle w:val="BodyText"/>
      </w:pPr>
      <w:r>
        <w:rPr>
          <w:b/>
          <w:bCs/>
          <w:lang w:val="pt-BR"/>
        </w:rPr>
        <w:t xml:space="preserve">Texto de painel (550 palavras):</w:t>
      </w:r>
    </w:p>
    <w:p>
      <w:pPr>
        <w:pStyle w:val="BlockText"/>
      </w:pPr>
      <w:r>
        <w:rPr>
          <w:lang w:val="pt-BR"/>
        </w:rPr>
        <w:t xml:space="preserve">O</w:t>
      </w:r>
      <w:r>
        <w:rPr>
          <w:lang w:val="pt-BR"/>
        </w:rPr>
        <w:t xml:space="preserve"> </w:t>
      </w:r>
      <w:r>
        <w:rPr>
          <w:i/>
          <w:iCs/>
          <w:lang w:val="pt-BR"/>
        </w:rPr>
        <w:t xml:space="preserve">History Instructing Youth</w:t>
      </w:r>
      <w:r>
        <w:rPr>
          <w:lang w:val="pt-BR"/>
        </w:rPr>
        <w:t xml:space="preserve"> </w:t>
      </w:r>
      <w:r>
        <w:rPr>
          <w:lang w:val="pt-BR"/>
        </w:rPr>
        <w:t xml:space="preserve">de 1896 é o ponto de máxima intensidade — e de máxima falha — do projeto americano de Feminilidade de Estado. No verso da nota de um dólar do Educational Series, Will H. Low projeta Columbia como</w:t>
      </w:r>
      <w:r>
        <w:rPr>
          <w:lang w:val="pt-BR"/>
        </w:rPr>
        <w:t xml:space="preserve"> </w:t>
      </w:r>
      <w:r>
        <w:rPr>
          <w:i/>
          <w:iCs/>
          <w:lang w:val="pt-BR"/>
        </w:rPr>
        <w:t xml:space="preserve">corpo pedagógico vivo</w:t>
      </w:r>
      <w:r>
        <w:rPr>
          <w:lang w:val="pt-BR"/>
        </w:rPr>
        <w:t xml:space="preserve">: sentada numa cátedra de mármore, envolta em drapeados que não conseguem conter o volume do busto, segura um livro aberto sobre as pernas e aponta para um mapa que dois meninos contemplam. A arquitetura é neoclássica; a operação, porém, é fundacional em pleno regime normativo. Columbia é</w:t>
      </w:r>
      <w:r>
        <w:rPr>
          <w:lang w:val="pt-BR"/>
        </w:rPr>
        <w:t xml:space="preserve"> </w:t>
      </w:r>
      <w:r>
        <w:rPr>
          <w:i/>
          <w:iCs/>
          <w:lang w:val="pt-BR"/>
        </w:rPr>
        <w:t xml:space="preserve">mestra</w:t>
      </w:r>
      <w:r>
        <w:rPr>
          <w:lang w:val="pt-BR"/>
        </w:rPr>
        <w:t xml:space="preserve"> </w:t>
      </w:r>
      <w:r>
        <w:rPr>
          <w:lang w:val="pt-BR"/>
        </w:rPr>
        <w:t xml:space="preserve">— não semeia anonimamente; ela</w:t>
      </w:r>
      <w:r>
        <w:rPr>
          <w:lang w:val="pt-BR"/>
        </w:rPr>
        <w:t xml:space="preserve"> </w:t>
      </w:r>
      <w:r>
        <w:rPr>
          <w:i/>
          <w:iCs/>
          <w:lang w:val="pt-BR"/>
        </w:rPr>
        <w:t xml:space="preserve">ensina pessoalmente</w:t>
      </w:r>
      <w:r>
        <w:rPr>
          <w:lang w:val="pt-BR"/>
        </w:rPr>
        <w:t xml:space="preserve">. O corpo feminino é inteiramente composicional — ocupa o centro, atrai o olhar, organiza a cena — e inteiramente desejo: a curva do braço que aponta, a inclinação do busto sobre os meninos, a túnica que escorrega do ombro esquerdo revelando um seio que não deveria estar lá, porque não estaria lá na Semeuse.</w:t>
      </w:r>
    </w:p>
    <w:p>
      <w:pPr>
        <w:pStyle w:val="BlockText"/>
      </w:pPr>
      <w:r>
        <w:rPr>
          <w:lang w:val="pt-BR"/>
        </w:rPr>
        <w:t xml:space="preserve">O erro é</w:t>
      </w:r>
      <w:r>
        <w:rPr>
          <w:lang w:val="pt-BR"/>
        </w:rPr>
        <w:t xml:space="preserve"> </w:t>
      </w:r>
      <w:r>
        <w:rPr>
          <w:i/>
          <w:iCs/>
          <w:lang w:val="pt-BR"/>
        </w:rPr>
        <w:t xml:space="preserve">regimático</w:t>
      </w:r>
      <w:r>
        <w:rPr>
          <w:lang w:val="pt-BR"/>
        </w:rPr>
        <w:t xml:space="preserve">. A nota de 1896 tenta realizar, num único arranjo composicional, duas operações incompatíveis: a pedagogia republicana, que exige um corpo maternal e acessível, e a Purificação Clássica, que exige um corpo ausente e abstrato. O resultado é uma figura que habita o Zwischenraum como</w:t>
      </w:r>
      <w:r>
        <w:rPr>
          <w:lang w:val="pt-BR"/>
        </w:rPr>
        <w:t xml:space="preserve"> </w:t>
      </w:r>
      <w:r>
        <w:rPr>
          <w:i/>
          <w:iCs/>
          <w:lang w:val="pt-BR"/>
        </w:rPr>
        <w:t xml:space="preserve">condenação</w:t>
      </w:r>
      <w:r>
        <w:rPr>
          <w:lang w:val="pt-BR"/>
        </w:rPr>
        <w:t xml:space="preserve">: Columbia é demasiado viva para ser funcional, demasiado purificada para ser desejável, demasiado desejável para ser purificada. O endurecimento composto estimado situa-se em torno de 1,5 — abaixo mesmo da média da</w:t>
      </w:r>
      <w:r>
        <w:rPr>
          <w:lang w:val="pt-BR"/>
        </w:rPr>
        <w:t xml:space="preserve"> </w:t>
      </w:r>
      <w:r>
        <w:rPr>
          <w:i/>
          <w:iCs/>
          <w:lang w:val="pt-BR"/>
        </w:rPr>
        <w:t xml:space="preserve">Seated Liberty</w:t>
      </w:r>
      <w:r>
        <w:rPr>
          <w:lang w:val="pt-BR"/>
        </w:rPr>
        <w:t xml:space="preserve"> </w:t>
      </w:r>
      <w:r>
        <w:rPr>
          <w:lang w:val="pt-BR"/>
        </w:rPr>
        <w:t xml:space="preserve">— porque a estrutura composicional</w:t>
      </w:r>
      <w:r>
        <w:rPr>
          <w:lang w:val="pt-BR"/>
        </w:rPr>
        <w:t xml:space="preserve"> </w:t>
      </w:r>
      <w:r>
        <w:rPr>
          <w:i/>
          <w:iCs/>
          <w:lang w:val="pt-BR"/>
        </w:rPr>
        <w:t xml:space="preserve">recusa</w:t>
      </w:r>
      <w:r>
        <w:rPr>
          <w:lang w:val="pt-BR"/>
        </w:rPr>
        <w:t xml:space="preserve"> </w:t>
      </w:r>
      <w:r>
        <w:rPr>
          <w:lang w:val="pt-BR"/>
        </w:rPr>
        <w:t xml:space="preserve">o endurecimento. A nota é recolhida em circulação em 1896, por decisão do Tesouro, que reconhece que aquela imagem não pode circular como dinheiro: ela circula como</w:t>
      </w:r>
      <w:r>
        <w:rPr>
          <w:lang w:val="pt-BR"/>
        </w:rPr>
        <w:t xml:space="preserve"> </w:t>
      </w:r>
      <w:r>
        <w:rPr>
          <w:i/>
          <w:iCs/>
          <w:lang w:val="pt-BR"/>
        </w:rPr>
        <w:t xml:space="preserve">corpo</w:t>
      </w:r>
      <w:r>
        <w:rPr>
          <w:lang w:val="pt-BR"/>
        </w:rPr>
        <w:t xml:space="preserve">, e o corpo feminino em circulação nacional ativa o Contrato Sexual Visual de modo indomesticável.</w:t>
      </w:r>
    </w:p>
    <w:p>
      <w:pPr>
        <w:pStyle w:val="BlockText"/>
      </w:pPr>
      <w:r>
        <w:rPr>
          <w:lang w:val="pt-BR"/>
        </w:rPr>
        <w:t xml:space="preserve">A reação do sistema é</w:t>
      </w:r>
      <w:r>
        <w:rPr>
          <w:lang w:val="pt-BR"/>
        </w:rPr>
        <w:t xml:space="preserve"> </w:t>
      </w:r>
      <w:r>
        <w:rPr>
          <w:i/>
          <w:iCs/>
          <w:lang w:val="pt-BR"/>
        </w:rPr>
        <w:t xml:space="preserve">abandonar o corpo feminino</w:t>
      </w:r>
      <w:r>
        <w:rPr>
          <w:lang w:val="pt-BR"/>
        </w:rPr>
        <w:t xml:space="preserve">. A substituição da Columbia viva por Lady Liberty — torneada, espectral, não-corpo — e, sobretudo, pelo Uncle Sam masculino, indica que o Zwischenraum foi</w:t>
      </w:r>
      <w:r>
        <w:rPr>
          <w:lang w:val="pt-BR"/>
        </w:rPr>
        <w:t xml:space="preserve"> </w:t>
      </w:r>
      <w:r>
        <w:rPr>
          <w:i/>
          <w:iCs/>
          <w:lang w:val="pt-BR"/>
        </w:rPr>
        <w:t xml:space="preserve">evitado</w:t>
      </w:r>
      <w:r>
        <w:rPr>
          <w:lang w:val="pt-BR"/>
        </w:rPr>
        <w:t xml:space="preserve">: em vez de realizar essa morte produtiva, o sistema opta por simplesmente matá-la. A Columbia de James Montgomery Flagg em 1917 é a fotografia dessa morte: adormecida, envolta em bandeiras, rosto virado para a escuridão, ela já não é mais alegoria; é</w:t>
      </w:r>
      <w:r>
        <w:rPr>
          <w:lang w:val="pt-BR"/>
        </w:rPr>
        <w:t xml:space="preserve"> </w:t>
      </w:r>
      <w:r>
        <w:rPr>
          <w:i/>
          <w:iCs/>
          <w:lang w:val="pt-BR"/>
        </w:rPr>
        <w:t xml:space="preserve">memória de alegoria</w:t>
      </w:r>
      <w:r>
        <w:rPr>
          <w:lang w:val="pt-BR"/>
        </w:rPr>
        <w:t xml:space="preserve">, Nachleben como luto. O endurecimento aqui atinge níveis de desincorporação absoluta — o corpo está ausente, coberto, adormecido —, como</w:t>
      </w:r>
      <w:r>
        <w:rPr>
          <w:lang w:val="pt-BR"/>
        </w:rPr>
        <w:t xml:space="preserve"> </w:t>
      </w:r>
      <w:r>
        <w:rPr>
          <w:i/>
          <w:iCs/>
          <w:lang w:val="pt-BR"/>
        </w:rPr>
        <w:t xml:space="preserve">desistência</w:t>
      </w:r>
      <w:r>
        <w:rPr>
          <w:lang w:val="pt-BR"/>
        </w:rPr>
        <w:t xml:space="preserve">. A América não consegue a máquina de guerra feminina que a França constrói na Semeuse; consegue o espectro de uma república que um dia sonhou ter um corpo.</w:t>
      </w:r>
    </w:p>
    <w:p>
      <w:pPr>
        <w:pStyle w:val="BlockText"/>
      </w:pPr>
      <w:r>
        <w:rPr>
          <w:lang w:val="pt-BR"/>
        </w:rPr>
        <w:t xml:space="preserve">Essa falha estrutural tem consequências de longo alcance para a iconosfera estadunidense. A ausência de uma Feminilidade de Estado estável explica, em parte, a prevalência do Uncle Sam como personificação masculina da soberania: se o corpo feminino não pode ser suficientemente dessexualizado para funcionar como alegoria, recai-se sobre o corpo masculino, cuja dessexualização passa pela</w:t>
      </w:r>
      <w:r>
        <w:rPr>
          <w:lang w:val="pt-BR"/>
        </w:rPr>
        <w:t xml:space="preserve"> </w:t>
      </w:r>
      <w:r>
        <w:rPr>
          <w:i/>
          <w:iCs/>
          <w:lang w:val="pt-BR"/>
        </w:rPr>
        <w:t xml:space="preserve">virilização instrumental</w:t>
      </w:r>
      <w:r>
        <w:rPr>
          <w:lang w:val="pt-BR"/>
        </w:rPr>
        <w:t xml:space="preserve">, não pela Purificação Clássica. Essa saída masculina desloca o problema sem resolvê-lo: a falha do limiar da dessexualização é falha de</w:t>
      </w:r>
      <w:r>
        <w:rPr>
          <w:lang w:val="pt-BR"/>
        </w:rPr>
        <w:t xml:space="preserve"> </w:t>
      </w:r>
      <w:r>
        <w:rPr>
          <w:i/>
          <w:iCs/>
          <w:lang w:val="pt-BR"/>
        </w:rPr>
        <w:t xml:space="preserve">regime</w:t>
      </w:r>
      <w:r>
        <w:rPr>
          <w:lang w:val="pt-BR"/>
        </w:rPr>
        <w:t xml:space="preserve">, não de gênero. O corpo que não consegue atravessar esse Zwischenraum é</w:t>
      </w:r>
      <w:r>
        <w:rPr>
          <w:lang w:val="pt-BR"/>
        </w:rPr>
        <w:t xml:space="preserve"> </w:t>
      </w:r>
      <w:r>
        <w:rPr>
          <w:i/>
          <w:iCs/>
          <w:lang w:val="pt-BR"/>
        </w:rPr>
        <w:t xml:space="preserve">qualquer corpo que recusa a abstração total</w:t>
      </w:r>
      <w:r>
        <w:rPr>
          <w:lang w:val="pt-BR"/>
        </w:rPr>
        <w:t xml:space="preserve">.</w:t>
      </w:r>
    </w:p>
    <w:bookmarkEnd w:id="149"/>
    <w:bookmarkStart w:id="150" w:name="X551f519134809770d3b4c25352068c08e471194"/>
    <w:p>
      <w:pPr>
        <w:pStyle w:val="Heading4"/>
      </w:pPr>
      <w:r>
        <w:rPr>
          <w:rStyle w:val="SectionNumber"/>
          <w:lang w:val="pt-BR"/>
        </w:rPr>
        <w:t xml:space="preserve">10.4.1.4</w:t>
      </w:r>
      <w:r>
        <w:tab/>
      </w:r>
      <w:r>
        <w:rPr>
          <w:lang w:val="pt-BR"/>
        </w:rPr>
        <w:t xml:space="preserve">[D] Contraponto inferior — A travessia bem-sucedida</w:t>
      </w:r>
    </w:p>
    <w:p>
      <w:pPr>
        <w:pStyle w:val="FirstParagraph"/>
      </w:pPr>
      <w:r>
        <w:rPr>
          <w:b/>
          <w:bCs/>
          <w:lang w:val="pt-BR"/>
        </w:rPr>
        <w:t xml:space="preserve">Imagem:</w:t>
      </w:r>
      <w:r>
        <w:rPr>
          <w:lang w:val="pt-BR"/>
        </w:rPr>
        <w:t xml:space="preserve"> </w:t>
      </w:r>
      <w:r>
        <w:rPr>
          <w:lang w:val="pt-BR"/>
        </w:rPr>
        <w:t xml:space="preserve">Louis-Oscar Roty,</w:t>
      </w:r>
      <w:r>
        <w:rPr>
          <w:lang w:val="pt-BR"/>
        </w:rPr>
        <w:t xml:space="preserve"> </w:t>
      </w:r>
      <w:r>
        <w:rPr>
          <w:i/>
          <w:iCs/>
          <w:lang w:val="pt-BR"/>
        </w:rPr>
        <w:t xml:space="preserve">La Semeuse</w:t>
      </w:r>
      <w:r>
        <w:rPr>
          <w:lang w:val="pt-BR"/>
        </w:rPr>
        <w:t xml:space="preserve">, 1897. Moeda de 1 franc. (FR-038)</w:t>
      </w:r>
    </w:p>
    <w:p>
      <w:pPr>
        <w:pStyle w:val="BodyText"/>
      </w:pPr>
      <w:r>
        <w:rPr>
          <w:b/>
          <w:bCs/>
          <w:lang w:val="pt-BR"/>
        </w:rPr>
        <w:t xml:space="preserve">Texto de painel (250 palavras):</w:t>
      </w:r>
    </w:p>
    <w:p>
      <w:pPr>
        <w:pStyle w:val="BlockText"/>
      </w:pPr>
      <w:r>
        <w:rPr>
          <w:lang w:val="pt-BR"/>
        </w:rPr>
        <w:t xml:space="preserve">É apenas pela via da comparação que a magnitude da falha americana se torna inteiramente legível. A</w:t>
      </w:r>
      <w:r>
        <w:rPr>
          <w:lang w:val="pt-BR"/>
        </w:rPr>
        <w:t xml:space="preserve"> </w:t>
      </w:r>
      <w:r>
        <w:rPr>
          <w:i/>
          <w:iCs/>
          <w:lang w:val="pt-BR"/>
        </w:rPr>
        <w:t xml:space="preserve">La Semeuse</w:t>
      </w:r>
      <w:r>
        <w:rPr>
          <w:lang w:val="pt-BR"/>
        </w:rPr>
        <w:t xml:space="preserve"> </w:t>
      </w:r>
      <w:r>
        <w:rPr>
          <w:lang w:val="pt-BR"/>
        </w:rPr>
        <w:t xml:space="preserve">de Roty (1897) realiza, no polo oposto, a travessia que o sistema estadunidense não consegue efetuar. O corpo é</w:t>
      </w:r>
      <w:r>
        <w:rPr>
          <w:lang w:val="pt-BR"/>
        </w:rPr>
        <w:t xml:space="preserve"> </w:t>
      </w:r>
      <w:r>
        <w:rPr>
          <w:i/>
          <w:iCs/>
          <w:lang w:val="pt-BR"/>
        </w:rPr>
        <w:t xml:space="preserve">protocolo em movimento</w:t>
      </w:r>
      <w:r>
        <w:rPr>
          <w:lang w:val="pt-BR"/>
        </w:rPr>
        <w:t xml:space="preserve">; o seio,</w:t>
      </w:r>
      <w:r>
        <w:rPr>
          <w:lang w:val="pt-BR"/>
        </w:rPr>
        <w:t xml:space="preserve"> </w:t>
      </w:r>
      <w:r>
        <w:rPr>
          <w:i/>
          <w:iCs/>
          <w:lang w:val="pt-BR"/>
        </w:rPr>
        <w:t xml:space="preserve">anulado</w:t>
      </w:r>
      <w:r>
        <w:rPr>
          <w:lang w:val="pt-BR"/>
        </w:rPr>
        <w:t xml:space="preserve">; a fisionomia,</w:t>
      </w:r>
      <w:r>
        <w:rPr>
          <w:lang w:val="pt-BR"/>
        </w:rPr>
        <w:t xml:space="preserve"> </w:t>
      </w:r>
      <w:r>
        <w:rPr>
          <w:i/>
          <w:iCs/>
          <w:lang w:val="pt-BR"/>
        </w:rPr>
        <w:t xml:space="preserve">dissolvida</w:t>
      </w:r>
      <w:r>
        <w:rPr>
          <w:lang w:val="pt-BR"/>
        </w:rPr>
        <w:t xml:space="preserve">. A dessexualização é tão completa que o gênero da figura torna-se evidente e irrelevante ao mesmo tempo: a Semeuse é mulher porque o protocolo exige uma semeadora, e isso não importa porque o corpo não oferece nada além do gesto. A Semeuse nunca foi corpo; foi sempre máquina.</w:t>
      </w:r>
    </w:p>
    <w:p>
      <w:pPr>
        <w:pStyle w:val="BlockText"/>
      </w:pPr>
      <w:r>
        <w:rPr>
          <w:lang w:val="pt-BR"/>
        </w:rPr>
        <w:t xml:space="preserve">O endurecimento composto estimado em 2,7 situa FR-038 firmemente no regime normativo, com trajetória de transição para o militar. A moeda sobrevive, circula, persiste porque cruzou o limiar irreversivelmente. O que a</w:t>
      </w:r>
      <w:r>
        <w:rPr>
          <w:lang w:val="pt-BR"/>
        </w:rPr>
        <w:t xml:space="preserve"> </w:t>
      </w:r>
      <w:r>
        <w:rPr>
          <w:i/>
          <w:iCs/>
          <w:lang w:val="pt-BR"/>
        </w:rPr>
        <w:t xml:space="preserve">Seated Liberty</w:t>
      </w:r>
      <w:r>
        <w:rPr>
          <w:lang w:val="pt-BR"/>
        </w:rPr>
        <w:t xml:space="preserve"> </w:t>
      </w:r>
      <w:r>
        <w:rPr>
          <w:lang w:val="pt-BR"/>
        </w:rPr>
        <w:t xml:space="preserve">tentou e falhou, o que o</w:t>
      </w:r>
      <w:r>
        <w:rPr>
          <w:lang w:val="pt-BR"/>
        </w:rPr>
        <w:t xml:space="preserve"> </w:t>
      </w:r>
      <w:r>
        <w:rPr>
          <w:i/>
          <w:iCs/>
          <w:lang w:val="pt-BR"/>
        </w:rPr>
        <w:t xml:space="preserve">History Instructing Youth</w:t>
      </w:r>
      <w:r>
        <w:rPr>
          <w:lang w:val="pt-BR"/>
        </w:rPr>
        <w:t xml:space="preserve"> </w:t>
      </w:r>
      <w:r>
        <w:rPr>
          <w:lang w:val="pt-BR"/>
        </w:rPr>
        <w:t xml:space="preserve">tentou e foi recolhido, a Semeuse realiza sem esforço aparente: a conversão da carne em função. Não há Zwischenraum visível na moeda francesa — porque já foi</w:t>
      </w:r>
      <w:r>
        <w:rPr>
          <w:lang w:val="pt-BR"/>
        </w:rPr>
        <w:t xml:space="preserve"> </w:t>
      </w:r>
      <w:r>
        <w:rPr>
          <w:i/>
          <w:iCs/>
          <w:lang w:val="pt-BR"/>
        </w:rPr>
        <w:t xml:space="preserve">dissolvido</w:t>
      </w:r>
      <w:r>
        <w:rPr>
          <w:lang w:val="pt-BR"/>
        </w:rPr>
        <w:t xml:space="preserve"> </w:t>
      </w:r>
      <w:r>
        <w:rPr>
          <w:lang w:val="pt-BR"/>
        </w:rPr>
        <w:t xml:space="preserve">na operação iconocrática. O Nachleben do corpo revolucionário foi finalmente sepultado; em seu lugar, ergue-se a máquina de perpetuação estatal. A comparação é didática: a América falhou porque sua Purificação Clássica foi</w:t>
      </w:r>
      <w:r>
        <w:rPr>
          <w:lang w:val="pt-BR"/>
        </w:rPr>
        <w:t xml:space="preserve"> </w:t>
      </w:r>
      <w:r>
        <w:rPr>
          <w:i/>
          <w:iCs/>
          <w:lang w:val="pt-BR"/>
        </w:rPr>
        <w:t xml:space="preserve">insuficiente</w:t>
      </w:r>
      <w:r>
        <w:rPr>
          <w:lang w:val="pt-BR"/>
        </w:rPr>
        <w:t xml:space="preserve">.</w:t>
      </w:r>
    </w:p>
    <w:bookmarkEnd w:id="150"/>
    <w:bookmarkEnd w:id="151"/>
    <w:bookmarkStart w:id="152" w:name="síntese-do-painel-3"/>
    <w:p>
      <w:pPr>
        <w:pStyle w:val="Heading3"/>
      </w:pPr>
      <w:r>
        <w:rPr>
          <w:rStyle w:val="SectionNumber"/>
          <w:lang w:val="pt-BR"/>
        </w:rPr>
        <w:t xml:space="preserve">10.4.2</w:t>
      </w:r>
      <w:r>
        <w:tab/>
      </w:r>
      <w:r>
        <w:rPr>
          <w:lang w:val="pt-BR"/>
        </w:rPr>
        <w:t xml:space="preserve">9.4.2 — Síntese do painel</w:t>
      </w:r>
    </w:p>
    <w:p>
      <w:pPr>
        <w:pStyle w:val="BlockText"/>
      </w:pPr>
      <w:r>
        <w:rPr>
          <w:lang w:val="pt-BR"/>
        </w:rPr>
        <w:t xml:space="preserve">Este painel propõe que a transição normativo → militar nos Estados Unidos foi obstruída por uma falha</w:t>
      </w:r>
      <w:r>
        <w:rPr>
          <w:lang w:val="pt-BR"/>
        </w:rPr>
        <w:t xml:space="preserve"> </w:t>
      </w:r>
      <w:r>
        <w:rPr>
          <w:i/>
          <w:iCs/>
          <w:lang w:val="pt-BR"/>
        </w:rPr>
        <w:t xml:space="preserve">interna e estrutural</w:t>
      </w:r>
      <w:r>
        <w:rPr>
          <w:lang w:val="pt-BR"/>
        </w:rPr>
        <w:t xml:space="preserve"> </w:t>
      </w:r>
      <w:r>
        <w:rPr>
          <w:lang w:val="pt-BR"/>
        </w:rPr>
        <w:t xml:space="preserve">do processo de endurecimento: a incapacidade de atravessar o limiar da dessexualização. O Contrato Sexual Visual, tal como operado na iconosfera norte-americana do século XIX, exige sua</w:t>
      </w:r>
      <w:r>
        <w:rPr>
          <w:lang w:val="pt-BR"/>
        </w:rPr>
        <w:t xml:space="preserve"> </w:t>
      </w:r>
      <w:r>
        <w:rPr>
          <w:i/>
          <w:iCs/>
          <w:lang w:val="pt-BR"/>
        </w:rPr>
        <w:t xml:space="preserve">anulação operacional</w:t>
      </w:r>
      <w:r>
        <w:rPr>
          <w:lang w:val="pt-BR"/>
        </w:rPr>
        <w:t xml:space="preserve"> </w:t>
      </w:r>
      <w:r>
        <w:rPr>
          <w:lang w:val="pt-BR"/>
        </w:rPr>
        <w:t xml:space="preserve">— a transformação do corpo desejável em corpo impossível de desejar. A</w:t>
      </w:r>
      <w:r>
        <w:rPr>
          <w:lang w:val="pt-BR"/>
        </w:rPr>
        <w:t xml:space="preserve"> </w:t>
      </w:r>
      <w:r>
        <w:rPr>
          <w:i/>
          <w:iCs/>
          <w:lang w:val="pt-BR"/>
        </w:rPr>
        <w:t xml:space="preserve">Seated Liberty</w:t>
      </w:r>
      <w:r>
        <w:rPr>
          <w:lang w:val="pt-BR"/>
        </w:rPr>
        <w:t xml:space="preserve">, o</w:t>
      </w:r>
      <w:r>
        <w:rPr>
          <w:lang w:val="pt-BR"/>
        </w:rPr>
        <w:t xml:space="preserve"> </w:t>
      </w:r>
      <w:r>
        <w:rPr>
          <w:i/>
          <w:iCs/>
          <w:lang w:val="pt-BR"/>
        </w:rPr>
        <w:t xml:space="preserve">History Instructing Youth</w:t>
      </w:r>
      <w:r>
        <w:rPr>
          <w:lang w:val="pt-BR"/>
        </w:rPr>
        <w:t xml:space="preserve"> </w:t>
      </w:r>
      <w:r>
        <w:rPr>
          <w:lang w:val="pt-BR"/>
        </w:rPr>
        <w:t xml:space="preserve">e a</w:t>
      </w:r>
      <w:r>
        <w:rPr>
          <w:lang w:val="pt-BR"/>
        </w:rPr>
        <w:t xml:space="preserve"> </w:t>
      </w:r>
      <w:r>
        <w:rPr>
          <w:i/>
          <w:iCs/>
          <w:lang w:val="pt-BR"/>
        </w:rPr>
        <w:t xml:space="preserve">Columbia</w:t>
      </w:r>
      <w:r>
        <w:rPr>
          <w:lang w:val="pt-BR"/>
        </w:rPr>
        <w:t xml:space="preserve"> </w:t>
      </w:r>
      <w:r>
        <w:rPr>
          <w:lang w:val="pt-BR"/>
        </w:rPr>
        <w:t xml:space="preserve">adormecida de Flagg compartilham um mesmo traço diagnóstico: em todas, o corpo feminino preserva um resíduo de corporalidade que o impede de funcionar como função pura. Esse resíduo é o sintoma de uma cultura visual que, ao tentar compor alegorias de república, recusa-se a matar completamente o corpo que as sustenta.</w:t>
      </w:r>
    </w:p>
    <w:p>
      <w:pPr>
        <w:pStyle w:val="BlockText"/>
      </w:pPr>
      <w:r>
        <w:rPr>
          <w:lang w:val="pt-BR"/>
        </w:rPr>
        <w:t xml:space="preserve">O Zwischenraum, neste painel, é o</w:t>
      </w:r>
      <w:r>
        <w:rPr>
          <w:lang w:val="pt-BR"/>
        </w:rPr>
        <w:t xml:space="preserve"> </w:t>
      </w:r>
      <w:r>
        <w:rPr>
          <w:i/>
          <w:iCs/>
          <w:lang w:val="pt-BR"/>
        </w:rPr>
        <w:t xml:space="preserve">cemitério das alegorias mal-nascidas</w:t>
      </w:r>
      <w:r>
        <w:rPr>
          <w:lang w:val="pt-BR"/>
        </w:rPr>
        <w:t xml:space="preserve">. Corpos que nele persistem apodrecem como moeda circulante que não pode ser exibida. A recolha do Educational Series em 1896 é o ato forense de um sistema que reconhece, em sua própria produção, a impossibilidade de realizar o Contrato Racial Visual como contrato cumprido: o corpo ali presente é demasiado branco para ser exótico, demasiado vivo para ser abstrato, demasiado educador para ser inocente. A solução americana — a substituição da Feminilidade de Estado por figuras masculinas ou por abstrações espectrais — desloca o problema para fora do campo iconocrático feminino, sem resolvê-lo.</w:t>
      </w:r>
    </w:p>
    <w:p>
      <w:pPr>
        <w:pStyle w:val="BlockText"/>
      </w:pPr>
      <w:r>
        <w:rPr>
          <w:lang w:val="pt-BR"/>
        </w:rPr>
        <w:t xml:space="preserve">Na travessia francesa exemplificada por FR-038, a dessexualização é conquista operacional; o caso americano demonstra que a incompletude é mais grave que a ausência. A</w:t>
      </w:r>
      <w:r>
        <w:rPr>
          <w:lang w:val="pt-BR"/>
        </w:rPr>
        <w:t xml:space="preserve"> </w:t>
      </w:r>
      <w:r>
        <w:rPr>
          <w:i/>
          <w:iCs/>
          <w:lang w:val="pt-BR"/>
        </w:rPr>
        <w:t xml:space="preserve">Seated Liberty</w:t>
      </w:r>
      <w:r>
        <w:rPr>
          <w:lang w:val="pt-BR"/>
        </w:rPr>
        <w:t xml:space="preserve"> </w:t>
      </w:r>
      <w:r>
        <w:rPr>
          <w:lang w:val="pt-BR"/>
        </w:rPr>
        <w:t xml:space="preserve">incompleta é mais perigosa que a</w:t>
      </w:r>
      <w:r>
        <w:rPr>
          <w:lang w:val="pt-BR"/>
        </w:rPr>
        <w:t xml:space="preserve"> </w:t>
      </w:r>
      <w:r>
        <w:rPr>
          <w:i/>
          <w:iCs/>
          <w:lang w:val="pt-BR"/>
        </w:rPr>
        <w:t xml:space="preserve">Semeuse</w:t>
      </w:r>
      <w:r>
        <w:rPr>
          <w:lang w:val="pt-BR"/>
        </w:rPr>
        <w:t xml:space="preserve"> </w:t>
      </w:r>
      <w:r>
        <w:rPr>
          <w:lang w:val="pt-BR"/>
        </w:rPr>
        <w:t xml:space="preserve">completa porque oferece, como promessa, uma corporalidade que não pode cumprir — e é dessa promessa frustrada que nasce o recalque. O limiar da dessexualização é uma fronteira absoluta: alegorias que a cruzam persistem; as que falham são</w:t>
      </w:r>
      <w:r>
        <w:rPr>
          <w:lang w:val="pt-BR"/>
        </w:rPr>
        <w:t xml:space="preserve"> </w:t>
      </w:r>
      <w:r>
        <w:rPr>
          <w:i/>
          <w:iCs/>
          <w:lang w:val="pt-BR"/>
        </w:rPr>
        <w:t xml:space="preserve">enterradas vivas</w:t>
      </w:r>
      <w:r>
        <w:rPr>
          <w:lang w:val="pt-BR"/>
        </w:rPr>
        <w:t xml:space="preserve"> </w:t>
      </w:r>
      <w:r>
        <w:rPr>
          <w:lang w:val="pt-BR"/>
        </w:rPr>
        <w:t xml:space="preserve">no arquivo monetário.</w:t>
      </w:r>
    </w:p>
    <w:bookmarkEnd w:id="152"/>
    <w:bookmarkStart w:id="153" w:name="itens-corpus-identificados-3"/>
    <w:p>
      <w:pPr>
        <w:pStyle w:val="Heading3"/>
      </w:pPr>
      <w:r>
        <w:rPr>
          <w:rStyle w:val="SectionNumber"/>
          <w:lang w:val="pt-BR"/>
        </w:rPr>
        <w:t xml:space="preserve">10.4.3</w:t>
      </w:r>
      <w:r>
        <w:tab/>
      </w:r>
      <w:r>
        <w:rPr>
          <w:lang w:val="pt-BR"/>
        </w:rPr>
        <w:t xml:space="preserve">9.4.3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lang w:val="pt-BR"/>
              </w:rPr>
              <w:t xml:space="preserve">Gobrecht / Hughes,</w:t>
            </w:r>
            <w:r>
              <w:rPr>
                <w:lang w:val="pt-BR"/>
              </w:rPr>
              <w:t xml:space="preserve"> </w:t>
            </w:r>
            <w:r>
              <w:rPr>
                <w:i/>
                <w:iCs/>
                <w:lang w:val="pt-BR"/>
              </w:rPr>
              <w:t xml:space="preserve">Seated Liberty</w:t>
            </w:r>
          </w:p>
        </w:tc>
        <w:tc>
          <w:tcPr/>
          <w:p>
            <w:pPr>
              <w:pStyle w:val="Compact"/>
            </w:pPr>
            <w:r>
              <w:rPr>
                <w:lang w:val="pt-BR"/>
              </w:rPr>
              <w:t xml:space="preserve">US-SEATED-1840</w:t>
            </w:r>
          </w:p>
        </w:tc>
        <w:tc>
          <w:tcPr/>
          <w:p>
            <w:pPr>
              <w:pStyle w:val="Compact"/>
            </w:pPr>
            <w:r>
              <w:rPr>
                <w:lang w:val="pt-BR"/>
              </w:rPr>
              <w:t xml:space="preserve">normativo (falho)</w:t>
            </w:r>
          </w:p>
        </w:tc>
        <w:tc>
          <w:tcPr/>
          <w:p>
            <w:pPr>
              <w:pStyle w:val="Compact"/>
            </w:pPr>
            <w:r>
              <w:rPr>
                <w:lang w:val="pt-BR"/>
              </w:rPr>
              <w:t xml:space="preserve">1,9 (estimado)</w:t>
            </w:r>
          </w:p>
        </w:tc>
        <w:tc>
          <w:tcPr/>
          <w:p>
            <w:pPr>
              <w:pStyle w:val="Compact"/>
            </w:pPr>
            <w:r>
              <w:rPr>
                <w:lang w:val="pt-BR"/>
              </w:rPr>
              <w:t xml:space="preserve">Polo esquerdo: limiar inacabado, corpo que resiste à purificação</w:t>
            </w:r>
          </w:p>
        </w:tc>
      </w:tr>
      <w:tr>
        <w:tc>
          <w:tcPr/>
          <w:p>
            <w:pPr>
              <w:pStyle w:val="Compact"/>
            </w:pPr>
            <w:r>
              <w:rPr>
                <w:lang w:val="pt-BR"/>
              </w:rPr>
              <w:t xml:space="preserve">Low / Barber,</w:t>
            </w:r>
            <w:r>
              <w:rPr>
                <w:lang w:val="pt-BR"/>
              </w:rPr>
              <w:t xml:space="preserve"> </w:t>
            </w:r>
            <w:r>
              <w:rPr>
                <w:i/>
                <w:iCs/>
                <w:lang w:val="pt-BR"/>
              </w:rPr>
              <w:t xml:space="preserve">History Instructing Youth</w:t>
            </w:r>
          </w:p>
        </w:tc>
        <w:tc>
          <w:tcPr/>
          <w:p>
            <w:pPr>
              <w:pStyle w:val="Compact"/>
            </w:pPr>
            <w:r>
              <w:rPr>
                <w:lang w:val="pt-BR"/>
              </w:rPr>
              <w:t xml:space="preserve">US-EDUC-1896-01</w:t>
            </w:r>
          </w:p>
        </w:tc>
        <w:tc>
          <w:tcPr/>
          <w:p>
            <w:pPr>
              <w:pStyle w:val="Compact"/>
            </w:pPr>
            <w:r>
              <w:rPr>
                <w:lang w:val="pt-BR"/>
              </w:rPr>
              <w:t xml:space="preserve">fundacional (regresso em regime normativo)</w:t>
            </w:r>
          </w:p>
        </w:tc>
        <w:tc>
          <w:tcPr/>
          <w:p>
            <w:pPr>
              <w:pStyle w:val="Compact"/>
            </w:pPr>
            <w:r>
              <w:rPr>
                <w:lang w:val="pt-BR"/>
              </w:rPr>
              <w:t xml:space="preserve">1,5 (estimado)</w:t>
            </w:r>
          </w:p>
        </w:tc>
        <w:tc>
          <w:tcPr/>
          <w:p>
            <w:pPr>
              <w:pStyle w:val="Compact"/>
            </w:pPr>
            <w:r>
              <w:rPr>
                <w:lang w:val="pt-BR"/>
              </w:rPr>
              <w:t xml:space="preserve">Polo direito: catástrofe performativa do corpo pedagógico vivo</w:t>
            </w:r>
          </w:p>
        </w:tc>
      </w:tr>
      <w:tr>
        <w:tc>
          <w:tcPr/>
          <w:p>
            <w:pPr>
              <w:pStyle w:val="Compact"/>
            </w:pPr>
            <w:r>
              <w:rPr>
                <w:lang w:val="pt-BR"/>
              </w:rPr>
              <w:t xml:space="preserve">Flagg,</w:t>
            </w:r>
            <w:r>
              <w:rPr>
                <w:lang w:val="pt-BR"/>
              </w:rPr>
              <w:t xml:space="preserve"> </w:t>
            </w:r>
            <w:r>
              <w:rPr>
                <w:i/>
                <w:iCs/>
                <w:lang w:val="pt-BR"/>
              </w:rPr>
              <w:t xml:space="preserve">Columbia</w:t>
            </w:r>
          </w:p>
        </w:tc>
        <w:tc>
          <w:tcPr/>
          <w:p>
            <w:pPr>
              <w:pStyle w:val="Compact"/>
            </w:pPr>
            <w:r>
              <w:rPr>
                <w:lang w:val="pt-BR"/>
              </w:rPr>
              <w:t xml:space="preserve">US-011</w:t>
            </w:r>
          </w:p>
        </w:tc>
        <w:tc>
          <w:tcPr/>
          <w:p>
            <w:pPr>
              <w:pStyle w:val="Compact"/>
            </w:pPr>
            <w:r>
              <w:rPr>
                <w:lang w:val="pt-BR"/>
              </w:rPr>
              <w:t xml:space="preserve">militar (fantasmático)</w:t>
            </w:r>
          </w:p>
        </w:tc>
        <w:tc>
          <w:tcPr/>
          <w:p>
            <w:pPr>
              <w:pStyle w:val="Compact"/>
            </w:pPr>
            <w:r>
              <w:rPr>
                <w:lang w:val="pt-BR"/>
              </w:rPr>
              <w:t xml:space="preserve">2,8 (estimado)</w:t>
            </w:r>
          </w:p>
        </w:tc>
        <w:tc>
          <w:tcPr/>
          <w:p>
            <w:pPr>
              <w:pStyle w:val="Compact"/>
            </w:pPr>
            <w:r>
              <w:rPr>
                <w:lang w:val="pt-BR"/>
              </w:rPr>
              <w:t xml:space="preserve">Polo direito: morte programática, Nachleben como desistência</w:t>
            </w:r>
          </w:p>
        </w:tc>
      </w:tr>
      <w:tr>
        <w:tc>
          <w:tcPr/>
          <w:p>
            <w:pPr>
              <w:pStyle w:val="Compact"/>
            </w:pPr>
            <w:r>
              <w:rPr>
                <w:lang w:val="pt-BR"/>
              </w:rPr>
              <w:t xml:space="preserve">Roty,</w:t>
            </w:r>
            <w:r>
              <w:rPr>
                <w:lang w:val="pt-BR"/>
              </w:rPr>
              <w:t xml:space="preserve"> </w:t>
            </w:r>
            <w:r>
              <w:rPr>
                <w:i/>
                <w:iCs/>
                <w:lang w:val="pt-BR"/>
              </w:rPr>
              <w:t xml:space="preserve">La Semeuse</w:t>
            </w:r>
          </w:p>
        </w:tc>
        <w:tc>
          <w:tcPr/>
          <w:p>
            <w:pPr>
              <w:pStyle w:val="Compact"/>
            </w:pPr>
            <w:r>
              <w:rPr>
                <w:lang w:val="pt-BR"/>
              </w:rPr>
              <w:t xml:space="preserve">FR-038</w:t>
            </w:r>
          </w:p>
        </w:tc>
        <w:tc>
          <w:tcPr/>
          <w:p>
            <w:pPr>
              <w:pStyle w:val="Compact"/>
            </w:pPr>
            <w:r>
              <w:rPr>
                <w:lang w:val="pt-BR"/>
              </w:rPr>
              <w:t xml:space="preserve">normativo (traj. → militar)</w:t>
            </w:r>
          </w:p>
        </w:tc>
        <w:tc>
          <w:tcPr/>
          <w:p>
            <w:pPr>
              <w:pStyle w:val="Compact"/>
            </w:pPr>
            <w:r>
              <w:rPr>
                <w:lang w:val="pt-BR"/>
              </w:rPr>
              <w:t xml:space="preserve">2,7 (estimado)</w:t>
            </w:r>
          </w:p>
        </w:tc>
        <w:tc>
          <w:tcPr/>
          <w:p>
            <w:pPr>
              <w:pStyle w:val="Compact"/>
            </w:pPr>
            <w:r>
              <w:rPr>
                <w:lang w:val="pt-BR"/>
              </w:rPr>
              <w:t xml:space="preserve">Contraponto: travessia bem-sucedida do limiar da dessexualização</w:t>
            </w:r>
          </w:p>
        </w:tc>
      </w:tr>
    </w:tbl>
    <w:p>
      <w:r>
        <w:pict>
          <v:rect style="width:0;height:1.5pt" o:hralign="center" o:hrstd="t" o:hr="t"/>
        </w:pict>
      </w:r>
    </w:p>
    <w:bookmarkEnd w:id="153"/>
    <w:bookmarkEnd w:id="154"/>
    <w:bookmarkStart w:id="161" w:name="Xa26ff323851612996d335906c1f892a669f9cfc"/>
    <w:p>
      <w:pPr>
        <w:pStyle w:val="Heading2"/>
      </w:pPr>
      <w:r>
        <w:rPr>
          <w:rStyle w:val="SectionNumber"/>
          <w:lang w:val="pt-BR"/>
        </w:rPr>
        <w:t xml:space="preserve">10.5</w:t>
      </w:r>
      <w:r>
        <w:tab/>
      </w:r>
      <w:r>
        <w:rPr>
          <w:lang w:val="pt-BR"/>
        </w:rPr>
        <w:t xml:space="preserve">9.5 — Painel V: PEDRA E BRONZE — O Teto do Endurecimento</w:t>
      </w:r>
    </w:p>
    <w:p>
      <w:pPr>
        <w:pStyle w:val="BlockText"/>
      </w:pPr>
      <w:r>
        <w:rPr>
          <w:b/>
          <w:bCs/>
          <w:lang w:val="pt-BR"/>
        </w:rPr>
        <w:t xml:space="preserve">Zwischenraum temático:</w:t>
      </w:r>
      <w:r>
        <w:rPr>
          <w:lang w:val="pt-BR"/>
        </w:rPr>
        <w:t xml:space="preserve"> </w:t>
      </w:r>
      <w:r>
        <w:rPr>
          <w:lang w:val="pt-BR"/>
        </w:rPr>
        <w:t xml:space="preserve">Se a moeda é o suporte da serialidade e o selo o da reprodução, a</w:t>
      </w:r>
      <w:r>
        <w:rPr>
          <w:lang w:val="pt-BR"/>
        </w:rPr>
        <w:t xml:space="preserve"> </w:t>
      </w:r>
      <w:r>
        <w:rPr>
          <w:lang w:val="pt-BR"/>
        </w:rPr>
        <w:t xml:space="preserve">escultura e a arquitetura forense são os suportes da</w:t>
      </w:r>
      <w:r>
        <w:rPr>
          <w:lang w:val="pt-BR"/>
        </w:rPr>
        <w:t xml:space="preserve"> </w:t>
      </w:r>
      <w:r>
        <w:rPr>
          <w:i/>
          <w:iCs/>
          <w:lang w:val="pt-BR"/>
        </w:rPr>
        <w:t xml:space="preserve">permanência</w:t>
      </w:r>
      <w:r>
        <w:rPr>
          <w:lang w:val="pt-BR"/>
        </w:rPr>
        <w:t xml:space="preserve">. Este painel documenta o extremo</w:t>
      </w:r>
      <w:r>
        <w:rPr>
          <w:lang w:val="pt-BR"/>
        </w:rPr>
        <w:t xml:space="preserve"> </w:t>
      </w:r>
      <w:r>
        <w:rPr>
          <w:lang w:val="pt-BR"/>
        </w:rPr>
        <w:t xml:space="preserve">superior do gradiente de endurecimento — o ponto em que a Purificação Clássica se consuma não em</w:t>
      </w:r>
      <w:r>
        <w:rPr>
          <w:lang w:val="pt-BR"/>
        </w:rPr>
        <w:t xml:space="preserve"> </w:t>
      </w:r>
      <w:r>
        <w:rPr>
          <w:lang w:val="pt-BR"/>
        </w:rPr>
        <w:t xml:space="preserve">metal circulante, mas em pedra e bronze imóveis. O Zwischenraum que ele encena não é temporal, mas</w:t>
      </w:r>
      <w:r>
        <w:rPr>
          <w:lang w:val="pt-BR"/>
        </w:rPr>
        <w:t xml:space="preserve"> </w:t>
      </w:r>
      <w:r>
        <w:rPr>
          <w:i/>
          <w:iCs/>
          <w:lang w:val="pt-BR"/>
        </w:rPr>
        <w:t xml:space="preserve">material</w:t>
      </w:r>
      <w:r>
        <w:rPr>
          <w:lang w:val="pt-BR"/>
        </w:rPr>
        <w:t xml:space="preserve">: a passagem do modelo (gesso, projeto) à obra instalada é ela mesma um operador de</w:t>
      </w:r>
      <w:r>
        <w:rPr>
          <w:lang w:val="pt-BR"/>
        </w:rPr>
        <w:t xml:space="preserve"> </w:t>
      </w:r>
      <w:r>
        <w:rPr>
          <w:lang w:val="pt-BR"/>
        </w:rPr>
        <w:t xml:space="preserve">endurecimento. Quando a alegoria vira edifício, a mulher torna-se coluna e a autoridade masculina,</w:t>
      </w:r>
      <w:r>
        <w:rPr>
          <w:lang w:val="pt-BR"/>
        </w:rPr>
        <w:t xml:space="preserve"> </w:t>
      </w:r>
      <w:r>
        <w:rPr>
          <w:lang w:val="pt-BR"/>
        </w:rPr>
        <w:t xml:space="preserve">núcleo. O corpo feminino atinge aqui a sua desincorporação máxima: não representa a estrutura do</w:t>
      </w:r>
      <w:r>
        <w:rPr>
          <w:lang w:val="pt-BR"/>
        </w:rPr>
        <w:t xml:space="preserve"> </w:t>
      </w:r>
      <w:r>
        <w:rPr>
          <w:lang w:val="pt-BR"/>
        </w:rPr>
        <w:t xml:space="preserve">Estado,</w:t>
      </w:r>
      <w:r>
        <w:rPr>
          <w:lang w:val="pt-BR"/>
        </w:rPr>
        <w:t xml:space="preserve"> </w:t>
      </w:r>
      <w:r>
        <w:rPr>
          <w:i/>
          <w:iCs/>
          <w:lang w:val="pt-BR"/>
        </w:rPr>
        <w:t xml:space="preserve">é</w:t>
      </w:r>
      <w:r>
        <w:rPr>
          <w:lang w:val="pt-BR"/>
        </w:rPr>
        <w:t xml:space="preserve"> </w:t>
      </w:r>
      <w:r>
        <w:rPr>
          <w:lang w:val="pt-BR"/>
        </w:rPr>
        <w:t xml:space="preserve">a estrutura.</w:t>
      </w:r>
    </w:p>
    <w:bookmarkStart w:id="158" w:name="layout-do-painel-3-imagens-2-textos-3"/>
    <w:p>
      <w:pPr>
        <w:pStyle w:val="Heading3"/>
      </w:pPr>
      <w:r>
        <w:rPr>
          <w:rStyle w:val="SectionNumber"/>
          <w:lang w:val="pt-BR"/>
        </w:rPr>
        <w:t xml:space="preserve">10.5.1</w:t>
      </w:r>
      <w:r>
        <w:tab/>
      </w:r>
      <w:r>
        <w:rPr>
          <w:lang w:val="pt-BR"/>
        </w:rPr>
        <w:t xml:space="preserve">9.5.1 — Layout do painel (3 imagens + 2 textos)</w:t>
      </w:r>
    </w:p>
    <w:bookmarkStart w:id="155" w:name="X4cc6528e1024a5728c0764d094aae5c5d35f5f2"/>
    <w:p>
      <w:pPr>
        <w:pStyle w:val="Heading4"/>
      </w:pPr>
      <w:r>
        <w:rPr>
          <w:rStyle w:val="SectionNumber"/>
          <w:lang w:val="pt-BR"/>
        </w:rPr>
        <w:t xml:space="preserve">10.5.1.1</w:t>
      </w:r>
      <w:r>
        <w:tab/>
      </w:r>
      <w:r>
        <w:rPr>
          <w:lang w:val="pt-BR"/>
        </w:rPr>
        <w:t xml:space="preserve">[A] Polo esquerdo — O modelo (a pedra ainda em projeto)</w:t>
      </w:r>
    </w:p>
    <w:p>
      <w:pPr>
        <w:pStyle w:val="FirstParagraph"/>
      </w:pPr>
      <w:r>
        <w:rPr>
          <w:b/>
          <w:bCs/>
          <w:lang w:val="pt-BR"/>
        </w:rPr>
        <w:t xml:space="preserve">Imagem:</w:t>
      </w:r>
      <w:r>
        <w:rPr>
          <w:lang w:val="pt-BR"/>
        </w:rPr>
        <w:t xml:space="preserve"> </w:t>
      </w:r>
      <w:r>
        <w:rPr>
          <w:i/>
          <w:iCs/>
          <w:lang w:val="pt-BR"/>
        </w:rPr>
        <w:t xml:space="preserve">Justice and History</w:t>
      </w:r>
      <w:r>
        <w:rPr>
          <w:lang w:val="pt-BR"/>
        </w:rPr>
        <w:t xml:space="preserve">, modelo em gesso para o Capitólio dos EUA, c. 1860. (</w:t>
      </w:r>
      <w:r>
        <w:rPr>
          <w:rStyle w:val="VerbatimChar"/>
          <w:lang w:val="pt-BR"/>
        </w:rPr>
        <w:t xml:space="preserve">416a2c38</w:t>
      </w:r>
      <w:r>
        <w:rPr>
          <w:lang w:val="pt-BR"/>
        </w:rPr>
        <w:t xml:space="preserve">)</w:t>
      </w:r>
    </w:p>
    <w:p>
      <w:pPr>
        <w:pStyle w:val="BodyText"/>
      </w:pPr>
      <w:r>
        <w:rPr>
          <w:b/>
          <w:bCs/>
          <w:lang w:val="pt-BR"/>
        </w:rPr>
        <w:t xml:space="preserve">Texto de painel (250 palavras):</w:t>
      </w:r>
    </w:p>
    <w:p>
      <w:pPr>
        <w:pStyle w:val="BlockText"/>
      </w:pPr>
      <w:r>
        <w:rPr>
          <w:lang w:val="pt-BR"/>
        </w:rPr>
        <w:t xml:space="preserve">O gesso é a pedra</w:t>
      </w:r>
      <w:r>
        <w:rPr>
          <w:lang w:val="pt-BR"/>
        </w:rPr>
        <w:t xml:space="preserve"> </w:t>
      </w:r>
      <w:r>
        <w:rPr>
          <w:i/>
          <w:iCs/>
          <w:lang w:val="pt-BR"/>
        </w:rPr>
        <w:t xml:space="preserve">antes</w:t>
      </w:r>
      <w:r>
        <w:rPr>
          <w:lang w:val="pt-BR"/>
        </w:rPr>
        <w:t xml:space="preserve"> </w:t>
      </w:r>
      <w:r>
        <w:rPr>
          <w:lang w:val="pt-BR"/>
        </w:rPr>
        <w:t xml:space="preserve">da pedra — a forma já fixada, mas ainda não instalada. A</w:t>
      </w:r>
      <w:r>
        <w:rPr>
          <w:lang w:val="pt-BR"/>
        </w:rPr>
        <w:t xml:space="preserve"> </w:t>
      </w:r>
      <w:r>
        <w:rPr>
          <w:i/>
          <w:iCs/>
          <w:lang w:val="pt-BR"/>
        </w:rPr>
        <w:t xml:space="preserve">Justice and</w:t>
      </w:r>
      <w:r>
        <w:rPr>
          <w:i/>
          <w:iCs/>
          <w:lang w:val="pt-BR"/>
        </w:rPr>
        <w:t xml:space="preserve"> </w:t>
      </w:r>
      <w:r>
        <w:rPr>
          <w:i/>
          <w:iCs/>
          <w:lang w:val="pt-BR"/>
        </w:rPr>
        <w:t xml:space="preserve">History</w:t>
      </w:r>
      <w:r>
        <w:rPr>
          <w:lang w:val="pt-BR"/>
        </w:rPr>
        <w:t xml:space="preserve"> </w:t>
      </w:r>
      <w:r>
        <w:rPr>
          <w:lang w:val="pt-BR"/>
        </w:rPr>
        <w:t xml:space="preserve">de c. 1860 mostra o corpo alegórico no limiar da tectônica: enquadramento arquitetônico no</w:t>
      </w:r>
      <w:r>
        <w:rPr>
          <w:lang w:val="pt-BR"/>
        </w:rPr>
        <w:t xml:space="preserve"> </w:t>
      </w:r>
      <w:r>
        <w:rPr>
          <w:lang w:val="pt-BR"/>
        </w:rPr>
        <w:t xml:space="preserve">valor máximo (3), endurecimento composto 2,1. O indicador decisivo não é a figura, mas o seu</w:t>
      </w:r>
      <w:r>
        <w:rPr>
          <w:lang w:val="pt-BR"/>
        </w:rPr>
        <w:t xml:space="preserve"> </w:t>
      </w:r>
      <w:r>
        <w:rPr>
          <w:lang w:val="pt-BR"/>
        </w:rPr>
        <w:t xml:space="preserve">destino: ela foi concebida para</w:t>
      </w:r>
      <w:r>
        <w:rPr>
          <w:lang w:val="pt-BR"/>
        </w:rPr>
        <w:t xml:space="preserve"> </w:t>
      </w:r>
      <w:r>
        <w:rPr>
          <w:i/>
          <w:iCs/>
          <w:lang w:val="pt-BR"/>
        </w:rPr>
        <w:t xml:space="preserve">entrar</w:t>
      </w:r>
      <w:r>
        <w:rPr>
          <w:lang w:val="pt-BR"/>
        </w:rPr>
        <w:t xml:space="preserve"> </w:t>
      </w:r>
      <w:r>
        <w:rPr>
          <w:lang w:val="pt-BR"/>
        </w:rPr>
        <w:t xml:space="preserve">na estrutura do Capitólio, não para adorná-la. Aqui a</w:t>
      </w:r>
      <w:r>
        <w:rPr>
          <w:lang w:val="pt-BR"/>
        </w:rPr>
        <w:t xml:space="preserve"> </w:t>
      </w:r>
      <w:r>
        <w:rPr>
          <w:lang w:val="pt-BR"/>
        </w:rPr>
        <w:t xml:space="preserve">Feminilidade de Estado ainda é projeto — o corpo espera a sua petrificação definitiva. É o polo</w:t>
      </w:r>
      <w:r>
        <w:rPr>
          <w:lang w:val="pt-BR"/>
        </w:rPr>
        <w:t xml:space="preserve"> </w:t>
      </w:r>
      <w:r>
        <w:rPr>
          <w:lang w:val="pt-BR"/>
        </w:rPr>
        <w:t xml:space="preserve">baixo do painel precisamente porque o gesso conserva a possibilidade da correção: a pedra, uma vez</w:t>
      </w:r>
      <w:r>
        <w:rPr>
          <w:lang w:val="pt-BR"/>
        </w:rPr>
        <w:t xml:space="preserve"> </w:t>
      </w:r>
      <w:r>
        <w:rPr>
          <w:lang w:val="pt-BR"/>
        </w:rPr>
        <w:t xml:space="preserve">instalada, não se corrige.</w:t>
      </w:r>
    </w:p>
    <w:bookmarkEnd w:id="155"/>
    <w:bookmarkStart w:id="156" w:name="b-centro-o-suporte-como-operador"/>
    <w:p>
      <w:pPr>
        <w:pStyle w:val="Heading4"/>
      </w:pPr>
      <w:r>
        <w:rPr>
          <w:rStyle w:val="SectionNumber"/>
          <w:lang w:val="pt-BR"/>
        </w:rPr>
        <w:t xml:space="preserve">10.5.1.2</w:t>
      </w:r>
      <w:r>
        <w:tab/>
      </w:r>
      <w:r>
        <w:rPr>
          <w:lang w:val="pt-BR"/>
        </w:rPr>
        <w:t xml:space="preserve">[B] Centro — O suporte como operador</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(250 palavras):</w:t>
      </w:r>
    </w:p>
    <w:p>
      <w:pPr>
        <w:pStyle w:val="BlockText"/>
      </w:pPr>
      <w:r>
        <w:rPr>
          <w:lang w:val="pt-BR"/>
        </w:rPr>
        <w:t xml:space="preserve">O que separa o gesso do granito não é o tempo, mas a</w:t>
      </w:r>
      <w:r>
        <w:rPr>
          <w:lang w:val="pt-BR"/>
        </w:rPr>
        <w:t xml:space="preserve"> </w:t>
      </w:r>
      <w:r>
        <w:rPr>
          <w:i/>
          <w:iCs/>
          <w:lang w:val="pt-BR"/>
        </w:rPr>
        <w:t xml:space="preserve">irreversibilidade</w:t>
      </w:r>
      <w:r>
        <w:rPr>
          <w:lang w:val="pt-BR"/>
        </w:rPr>
        <w:t xml:space="preserve">. A moeda pode ser</w:t>
      </w:r>
      <w:r>
        <w:rPr>
          <w:lang w:val="pt-BR"/>
        </w:rPr>
        <w:t xml:space="preserve"> </w:t>
      </w:r>
      <w:r>
        <w:rPr>
          <w:lang w:val="pt-BR"/>
        </w:rPr>
        <w:t xml:space="preserve">refundida; o selo, redesenhado; o gesso, remodelado. A pedra e o bronze do monumento e da fachada</w:t>
      </w:r>
      <w:r>
        <w:rPr>
          <w:lang w:val="pt-BR"/>
        </w:rPr>
        <w:t xml:space="preserve"> </w:t>
      </w:r>
      <w:r>
        <w:rPr>
          <w:lang w:val="pt-BR"/>
        </w:rPr>
        <w:t xml:space="preserve">forense inscrevem o corpo alegórico num registro sem retorno — e é essa irreversibilidade que</w:t>
      </w:r>
      <w:r>
        <w:rPr>
          <w:lang w:val="pt-BR"/>
        </w:rPr>
        <w:t xml:space="preserve"> </w:t>
      </w:r>
      <w:r>
        <w:rPr>
          <w:lang w:val="pt-BR"/>
        </w:rPr>
        <w:t xml:space="preserve">constitui o seu endurecimento superior. O suporte não é neutro em relação ao sentido: ele</w:t>
      </w:r>
      <w:r>
        <w:rPr>
          <w:lang w:val="pt-BR"/>
        </w:rPr>
        <w:t xml:space="preserve"> </w:t>
      </w:r>
      <w:r>
        <w:rPr>
          <w:i/>
          <w:iCs/>
          <w:lang w:val="pt-BR"/>
        </w:rPr>
        <w:t xml:space="preserve">é</w:t>
      </w:r>
      <w:r>
        <w:rPr>
          <w:lang w:val="pt-BR"/>
        </w:rPr>
        <w:t xml:space="preserve"> </w:t>
      </w:r>
      <w:r>
        <w:rPr>
          <w:lang w:val="pt-BR"/>
        </w:rPr>
        <w:t xml:space="preserve">parte</w:t>
      </w:r>
      <w:r>
        <w:rPr>
          <w:lang w:val="pt-BR"/>
        </w:rPr>
        <w:t xml:space="preserve"> </w:t>
      </w:r>
      <w:r>
        <w:rPr>
          <w:lang w:val="pt-BR"/>
        </w:rPr>
        <w:t xml:space="preserve">da operação. Um mesmo motivo — a Justiça sentada, a República entronizada — endurece mais em bronze</w:t>
      </w:r>
      <w:r>
        <w:rPr>
          <w:lang w:val="pt-BR"/>
        </w:rPr>
        <w:t xml:space="preserve"> </w:t>
      </w:r>
      <w:r>
        <w:rPr>
          <w:lang w:val="pt-BR"/>
        </w:rPr>
        <w:t xml:space="preserve">que em papel, porque o bronze subtrai a possibilidade da revisão. O Zwischenraum entre modelo e obra</w:t>
      </w:r>
      <w:r>
        <w:rPr>
          <w:lang w:val="pt-BR"/>
        </w:rPr>
        <w:t xml:space="preserve"> </w:t>
      </w:r>
      <w:r>
        <w:rPr>
          <w:lang w:val="pt-BR"/>
        </w:rPr>
        <w:t xml:space="preserve">é o intervalo em que a alegoria perde a sua última reversibilidade e adquire a permanência do</w:t>
      </w:r>
      <w:r>
        <w:rPr>
          <w:lang w:val="pt-BR"/>
        </w:rPr>
        <w:t xml:space="preserve"> </w:t>
      </w:r>
      <w:r>
        <w:rPr>
          <w:lang w:val="pt-BR"/>
        </w:rPr>
        <w:t xml:space="preserve">edifício.</w:t>
      </w:r>
    </w:p>
    <w:bookmarkEnd w:id="156"/>
    <w:bookmarkStart w:id="157" w:name="c-polo-direito-a-pedra-total"/>
    <w:p>
      <w:pPr>
        <w:pStyle w:val="Heading4"/>
      </w:pPr>
      <w:r>
        <w:rPr>
          <w:rStyle w:val="SectionNumber"/>
          <w:lang w:val="pt-BR"/>
        </w:rPr>
        <w:t xml:space="preserve">10.5.1.3</w:t>
      </w:r>
      <w:r>
        <w:tab/>
      </w:r>
      <w:r>
        <w:rPr>
          <w:lang w:val="pt-BR"/>
        </w:rPr>
        <w:t xml:space="preserve">[C] Polo direito — A pedra total</w:t>
      </w:r>
    </w:p>
    <w:p>
      <w:pPr>
        <w:pStyle w:val="FirstParagraph"/>
      </w:pPr>
      <w:r>
        <w:rPr>
          <w:b/>
          <w:bCs/>
          <w:lang w:val="pt-BR"/>
        </w:rPr>
        <w:t xml:space="preserve">Imagens:</w:t>
      </w:r>
      <w:r>
        <w:rPr>
          <w:lang w:val="pt-BR"/>
        </w:rPr>
        <w:t xml:space="preserve"> </w:t>
      </w:r>
      <w:r>
        <w:rPr>
          <w:lang w:val="pt-BR"/>
        </w:rPr>
        <w:t xml:space="preserve">(1) Alfredo Ceschiatti,</w:t>
      </w:r>
      <w:r>
        <w:rPr>
          <w:lang w:val="pt-BR"/>
        </w:rPr>
        <w:t xml:space="preserve"> </w:t>
      </w:r>
      <w:r>
        <w:rPr>
          <w:i/>
          <w:iCs/>
          <w:lang w:val="pt-BR"/>
        </w:rPr>
        <w:t xml:space="preserve">A Justiça</w:t>
      </w:r>
      <w:r>
        <w:rPr>
          <w:lang w:val="pt-BR"/>
        </w:rPr>
        <w:t xml:space="preserve">, granito, STF, Brasília, 1961 (</w:t>
      </w:r>
      <w:r>
        <w:rPr>
          <w:rStyle w:val="VerbatimChar"/>
          <w:lang w:val="pt-BR"/>
        </w:rPr>
        <w:t xml:space="preserve">9eecda17</w:t>
      </w:r>
      <w:r>
        <w:rPr>
          <w:lang w:val="pt-BR"/>
        </w:rPr>
        <w:t xml:space="preserve">); (2) Joseph</w:t>
      </w:r>
      <w:r>
        <w:rPr>
          <w:lang w:val="pt-BR"/>
        </w:rPr>
        <w:t xml:space="preserve"> </w:t>
      </w:r>
      <w:r>
        <w:rPr>
          <w:lang w:val="pt-BR"/>
        </w:rPr>
        <w:t xml:space="preserve">Poelaert,</w:t>
      </w:r>
      <w:r>
        <w:rPr>
          <w:lang w:val="pt-BR"/>
        </w:rPr>
        <w:t xml:space="preserve"> </w:t>
      </w:r>
      <w:r>
        <w:rPr>
          <w:i/>
          <w:iCs/>
          <w:lang w:val="pt-BR"/>
        </w:rPr>
        <w:t xml:space="preserve">Palais de Justice de Bruxelles</w:t>
      </w:r>
      <w:r>
        <w:rPr>
          <w:lang w:val="pt-BR"/>
        </w:rPr>
        <w:t xml:space="preserve">, arquitetura forense, 1866–1883 (</w:t>
      </w:r>
      <w:r>
        <w:rPr>
          <w:rStyle w:val="VerbatimChar"/>
          <w:lang w:val="pt-BR"/>
        </w:rPr>
        <w:t xml:space="preserve">d77a533b</w:t>
      </w:r>
      <w:r>
        <w:rPr>
          <w:lang w:val="pt-BR"/>
        </w:rPr>
        <w:t xml:space="preserve">).</w:t>
      </w:r>
    </w:p>
    <w:p>
      <w:pPr>
        <w:pStyle w:val="BodyText"/>
      </w:pPr>
      <w:r>
        <w:rPr>
          <w:b/>
          <w:bCs/>
          <w:lang w:val="pt-BR"/>
        </w:rPr>
        <w:t xml:space="preserve">Texto de painel (300 palavras):</w:t>
      </w:r>
    </w:p>
    <w:p>
      <w:pPr>
        <w:pStyle w:val="BlockText"/>
      </w:pPr>
      <w:r>
        <w:rPr>
          <w:lang w:val="pt-BR"/>
        </w:rPr>
        <w:t xml:space="preserve">No polo direito, dois graus da mesma consumação. A</w:t>
      </w:r>
      <w:r>
        <w:rPr>
          <w:lang w:val="pt-BR"/>
        </w:rPr>
        <w:t xml:space="preserve"> </w:t>
      </w:r>
      <w:r>
        <w:rPr>
          <w:i/>
          <w:iCs/>
          <w:lang w:val="pt-BR"/>
        </w:rPr>
        <w:t xml:space="preserve">Justiça</w:t>
      </w:r>
      <w:r>
        <w:rPr>
          <w:lang w:val="pt-BR"/>
        </w:rPr>
        <w:t xml:space="preserve"> </w:t>
      </w:r>
      <w:r>
        <w:rPr>
          <w:lang w:val="pt-BR"/>
        </w:rPr>
        <w:t xml:space="preserve">de Ceschiatti (composto 2,2) é o corpo</w:t>
      </w:r>
      <w:r>
        <w:rPr>
          <w:lang w:val="pt-BR"/>
        </w:rPr>
        <w:t xml:space="preserve"> </w:t>
      </w:r>
      <w:r>
        <w:rPr>
          <w:lang w:val="pt-BR"/>
        </w:rPr>
        <w:t xml:space="preserve">feminino convertido em bloco de granito: sentada, cega, armada, silenciosa — cada atributo uma</w:t>
      </w:r>
      <w:r>
        <w:rPr>
          <w:lang w:val="pt-BR"/>
        </w:rPr>
        <w:t xml:space="preserve"> </w:t>
      </w:r>
      <w:r>
        <w:rPr>
          <w:lang w:val="pt-BR"/>
        </w:rPr>
        <w:t xml:space="preserve">subtração, cada subtração um endurecimento. A</w:t>
      </w:r>
      <w:r>
        <w:rPr>
          <w:lang w:val="pt-BR"/>
        </w:rPr>
        <w:t xml:space="preserve"> </w:t>
      </w:r>
      <w:r>
        <w:rPr>
          <w:rStyle w:val="VerbatimChar"/>
          <w:lang w:val="pt-BR"/>
        </w:rPr>
        <w:t xml:space="preserve">ref_genealogica</w:t>
      </w:r>
      <w:r>
        <w:rPr>
          <w:lang w:val="pt-BR"/>
        </w:rPr>
        <w:t xml:space="preserve"> </w:t>
      </w:r>
      <w:r>
        <w:rPr>
          <w:lang w:val="pt-BR"/>
        </w:rPr>
        <w:t xml:space="preserve">codificada do item remete a Carvalho</w:t>
      </w:r>
      <w:r>
        <w:rPr>
          <w:lang w:val="pt-BR"/>
        </w:rPr>
        <w:t xml:space="preserve"> </w:t>
      </w:r>
      <w:r>
        <w:rPr>
          <w:lang w:val="pt-BR"/>
        </w:rPr>
        <w:t xml:space="preserve">(Carvalho, 1990)</w:t>
      </w:r>
      <w:r>
        <w:rPr>
          <w:lang w:val="pt-BR"/>
        </w:rPr>
        <w:t xml:space="preserve">; o par sugerido pela própria codificação (contraste com uma República anterior de</w:t>
      </w:r>
      <w:r>
        <w:rPr>
          <w:lang w:val="pt-BR"/>
        </w:rPr>
        <w:t xml:space="preserve"> </w:t>
      </w:r>
      <w:r>
        <w:rPr>
          <w:lang w:val="pt-BR"/>
        </w:rPr>
        <w:t xml:space="preserve">escore muito inferior) desenha um arco de endurecimento de meio século em que todos os indicadores</w:t>
      </w:r>
      <w:r>
        <w:rPr>
          <w:lang w:val="pt-BR"/>
        </w:rPr>
        <w:t xml:space="preserve"> </w:t>
      </w:r>
      <w:r>
        <w:rPr>
          <w:lang w:val="pt-BR"/>
        </w:rPr>
        <w:t xml:space="preserve">sobem.</w:t>
      </w:r>
    </w:p>
    <w:p>
      <w:pPr>
        <w:pStyle w:val="BlockText"/>
      </w:pPr>
      <w:r>
        <w:rPr>
          <w:lang w:val="pt-BR"/>
        </w:rPr>
        <w:t xml:space="preserve">Mas é o Palais de Poelaert (composto ≈ 3,0 — ajustado para 2,9 na nota de codificação, que rebaixa a inscrição estatal porque a autoridade aqui é arquitetônica, não textual; cf. 7.5 —, o teto empírico de todo o corpus) que leva a operação</w:t>
      </w:r>
      <w:r>
        <w:rPr>
          <w:lang w:val="pt-BR"/>
        </w:rPr>
        <w:t xml:space="preserve"> </w:t>
      </w:r>
      <w:r>
        <w:rPr>
          <w:lang w:val="pt-BR"/>
        </w:rPr>
        <w:t xml:space="preserve">ao seu termo. Aqui não há mais estátua: há edifício. A anotação de nível 3 do registro é o coração</w:t>
      </w:r>
      <w:r>
        <w:rPr>
          <w:lang w:val="pt-BR"/>
        </w:rPr>
        <w:t xml:space="preserve"> </w:t>
      </w:r>
      <w:r>
        <w:rPr>
          <w:lang w:val="pt-BR"/>
        </w:rPr>
        <w:t xml:space="preserve">do argumento da arquitetura forense:</w:t>
      </w:r>
      <w:r>
        <w:rPr>
          <w:lang w:val="pt-BR"/>
        </w:rPr>
        <w:t xml:space="preserve"> </w:t>
      </w:r>
      <w:r>
        <w:rPr>
          <w:i/>
          <w:iCs/>
          <w:lang w:val="pt-BR"/>
        </w:rPr>
        <w:t xml:space="preserve">beleza feminina = face cultural do edifício; autoridade</w:t>
      </w:r>
      <w:r>
        <w:rPr>
          <w:i/>
          <w:iCs/>
          <w:lang w:val="pt-BR"/>
        </w:rPr>
        <w:t xml:space="preserve"> </w:t>
      </w:r>
      <w:r>
        <w:rPr>
          <w:i/>
          <w:iCs/>
          <w:lang w:val="pt-BR"/>
        </w:rPr>
        <w:t xml:space="preserve">masculina = núcleo operativo; as mulheres tornam-se colunas, e, no interior, todos os retratos são</w:t>
      </w:r>
      <w:r>
        <w:rPr>
          <w:i/>
          <w:iCs/>
          <w:lang w:val="pt-BR"/>
        </w:rPr>
        <w:t xml:space="preserve"> </w:t>
      </w:r>
      <w:r>
        <w:rPr>
          <w:i/>
          <w:iCs/>
          <w:lang w:val="pt-BR"/>
        </w:rPr>
        <w:t xml:space="preserve">de juristas homens</w:t>
      </w:r>
      <w:r>
        <w:rPr>
          <w:lang w:val="pt-BR"/>
        </w:rPr>
        <w:t xml:space="preserve">. O corpo feminino alcançou a desincorporação absoluta — desapareceu como corpo</w:t>
      </w:r>
      <w:r>
        <w:rPr>
          <w:lang w:val="pt-BR"/>
        </w:rPr>
        <w:t xml:space="preserve"> </w:t>
      </w:r>
      <w:r>
        <w:rPr>
          <w:lang w:val="pt-BR"/>
        </w:rPr>
        <w:t xml:space="preserve">para reaparecer como massa, altura e pedra. É a formulação mais literal do Contrato Sexual Visual: a</w:t>
      </w:r>
      <w:r>
        <w:rPr>
          <w:lang w:val="pt-BR"/>
        </w:rPr>
        <w:t xml:space="preserve"> </w:t>
      </w:r>
      <w:r>
        <w:rPr>
          <w:lang w:val="pt-BR"/>
        </w:rPr>
        <w:t xml:space="preserve">fachada exibe o rosto de mulher enquanto o interior mantém intacta a fraternidade masculina</w:t>
      </w:r>
      <w:r>
        <w:rPr>
          <w:lang w:val="pt-BR"/>
        </w:rPr>
        <w:t xml:space="preserve"> </w:t>
      </w:r>
      <w:r>
        <w:rPr>
          <w:lang w:val="pt-BR"/>
        </w:rPr>
        <w:t xml:space="preserve">(Pateman, 1993)</w:t>
      </w:r>
      <w:r>
        <w:rPr>
          <w:lang w:val="pt-BR"/>
        </w:rPr>
        <w:t xml:space="preserve">. A visiocracia de Goodrich</w:t>
      </w:r>
      <w:r>
        <w:rPr>
          <w:lang w:val="pt-BR"/>
        </w:rPr>
        <w:t xml:space="preserve"> </w:t>
      </w:r>
      <w:r>
        <w:rPr>
          <w:lang w:val="pt-BR"/>
        </w:rPr>
        <w:t xml:space="preserve">(Goodrich, 2013a)</w:t>
      </w:r>
      <w:r>
        <w:rPr>
          <w:lang w:val="pt-BR"/>
        </w:rPr>
        <w:t xml:space="preserve"> </w:t>
      </w:r>
      <w:r>
        <w:rPr>
          <w:lang w:val="pt-BR"/>
        </w:rPr>
        <w:t xml:space="preserve">encontra em Poelaert o seu monumento.</w:t>
      </w:r>
    </w:p>
    <w:bookmarkEnd w:id="157"/>
    <w:bookmarkEnd w:id="158"/>
    <w:bookmarkStart w:id="159" w:name="síntese-do-painel-4"/>
    <w:p>
      <w:pPr>
        <w:pStyle w:val="Heading3"/>
      </w:pPr>
      <w:r>
        <w:rPr>
          <w:rStyle w:val="SectionNumber"/>
          <w:lang w:val="pt-BR"/>
        </w:rPr>
        <w:t xml:space="preserve">10.5.2</w:t>
      </w:r>
      <w:r>
        <w:tab/>
      </w:r>
      <w:r>
        <w:rPr>
          <w:lang w:val="pt-BR"/>
        </w:rPr>
        <w:t xml:space="preserve">9.5.2 — Síntese do painel</w:t>
      </w:r>
    </w:p>
    <w:p>
      <w:pPr>
        <w:pStyle w:val="BlockText"/>
      </w:pPr>
      <w:r>
        <w:rPr>
          <w:lang w:val="pt-BR"/>
        </w:rPr>
        <w:t xml:space="preserve">Este painel propõe que o endurecimento não é apenas função da forma representada, mas do</w:t>
      </w:r>
      <w:r>
        <w:rPr>
          <w:lang w:val="pt-BR"/>
        </w:rPr>
        <w:t xml:space="preserve"> </w:t>
      </w:r>
      <w:r>
        <w:rPr>
          <w:i/>
          <w:iCs/>
          <w:lang w:val="pt-BR"/>
        </w:rPr>
        <w:t xml:space="preserve">suporte</w:t>
      </w:r>
      <w:r>
        <w:rPr>
          <w:lang w:val="pt-BR"/>
        </w:rPr>
        <w:t xml:space="preserve"> </w:t>
      </w:r>
      <w:r>
        <w:rPr>
          <w:lang w:val="pt-BR"/>
        </w:rPr>
        <w:t xml:space="preserve">que</w:t>
      </w:r>
      <w:r>
        <w:rPr>
          <w:lang w:val="pt-BR"/>
        </w:rPr>
        <w:t xml:space="preserve"> </w:t>
      </w:r>
      <w:r>
        <w:rPr>
          <w:lang w:val="pt-BR"/>
        </w:rPr>
        <w:t xml:space="preserve">a fixa. A trajetória gesso → granito → arquitetura é uma trajetória de irreversibilidade crescente: a</w:t>
      </w:r>
      <w:r>
        <w:rPr>
          <w:lang w:val="pt-BR"/>
        </w:rPr>
        <w:t xml:space="preserve"> </w:t>
      </w:r>
      <w:r>
        <w:rPr>
          <w:lang w:val="pt-BR"/>
        </w:rPr>
        <w:t xml:space="preserve">Purificação Clássica encontra na pedra e no bronze o seu meio ideal, porque neles a alegoria perde a</w:t>
      </w:r>
      <w:r>
        <w:rPr>
          <w:lang w:val="pt-BR"/>
        </w:rPr>
        <w:t xml:space="preserve"> </w:t>
      </w:r>
      <w:r>
        <w:rPr>
          <w:lang w:val="pt-BR"/>
        </w:rPr>
        <w:t xml:space="preserve">possibilidade da revisão e adquire a permanência do Estado. O teto do endurecimento (Poelaert, ≈ 3,0)</w:t>
      </w:r>
      <w:r>
        <w:rPr>
          <w:lang w:val="pt-BR"/>
        </w:rPr>
        <w:t xml:space="preserve"> </w:t>
      </w:r>
      <w:r>
        <w:rPr>
          <w:lang w:val="pt-BR"/>
        </w:rPr>
        <w:t xml:space="preserve">não é uma imagem particularmente violenta; é uma imagem particularmente</w:t>
      </w:r>
      <w:r>
        <w:rPr>
          <w:lang w:val="pt-BR"/>
        </w:rPr>
        <w:t xml:space="preserve"> </w:t>
      </w:r>
      <w:r>
        <w:rPr>
          <w:i/>
          <w:iCs/>
          <w:lang w:val="pt-BR"/>
        </w:rPr>
        <w:t xml:space="preserve">permanente</w:t>
      </w:r>
      <w:r>
        <w:rPr>
          <w:lang w:val="pt-BR"/>
        </w:rPr>
        <w:t xml:space="preserve">. A mulher que se</w:t>
      </w:r>
      <w:r>
        <w:rPr>
          <w:lang w:val="pt-BR"/>
        </w:rPr>
        <w:t xml:space="preserve"> </w:t>
      </w:r>
      <w:r>
        <w:rPr>
          <w:lang w:val="pt-BR"/>
        </w:rPr>
        <w:t xml:space="preserve">tornou coluna não pode mais ser derrubada sem que se derrube o edifício.</w:t>
      </w:r>
    </w:p>
    <w:bookmarkEnd w:id="159"/>
    <w:bookmarkStart w:id="160" w:name="itens-corpus-identificados-4"/>
    <w:p>
      <w:pPr>
        <w:pStyle w:val="Heading3"/>
      </w:pPr>
      <w:r>
        <w:rPr>
          <w:rStyle w:val="SectionNumber"/>
          <w:lang w:val="pt-BR"/>
        </w:rPr>
        <w:t xml:space="preserve">10.5.3</w:t>
      </w:r>
      <w:r>
        <w:tab/>
      </w:r>
      <w:r>
        <w:rPr>
          <w:lang w:val="pt-BR"/>
        </w:rPr>
        <w:t xml:space="preserve">9.5.3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i/>
                <w:iCs/>
                <w:lang w:val="pt-BR"/>
              </w:rPr>
              <w:t xml:space="preserve">Justice and History</w:t>
            </w:r>
            <w:r>
              <w:rPr>
                <w:lang w:val="pt-BR"/>
              </w:rPr>
              <w:t xml:space="preserve"> </w:t>
            </w:r>
            <w:r>
              <w:rPr>
                <w:lang w:val="pt-BR"/>
              </w:rPr>
              <w:t xml:space="preserve">(gesso, Capitólio)</w:t>
            </w:r>
          </w:p>
        </w:tc>
        <w:tc>
          <w:tcPr/>
          <w:p>
            <w:pPr>
              <w:pStyle w:val="Compact"/>
            </w:pPr>
            <w:r>
              <w:rPr>
                <w:rStyle w:val="VerbatimChar"/>
                <w:lang w:val="pt-BR"/>
              </w:rPr>
              <w:t xml:space="preserve">416a2c38</w:t>
            </w:r>
          </w:p>
        </w:tc>
        <w:tc>
          <w:tcPr/>
          <w:p>
            <w:pPr>
              <w:pStyle w:val="Compact"/>
            </w:pPr>
            <w:r>
              <w:rPr>
                <w:lang w:val="pt-BR"/>
              </w:rPr>
              <w:t xml:space="preserve">normativo</w:t>
            </w:r>
          </w:p>
        </w:tc>
        <w:tc>
          <w:tcPr/>
          <w:p>
            <w:pPr>
              <w:pStyle w:val="Compact"/>
            </w:pPr>
            <w:r>
              <w:rPr>
                <w:lang w:val="pt-BR"/>
              </w:rPr>
              <w:t xml:space="preserve">2,1</w:t>
            </w:r>
          </w:p>
        </w:tc>
        <w:tc>
          <w:tcPr/>
          <w:p>
            <w:pPr>
              <w:pStyle w:val="Compact"/>
            </w:pPr>
            <w:r>
              <w:rPr>
                <w:lang w:val="pt-BR"/>
              </w:rPr>
              <w:t xml:space="preserve">Polo esquerdo: o modelo, pedra ainda reversível</w:t>
            </w:r>
          </w:p>
        </w:tc>
      </w:tr>
      <w:tr>
        <w:tc>
          <w:tcPr/>
          <w:p>
            <w:pPr>
              <w:pStyle w:val="Compact"/>
            </w:pPr>
            <w:r>
              <w:rPr>
                <w:lang w:val="pt-BR"/>
              </w:rPr>
              <w:t xml:space="preserve">Ceschiatti,</w:t>
            </w:r>
            <w:r>
              <w:rPr>
                <w:lang w:val="pt-BR"/>
              </w:rPr>
              <w:t xml:space="preserve"> </w:t>
            </w:r>
            <w:r>
              <w:rPr>
                <w:i/>
                <w:iCs/>
                <w:lang w:val="pt-BR"/>
              </w:rPr>
              <w:t xml:space="preserve">A Justiça</w:t>
            </w:r>
            <w:r>
              <w:rPr>
                <w:lang w:val="pt-BR"/>
              </w:rPr>
              <w:t xml:space="preserve"> </w:t>
            </w:r>
            <w:r>
              <w:rPr>
                <w:lang w:val="pt-BR"/>
              </w:rPr>
              <w:t xml:space="preserve">(STF)</w:t>
            </w:r>
          </w:p>
        </w:tc>
        <w:tc>
          <w:tcPr/>
          <w:p>
            <w:pPr>
              <w:pStyle w:val="Compact"/>
            </w:pPr>
            <w:r>
              <w:rPr>
                <w:rStyle w:val="VerbatimChar"/>
                <w:lang w:val="pt-BR"/>
              </w:rPr>
              <w:t xml:space="preserve">9eecda17</w:t>
            </w:r>
          </w:p>
        </w:tc>
        <w:tc>
          <w:tcPr/>
          <w:p>
            <w:pPr>
              <w:pStyle w:val="Compact"/>
            </w:pPr>
            <w:r>
              <w:rPr>
                <w:lang w:val="pt-BR"/>
              </w:rPr>
              <w:t xml:space="preserve">militar</w:t>
            </w:r>
          </w:p>
        </w:tc>
        <w:tc>
          <w:tcPr/>
          <w:p>
            <w:pPr>
              <w:pStyle w:val="Compact"/>
            </w:pPr>
            <w:r>
              <w:rPr>
                <w:lang w:val="pt-BR"/>
              </w:rPr>
              <w:t xml:space="preserve">2,2</w:t>
            </w:r>
          </w:p>
        </w:tc>
        <w:tc>
          <w:tcPr/>
          <w:p>
            <w:pPr>
              <w:pStyle w:val="Compact"/>
            </w:pPr>
            <w:r>
              <w:rPr>
                <w:lang w:val="pt-BR"/>
              </w:rPr>
              <w:t xml:space="preserve">Polo direito: corpo em granito</w:t>
            </w:r>
          </w:p>
        </w:tc>
      </w:tr>
      <w:tr>
        <w:tc>
          <w:tcPr/>
          <w:p>
            <w:pPr>
              <w:pStyle w:val="Compact"/>
            </w:pPr>
            <w:r>
              <w:rPr>
                <w:lang w:val="pt-BR"/>
              </w:rPr>
              <w:t xml:space="preserve">Poelaert,</w:t>
            </w:r>
            <w:r>
              <w:rPr>
                <w:lang w:val="pt-BR"/>
              </w:rPr>
              <w:t xml:space="preserve"> </w:t>
            </w:r>
            <w:r>
              <w:rPr>
                <w:i/>
                <w:iCs/>
                <w:lang w:val="pt-BR"/>
              </w:rPr>
              <w:t xml:space="preserve">Palais de Justice</w:t>
            </w:r>
            <w:r>
              <w:rPr>
                <w:lang w:val="pt-BR"/>
              </w:rPr>
              <w:t xml:space="preserve"> </w:t>
            </w:r>
            <w:r>
              <w:rPr>
                <w:lang w:val="pt-BR"/>
              </w:rPr>
              <w:t xml:space="preserve">(Bruxelas)</w:t>
            </w:r>
          </w:p>
        </w:tc>
        <w:tc>
          <w:tcPr/>
          <w:p>
            <w:pPr>
              <w:pStyle w:val="Compact"/>
            </w:pPr>
            <w:r>
              <w:rPr>
                <w:rStyle w:val="VerbatimChar"/>
                <w:lang w:val="pt-BR"/>
              </w:rPr>
              <w:t xml:space="preserve">d77a533b</w:t>
            </w:r>
          </w:p>
        </w:tc>
        <w:tc>
          <w:tcPr/>
          <w:p>
            <w:pPr>
              <w:pStyle w:val="Compact"/>
            </w:pPr>
            <w:r>
              <w:rPr>
                <w:lang w:val="pt-BR"/>
              </w:rPr>
              <w:t xml:space="preserve">normativo</w:t>
            </w:r>
          </w:p>
        </w:tc>
        <w:tc>
          <w:tcPr/>
          <w:p>
            <w:pPr>
              <w:pStyle w:val="Compact"/>
            </w:pPr>
            <w:r>
              <w:rPr>
                <w:lang w:val="pt-BR"/>
              </w:rPr>
              <w:t xml:space="preserve">≈ 3,0 (ajust. 2,9)</w:t>
            </w:r>
          </w:p>
        </w:tc>
        <w:tc>
          <w:tcPr/>
          <w:p>
            <w:pPr>
              <w:pStyle w:val="Compact"/>
            </w:pPr>
            <w:r>
              <w:rPr>
                <w:lang w:val="pt-BR"/>
              </w:rPr>
              <w:t xml:space="preserve">Polo direito: teto do endurecimento, mulher como arquitetura</w:t>
            </w:r>
          </w:p>
        </w:tc>
      </w:tr>
    </w:tbl>
    <w:p>
      <w:r>
        <w:pict>
          <v:rect style="width:0;height:1.5pt" o:hralign="center" o:hrstd="t" o:hr="t"/>
        </w:pict>
      </w:r>
    </w:p>
    <w:bookmarkEnd w:id="160"/>
    <w:bookmarkEnd w:id="161"/>
    <w:bookmarkStart w:id="168" w:name="X1acdcfb65a51ff43197dae6a57dca291bf916be"/>
    <w:p>
      <w:pPr>
        <w:pStyle w:val="Heading2"/>
      </w:pPr>
      <w:r>
        <w:rPr>
          <w:rStyle w:val="SectionNumber"/>
          <w:lang w:val="pt-BR"/>
        </w:rPr>
        <w:t xml:space="preserve">10.6</w:t>
      </w:r>
      <w:r>
        <w:tab/>
      </w:r>
      <w:r>
        <w:rPr>
          <w:lang w:val="pt-BR"/>
        </w:rPr>
        <w:t xml:space="preserve">9.6 — Painel VI: BALANÇA E IMPÉRIO — Da Argumentação à Extração</w:t>
      </w:r>
    </w:p>
    <w:p>
      <w:pPr>
        <w:pStyle w:val="BlockText"/>
      </w:pPr>
      <w:r>
        <w:rPr>
          <w:b/>
          <w:bCs/>
          <w:lang w:val="pt-BR"/>
        </w:rPr>
        <w:t xml:space="preserve">Zwischenraum temático:</w:t>
      </w:r>
      <w:r>
        <w:rPr>
          <w:lang w:val="pt-BR"/>
        </w:rPr>
        <w:t xml:space="preserve"> </w:t>
      </w:r>
      <w:r>
        <w:rPr>
          <w:lang w:val="pt-BR"/>
        </w:rPr>
        <w:t xml:space="preserve">A balança é, antes de atributo de tribunal, argumento diplomático. Este</w:t>
      </w:r>
      <w:r>
        <w:rPr>
          <w:lang w:val="pt-BR"/>
        </w:rPr>
        <w:t xml:space="preserve"> </w:t>
      </w:r>
      <w:r>
        <w:rPr>
          <w:lang w:val="pt-BR"/>
        </w:rPr>
        <w:t xml:space="preserve">painel encena a passagem do corpo feminino que</w:t>
      </w:r>
      <w:r>
        <w:rPr>
          <w:lang w:val="pt-BR"/>
        </w:rPr>
        <w:t xml:space="preserve"> </w:t>
      </w:r>
      <w:r>
        <w:rPr>
          <w:i/>
          <w:iCs/>
          <w:lang w:val="pt-BR"/>
        </w:rPr>
        <w:t xml:space="preserve">sustenta uma tese</w:t>
      </w:r>
      <w:r>
        <w:rPr>
          <w:lang w:val="pt-BR"/>
        </w:rPr>
        <w:t xml:space="preserve"> </w:t>
      </w:r>
      <w:r>
        <w:rPr>
          <w:lang w:val="pt-BR"/>
        </w:rPr>
        <w:t xml:space="preserve">— a balança como argumento</w:t>
      </w:r>
      <w:r>
        <w:rPr>
          <w:lang w:val="pt-BR"/>
        </w:rPr>
        <w:t xml:space="preserve"> </w:t>
      </w:r>
      <w:r>
        <w:rPr>
          <w:lang w:val="pt-BR"/>
        </w:rPr>
        <w:t xml:space="preserve">geopolítico personificado, nas estampas do fim do século XVIII — ao corpo feminino que</w:t>
      </w:r>
      <w:r>
        <w:rPr>
          <w:lang w:val="pt-BR"/>
        </w:rPr>
        <w:t xml:space="preserve"> </w:t>
      </w:r>
      <w:r>
        <w:rPr>
          <w:i/>
          <w:iCs/>
          <w:lang w:val="pt-BR"/>
        </w:rPr>
        <w:t xml:space="preserve">garante uma</w:t>
      </w:r>
      <w:r>
        <w:rPr>
          <w:i/>
          <w:iCs/>
          <w:lang w:val="pt-BR"/>
        </w:rPr>
        <w:t xml:space="preserve"> </w:t>
      </w:r>
      <w:r>
        <w:rPr>
          <w:i/>
          <w:iCs/>
          <w:lang w:val="pt-BR"/>
        </w:rPr>
        <w:t xml:space="preserve">posse</w:t>
      </w:r>
      <w:r>
        <w:rPr>
          <w:lang w:val="pt-BR"/>
        </w:rPr>
        <w:t xml:space="preserve"> </w:t>
      </w:r>
      <w:r>
        <w:rPr>
          <w:lang w:val="pt-BR"/>
        </w:rPr>
        <w:t xml:space="preserve">— a alegoria republicana convertida em moeda de circulação colonial. O Zwischenraum é a</w:t>
      </w:r>
      <w:r>
        <w:rPr>
          <w:lang w:val="pt-BR"/>
        </w:rPr>
        <w:t xml:space="preserve"> </w:t>
      </w:r>
      <w:r>
        <w:rPr>
          <w:lang w:val="pt-BR"/>
        </w:rPr>
        <w:t xml:space="preserve">conversão do argumento em extração: a mesma figura que, na estampa,</w:t>
      </w:r>
      <w:r>
        <w:rPr>
          <w:lang w:val="pt-BR"/>
        </w:rPr>
        <w:t xml:space="preserve"> </w:t>
      </w:r>
      <w:r>
        <w:rPr>
          <w:i/>
          <w:iCs/>
          <w:lang w:val="pt-BR"/>
        </w:rPr>
        <w:t xml:space="preserve">discute</w:t>
      </w:r>
      <w:r>
        <w:rPr>
          <w:lang w:val="pt-BR"/>
        </w:rPr>
        <w:t xml:space="preserve"> </w:t>
      </w:r>
      <w:r>
        <w:rPr>
          <w:lang w:val="pt-BR"/>
        </w:rPr>
        <w:t xml:space="preserve">o equilíbrio das</w:t>
      </w:r>
      <w:r>
        <w:rPr>
          <w:lang w:val="pt-BR"/>
        </w:rPr>
        <w:t xml:space="preserve"> </w:t>
      </w:r>
      <w:r>
        <w:rPr>
          <w:lang w:val="pt-BR"/>
        </w:rPr>
        <w:t xml:space="preserve">potências, na moeda imperial</w:t>
      </w:r>
      <w:r>
        <w:rPr>
          <w:lang w:val="pt-BR"/>
        </w:rPr>
        <w:t xml:space="preserve"> </w:t>
      </w:r>
      <w:r>
        <w:rPr>
          <w:i/>
          <w:iCs/>
          <w:lang w:val="pt-BR"/>
        </w:rPr>
        <w:t xml:space="preserve">autoriza</w:t>
      </w:r>
      <w:r>
        <w:rPr>
          <w:lang w:val="pt-BR"/>
        </w:rPr>
        <w:t xml:space="preserve"> </w:t>
      </w:r>
      <w:r>
        <w:rPr>
          <w:lang w:val="pt-BR"/>
        </w:rPr>
        <w:t xml:space="preserve">o comércio além-mar. E, coerente com o achado do Capítulo 7,</w:t>
      </w:r>
      <w:r>
        <w:rPr>
          <w:lang w:val="pt-BR"/>
        </w:rPr>
        <w:t xml:space="preserve"> </w:t>
      </w:r>
      <w:r>
        <w:rPr>
          <w:lang w:val="pt-BR"/>
        </w:rPr>
        <w:t xml:space="preserve">a trajetória é de endurecimento crescente na razão inversa da carga narrativa: quanto mais a balança</w:t>
      </w:r>
      <w:r>
        <w:rPr>
          <w:lang w:val="pt-BR"/>
        </w:rPr>
        <w:t xml:space="preserve"> </w:t>
      </w:r>
      <w:r>
        <w:rPr>
          <w:lang w:val="pt-BR"/>
        </w:rPr>
        <w:t xml:space="preserve">argumenta, menos ela petrifica; quanto mais serve ao império, mais endurece.</w:t>
      </w:r>
    </w:p>
    <w:bookmarkStart w:id="165" w:name="layout-do-painel-3-imagens-2-textos-4"/>
    <w:p>
      <w:pPr>
        <w:pStyle w:val="Heading3"/>
      </w:pPr>
      <w:r>
        <w:rPr>
          <w:rStyle w:val="SectionNumber"/>
          <w:lang w:val="pt-BR"/>
        </w:rPr>
        <w:t xml:space="preserve">10.6.1</w:t>
      </w:r>
      <w:r>
        <w:tab/>
      </w:r>
      <w:r>
        <w:rPr>
          <w:lang w:val="pt-BR"/>
        </w:rPr>
        <w:t xml:space="preserve">9.6.1 — Layout do painel (3 imagens + 2 textos)</w:t>
      </w:r>
    </w:p>
    <w:bookmarkStart w:id="162" w:name="a-polo-esquerdo-a-balança-como-argumento"/>
    <w:p>
      <w:pPr>
        <w:pStyle w:val="Heading4"/>
      </w:pPr>
      <w:r>
        <w:rPr>
          <w:rStyle w:val="SectionNumber"/>
          <w:lang w:val="pt-BR"/>
        </w:rPr>
        <w:t xml:space="preserve">10.6.1.1</w:t>
      </w:r>
      <w:r>
        <w:tab/>
      </w:r>
      <w:r>
        <w:rPr>
          <w:lang w:val="pt-BR"/>
        </w:rPr>
        <w:t xml:space="preserve">[A] Polo esquerdo — A balança como argumento</w:t>
      </w:r>
    </w:p>
    <w:p>
      <w:pPr>
        <w:pStyle w:val="FirstParagraph"/>
      </w:pPr>
      <w:r>
        <w:rPr>
          <w:b/>
          <w:bCs/>
          <w:lang w:val="pt-BR"/>
        </w:rPr>
        <w:t xml:space="preserve">Imagens:</w:t>
      </w:r>
      <w:r>
        <w:rPr>
          <w:lang w:val="pt-BR"/>
        </w:rPr>
        <w:t xml:space="preserve"> </w:t>
      </w:r>
      <w:r>
        <w:rPr>
          <w:lang w:val="pt-BR"/>
        </w:rPr>
        <w:t xml:space="preserve">(1)</w:t>
      </w:r>
      <w:r>
        <w:rPr>
          <w:lang w:val="pt-BR"/>
        </w:rPr>
        <w:t xml:space="preserve"> </w:t>
      </w:r>
      <w:r>
        <w:rPr>
          <w:i/>
          <w:iCs/>
          <w:lang w:val="pt-BR"/>
        </w:rPr>
        <w:t xml:space="preserve">America pois’d in the balance of justice</w:t>
      </w:r>
      <w:r>
        <w:rPr>
          <w:lang w:val="pt-BR"/>
        </w:rPr>
        <w:t xml:space="preserve">, estampa, 1776 (</w:t>
      </w:r>
      <w:r>
        <w:rPr>
          <w:rStyle w:val="VerbatimChar"/>
          <w:lang w:val="pt-BR"/>
        </w:rPr>
        <w:t xml:space="preserve">543550b1</w:t>
      </w:r>
      <w:r>
        <w:rPr>
          <w:lang w:val="pt-BR"/>
        </w:rPr>
        <w:t xml:space="preserve">); (2)</w:t>
      </w:r>
      <w:r>
        <w:rPr>
          <w:lang w:val="pt-BR"/>
        </w:rPr>
        <w:t xml:space="preserve"> </w:t>
      </w:r>
      <w:r>
        <w:rPr>
          <w:i/>
          <w:iCs/>
          <w:lang w:val="pt-BR"/>
        </w:rPr>
        <w:t xml:space="preserve">Die Wage</w:t>
      </w:r>
      <w:r>
        <w:rPr>
          <w:i/>
          <w:iCs/>
          <w:lang w:val="pt-BR"/>
        </w:rPr>
        <w:t xml:space="preserve"> </w:t>
      </w:r>
      <w:r>
        <w:rPr>
          <w:i/>
          <w:iCs/>
          <w:lang w:val="pt-BR"/>
        </w:rPr>
        <w:t xml:space="preserve">der Macht / La balance de la puissance</w:t>
      </w:r>
      <w:r>
        <w:rPr>
          <w:lang w:val="pt-BR"/>
        </w:rPr>
        <w:t xml:space="preserve">, estampa, 1780 (</w:t>
      </w:r>
      <w:r>
        <w:rPr>
          <w:rStyle w:val="VerbatimChar"/>
          <w:lang w:val="pt-BR"/>
        </w:rPr>
        <w:t xml:space="preserve">1ae7c4ae</w:t>
      </w:r>
      <w:r>
        <w:rPr>
          <w:lang w:val="pt-BR"/>
        </w:rPr>
        <w:t xml:space="preserve">).</w:t>
      </w:r>
    </w:p>
    <w:p>
      <w:pPr>
        <w:pStyle w:val="BodyText"/>
      </w:pPr>
      <w:r>
        <w:rPr>
          <w:b/>
          <w:bCs/>
          <w:lang w:val="pt-BR"/>
        </w:rPr>
        <w:t xml:space="preserve">Texto de painel (300 palavras):</w:t>
      </w:r>
    </w:p>
    <w:p>
      <w:pPr>
        <w:pStyle w:val="BlockText"/>
      </w:pPr>
      <w:r>
        <w:rPr>
          <w:lang w:val="pt-BR"/>
        </w:rPr>
        <w:t xml:space="preserve">No polo esquerdo, a balança é</w:t>
      </w:r>
      <w:r>
        <w:rPr>
          <w:lang w:val="pt-BR"/>
        </w:rPr>
        <w:t xml:space="preserve"> </w:t>
      </w:r>
      <w:r>
        <w:rPr>
          <w:i/>
          <w:iCs/>
          <w:lang w:val="pt-BR"/>
        </w:rPr>
        <w:t xml:space="preserve">corpo estendido no espaço político</w:t>
      </w:r>
      <w:r>
        <w:rPr>
          <w:lang w:val="pt-BR"/>
        </w:rPr>
        <w:t xml:space="preserve">. A leitura de nível 3 de</w:t>
      </w:r>
      <w:r>
        <w:rPr>
          <w:lang w:val="pt-BR"/>
        </w:rPr>
        <w:t xml:space="preserve"> </w:t>
      </w:r>
      <w:r>
        <w:rPr>
          <w:rStyle w:val="VerbatimChar"/>
          <w:lang w:val="pt-BR"/>
        </w:rPr>
        <w:t xml:space="preserve">1ae7c4ae</w:t>
      </w:r>
      <w:r>
        <w:rPr>
          <w:lang w:val="pt-BR"/>
        </w:rPr>
        <w:t xml:space="preserve"> </w:t>
      </w:r>
      <w:r>
        <w:rPr>
          <w:lang w:val="pt-BR"/>
        </w:rPr>
        <w:t xml:space="preserve">é precisa: o corpo feminino é o argumento — a neutralidade feminina mascara interesses</w:t>
      </w:r>
      <w:r>
        <w:rPr>
          <w:lang w:val="pt-BR"/>
        </w:rPr>
        <w:t xml:space="preserve"> </w:t>
      </w:r>
      <w:r>
        <w:rPr>
          <w:lang w:val="pt-BR"/>
        </w:rPr>
        <w:t xml:space="preserve">(pró-britânicos). Em</w:t>
      </w:r>
      <w:r>
        <w:rPr>
          <w:lang w:val="pt-BR"/>
        </w:rPr>
        <w:t xml:space="preserve"> </w:t>
      </w:r>
      <w:r>
        <w:rPr>
          <w:rStyle w:val="VerbatimChar"/>
          <w:lang w:val="pt-BR"/>
        </w:rPr>
        <w:t xml:space="preserve">543550b1</w:t>
      </w:r>
      <w:r>
        <w:rPr>
          <w:lang w:val="pt-BR"/>
        </w:rPr>
        <w:t xml:space="preserve">, a crise política é encenada como drama doméstico entre figuras</w:t>
      </w:r>
      <w:r>
        <w:rPr>
          <w:lang w:val="pt-BR"/>
        </w:rPr>
        <w:t xml:space="preserve"> </w:t>
      </w:r>
      <w:r>
        <w:rPr>
          <w:lang w:val="pt-BR"/>
        </w:rPr>
        <w:t xml:space="preserve">femininas, com os atores masculinos</w:t>
      </w:r>
      <w:r>
        <w:rPr>
          <w:lang w:val="pt-BR"/>
        </w:rPr>
        <w:t xml:space="preserve"> </w:t>
      </w:r>
      <w:r>
        <w:rPr>
          <w:i/>
          <w:iCs/>
          <w:lang w:val="pt-BR"/>
        </w:rPr>
        <w:t xml:space="preserve">inteiramente substituídos por procuradoras alegóricas</w:t>
      </w:r>
      <w:r>
        <w:rPr>
          <w:lang w:val="pt-BR"/>
        </w:rPr>
        <w:t xml:space="preserve">. O</w:t>
      </w:r>
      <w:r>
        <w:rPr>
          <w:lang w:val="pt-BR"/>
        </w:rPr>
        <w:t xml:space="preserve"> </w:t>
      </w:r>
      <w:r>
        <w:rPr>
          <w:lang w:val="pt-BR"/>
        </w:rPr>
        <w:t xml:space="preserve">endurecimento é baixo — 0,6 e 1,0 —, e o apagamento narrativo é mínimo: são imagens</w:t>
      </w:r>
      <w:r>
        <w:rPr>
          <w:lang w:val="pt-BR"/>
        </w:rPr>
        <w:t xml:space="preserve"> </w:t>
      </w:r>
      <w:r>
        <w:rPr>
          <w:i/>
          <w:iCs/>
          <w:lang w:val="pt-BR"/>
        </w:rPr>
        <w:t xml:space="preserve">que contam uma</w:t>
      </w:r>
      <w:r>
        <w:rPr>
          <w:i/>
          <w:iCs/>
          <w:lang w:val="pt-BR"/>
        </w:rPr>
        <w:t xml:space="preserve"> </w:t>
      </w:r>
      <w:r>
        <w:rPr>
          <w:i/>
          <w:iCs/>
          <w:lang w:val="pt-BR"/>
        </w:rPr>
        <w:t xml:space="preserve">história</w:t>
      </w:r>
      <w:r>
        <w:rPr>
          <w:lang w:val="pt-BR"/>
        </w:rPr>
        <w:t xml:space="preserve">. A balança aqui não é emblema estático, mas dispositivo de argumentação: a alegoria</w:t>
      </w:r>
      <w:r>
        <w:rPr>
          <w:lang w:val="pt-BR"/>
        </w:rPr>
        <w:t xml:space="preserve"> </w:t>
      </w:r>
      <w:r>
        <w:rPr>
          <w:lang w:val="pt-BR"/>
        </w:rPr>
        <w:t xml:space="preserve">feminina é mobilizada para</w:t>
      </w:r>
      <w:r>
        <w:rPr>
          <w:lang w:val="pt-BR"/>
        </w:rPr>
        <w:t xml:space="preserve"> </w:t>
      </w:r>
      <w:r>
        <w:rPr>
          <w:i/>
          <w:iCs/>
          <w:lang w:val="pt-BR"/>
        </w:rPr>
        <w:t xml:space="preserve">dizer</w:t>
      </w:r>
      <w:r>
        <w:rPr>
          <w:lang w:val="pt-BR"/>
        </w:rPr>
        <w:t xml:space="preserve"> </w:t>
      </w:r>
      <w:r>
        <w:rPr>
          <w:lang w:val="pt-BR"/>
        </w:rPr>
        <w:t xml:space="preserve">algo sobre o equilíbrio das potências, e por isso conserva a</w:t>
      </w:r>
      <w:r>
        <w:rPr>
          <w:lang w:val="pt-BR"/>
        </w:rPr>
        <w:t xml:space="preserve"> </w:t>
      </w:r>
      <w:r>
        <w:rPr>
          <w:lang w:val="pt-BR"/>
        </w:rPr>
        <w:t xml:space="preserve">narratividade que o endurecimento posterior extinguirá.</w:t>
      </w:r>
    </w:p>
    <w:bookmarkEnd w:id="162"/>
    <w:bookmarkStart w:id="163" w:name="X2e1c4df03cce8b37aa884162f54b7e4a59e85fe"/>
    <w:p>
      <w:pPr>
        <w:pStyle w:val="Heading4"/>
      </w:pPr>
      <w:r>
        <w:rPr>
          <w:rStyle w:val="SectionNumber"/>
          <w:lang w:val="pt-BR"/>
        </w:rPr>
        <w:t xml:space="preserve">10.6.1.2</w:t>
      </w:r>
      <w:r>
        <w:tab/>
      </w:r>
      <w:r>
        <w:rPr>
          <w:lang w:val="pt-BR"/>
        </w:rPr>
        <w:t xml:space="preserve">[B] Centro — A conversão do argumento em posse</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(250 palavras):</w:t>
      </w:r>
    </w:p>
    <w:p>
      <w:pPr>
        <w:pStyle w:val="BlockText"/>
      </w:pPr>
      <w:r>
        <w:rPr>
          <w:lang w:val="pt-BR"/>
        </w:rPr>
        <w:t xml:space="preserve">Entre a estampa que argumenta e a moeda que circula, o corpo feminino sofre a conversão que define o</w:t>
      </w:r>
      <w:r>
        <w:rPr>
          <w:lang w:val="pt-BR"/>
        </w:rPr>
        <w:t xml:space="preserve"> </w:t>
      </w:r>
      <w:r>
        <w:rPr>
          <w:lang w:val="pt-BR"/>
        </w:rPr>
        <w:t xml:space="preserve">império: de sujeito de um argumento a garantia de uma posse. Na estampa, a balança pesa potências; na</w:t>
      </w:r>
      <w:r>
        <w:rPr>
          <w:lang w:val="pt-BR"/>
        </w:rPr>
        <w:t xml:space="preserve"> </w:t>
      </w:r>
      <w:r>
        <w:rPr>
          <w:lang w:val="pt-BR"/>
        </w:rPr>
        <w:t xml:space="preserve">moeda colonial, ela já não pesa nada — tornou-se marca de soberania sobre a rota comercial. A</w:t>
      </w:r>
      <w:r>
        <w:rPr>
          <w:lang w:val="pt-BR"/>
        </w:rPr>
        <w:t xml:space="preserve"> </w:t>
      </w:r>
      <w:r>
        <w:rPr>
          <w:lang w:val="pt-BR"/>
        </w:rPr>
        <w:t xml:space="preserve">narratividade que permitia à figura</w:t>
      </w:r>
      <w:r>
        <w:rPr>
          <w:lang w:val="pt-BR"/>
        </w:rPr>
        <w:t xml:space="preserve"> </w:t>
      </w:r>
      <w:r>
        <w:rPr>
          <w:i/>
          <w:iCs/>
          <w:lang w:val="pt-BR"/>
        </w:rPr>
        <w:t xml:space="preserve">discutir</w:t>
      </w:r>
      <w:r>
        <w:rPr>
          <w:lang w:val="pt-BR"/>
        </w:rPr>
        <w:t xml:space="preserve"> </w:t>
      </w:r>
      <w:r>
        <w:rPr>
          <w:lang w:val="pt-BR"/>
        </w:rPr>
        <w:t xml:space="preserve">é subtraída; resta a serialidade que permite à figura</w:t>
      </w:r>
      <w:r>
        <w:rPr>
          <w:lang w:val="pt-BR"/>
        </w:rPr>
        <w:t xml:space="preserve"> </w:t>
      </w:r>
      <w:r>
        <w:rPr>
          <w:i/>
          <w:iCs/>
          <w:lang w:val="pt-BR"/>
        </w:rPr>
        <w:t xml:space="preserve">autorizar</w:t>
      </w:r>
      <w:r>
        <w:rPr>
          <w:lang w:val="pt-BR"/>
        </w:rPr>
        <w:t xml:space="preserve">. O Zwischenraum é essa subtração: o momento em que a alegoria deixa de ter algo a dizer e</w:t>
      </w:r>
      <w:r>
        <w:rPr>
          <w:lang w:val="pt-BR"/>
        </w:rPr>
        <w:t xml:space="preserve"> </w:t>
      </w:r>
      <w:r>
        <w:rPr>
          <w:lang w:val="pt-BR"/>
        </w:rPr>
        <w:t xml:space="preserve">passa a ter algo a garantir. O império não precisa de uma balança que argumente; precisa de uma que</w:t>
      </w:r>
      <w:r>
        <w:rPr>
          <w:lang w:val="pt-BR"/>
        </w:rPr>
        <w:t xml:space="preserve"> </w:t>
      </w:r>
      <w:r>
        <w:rPr>
          <w:lang w:val="pt-BR"/>
        </w:rPr>
        <w:t xml:space="preserve">circule.</w:t>
      </w:r>
    </w:p>
    <w:bookmarkEnd w:id="163"/>
    <w:bookmarkStart w:id="164" w:name="c-polo-direito-a-moeda-imperial"/>
    <w:p>
      <w:pPr>
        <w:pStyle w:val="Heading4"/>
      </w:pPr>
      <w:r>
        <w:rPr>
          <w:rStyle w:val="SectionNumber"/>
          <w:lang w:val="pt-BR"/>
        </w:rPr>
        <w:t xml:space="preserve">10.6.1.3</w:t>
      </w:r>
      <w:r>
        <w:tab/>
      </w:r>
      <w:r>
        <w:rPr>
          <w:lang w:val="pt-BR"/>
        </w:rPr>
        <w:t xml:space="preserve">[C] Polo direito — A moeda imperial</w:t>
      </w:r>
    </w:p>
    <w:p>
      <w:pPr>
        <w:pStyle w:val="FirstParagraph"/>
      </w:pPr>
      <w:r>
        <w:rPr>
          <w:b/>
          <w:bCs/>
          <w:lang w:val="pt-BR"/>
        </w:rPr>
        <w:t xml:space="preserve">Imagens:</w:t>
      </w:r>
      <w:r>
        <w:rPr>
          <w:lang w:val="pt-BR"/>
        </w:rPr>
        <w:t xml:space="preserve"> </w:t>
      </w:r>
      <w:r>
        <w:rPr>
          <w:lang w:val="pt-BR"/>
        </w:rPr>
        <w:t xml:space="preserve">(1)</w:t>
      </w:r>
      <w:r>
        <w:rPr>
          <w:lang w:val="pt-BR"/>
        </w:rPr>
        <w:t xml:space="preserve"> </w:t>
      </w:r>
      <w:r>
        <w:rPr>
          <w:i/>
          <w:iCs/>
          <w:lang w:val="pt-BR"/>
        </w:rPr>
        <w:t xml:space="preserve">British Trade Dollar</w:t>
      </w:r>
      <w:r>
        <w:rPr>
          <w:lang w:val="pt-BR"/>
        </w:rPr>
        <w:t xml:space="preserve">, Britannia de pé, 1895–1935 (</w:t>
      </w:r>
      <w:r>
        <w:rPr>
          <w:rStyle w:val="VerbatimChar"/>
          <w:lang w:val="pt-BR"/>
        </w:rPr>
        <w:t xml:space="preserve">38461286</w:t>
      </w:r>
      <w:r>
        <w:rPr>
          <w:lang w:val="pt-BR"/>
        </w:rPr>
        <w:t xml:space="preserve">); (2)</w:t>
      </w:r>
      <w:r>
        <w:rPr>
          <w:lang w:val="pt-BR"/>
        </w:rPr>
        <w:t xml:space="preserve"> </w:t>
      </w:r>
      <w:r>
        <w:rPr>
          <w:i/>
          <w:iCs/>
          <w:lang w:val="pt-BR"/>
        </w:rPr>
        <w:t xml:space="preserve">Piastre de</w:t>
      </w:r>
      <w:r>
        <w:rPr>
          <w:i/>
          <w:iCs/>
          <w:lang w:val="pt-BR"/>
        </w:rPr>
        <w:t xml:space="preserve"> </w:t>
      </w:r>
      <w:r>
        <w:rPr>
          <w:i/>
          <w:iCs/>
          <w:lang w:val="pt-BR"/>
        </w:rPr>
        <w:t xml:space="preserve">Commerce</w:t>
      </w:r>
      <w:r>
        <w:rPr>
          <w:lang w:val="pt-BR"/>
        </w:rPr>
        <w:t xml:space="preserve">, Marianne assentada entre fasces, Indochina, 1885–1928 (</w:t>
      </w:r>
      <w:r>
        <w:rPr>
          <w:rStyle w:val="VerbatimChar"/>
          <w:lang w:val="pt-BR"/>
        </w:rPr>
        <w:t xml:space="preserve">34be13f9</w:t>
      </w:r>
      <w:r>
        <w:rPr>
          <w:lang w:val="pt-BR"/>
        </w:rPr>
        <w:t xml:space="preserve">).</w:t>
      </w:r>
    </w:p>
    <w:p>
      <w:pPr>
        <w:pStyle w:val="BodyText"/>
      </w:pPr>
      <w:r>
        <w:rPr>
          <w:b/>
          <w:bCs/>
          <w:lang w:val="pt-BR"/>
        </w:rPr>
        <w:t xml:space="preserve">Texto de painel (300 palavras):</w:t>
      </w:r>
    </w:p>
    <w:p>
      <w:pPr>
        <w:pStyle w:val="BlockText"/>
      </w:pPr>
      <w:r>
        <w:rPr>
          <w:lang w:val="pt-BR"/>
        </w:rPr>
        <w:t xml:space="preserve">No polo direito, a alegoria nacional convertida em moeda de comércio imperial. O</w:t>
      </w:r>
      <w:r>
        <w:rPr>
          <w:lang w:val="pt-BR"/>
        </w:rPr>
        <w:t xml:space="preserve"> </w:t>
      </w:r>
      <w:r>
        <w:rPr>
          <w:i/>
          <w:iCs/>
          <w:lang w:val="pt-BR"/>
        </w:rPr>
        <w:t xml:space="preserve">British Trade</w:t>
      </w:r>
      <w:r>
        <w:rPr>
          <w:i/>
          <w:iCs/>
          <w:lang w:val="pt-BR"/>
        </w:rPr>
        <w:t xml:space="preserve"> </w:t>
      </w:r>
      <w:r>
        <w:rPr>
          <w:i/>
          <w:iCs/>
          <w:lang w:val="pt-BR"/>
        </w:rPr>
        <w:t xml:space="preserve">Dollar</w:t>
      </w:r>
      <w:r>
        <w:rPr>
          <w:lang w:val="pt-BR"/>
        </w:rPr>
        <w:t xml:space="preserve"> </w:t>
      </w:r>
      <w:r>
        <w:rPr>
          <w:lang w:val="pt-BR"/>
        </w:rPr>
        <w:t xml:space="preserve">(composto 1,3, estimado) cunha Britannia de pé para a circulação no Oriente; a</w:t>
      </w:r>
      <w:r>
        <w:rPr>
          <w:lang w:val="pt-BR"/>
        </w:rPr>
        <w:t xml:space="preserve"> </w:t>
      </w:r>
      <w:r>
        <w:rPr>
          <w:i/>
          <w:iCs/>
          <w:lang w:val="pt-BR"/>
        </w:rPr>
        <w:t xml:space="preserve">Piastre de Commerce</w:t>
      </w:r>
      <w:r>
        <w:rPr>
          <w:lang w:val="pt-BR"/>
        </w:rPr>
        <w:t xml:space="preserve"> </w:t>
      </w:r>
      <w:r>
        <w:rPr>
          <w:lang w:val="pt-BR"/>
        </w:rPr>
        <w:t xml:space="preserve">(composto 2,3, estimado) assenta Marianne entre feixes de fasces para a Indochina francesa. Onde a estampa</w:t>
      </w:r>
      <w:r>
        <w:rPr>
          <w:lang w:val="pt-BR"/>
        </w:rPr>
        <w:t xml:space="preserve"> </w:t>
      </w:r>
      <w:r>
        <w:rPr>
          <w:lang w:val="pt-BR"/>
        </w:rPr>
        <w:t xml:space="preserve">argumentava, a moeda extrai. A serialidade — o indicador que ambas partilham no grau mais alto — é o</w:t>
      </w:r>
      <w:r>
        <w:rPr>
          <w:lang w:val="pt-BR"/>
        </w:rPr>
        <w:t xml:space="preserve"> </w:t>
      </w:r>
      <w:r>
        <w:rPr>
          <w:lang w:val="pt-BR"/>
        </w:rPr>
        <w:t xml:space="preserve">que serve à extração: a alegoria</w:t>
      </w:r>
      <w:r>
        <w:rPr>
          <w:lang w:val="pt-BR"/>
        </w:rPr>
        <w:t xml:space="preserve"> </w:t>
      </w:r>
      <w:r>
        <w:rPr>
          <w:lang w:val="pt-BR"/>
        </w:rPr>
        <w:t xml:space="preserve">“universal”</w:t>
      </w:r>
      <w:r>
        <w:rPr>
          <w:lang w:val="pt-BR"/>
        </w:rPr>
        <w:t xml:space="preserve"> </w:t>
      </w:r>
      <w:r>
        <w:rPr>
          <w:lang w:val="pt-BR"/>
        </w:rPr>
        <w:t xml:space="preserve">é, na verdade, um cânone europeu exportado sob a</w:t>
      </w:r>
      <w:r>
        <w:rPr>
          <w:lang w:val="pt-BR"/>
        </w:rPr>
        <w:t xml:space="preserve"> </w:t>
      </w:r>
      <w:r>
        <w:rPr>
          <w:lang w:val="pt-BR"/>
        </w:rPr>
        <w:t xml:space="preserve">aparência da neutralidade, exatamente a operação que o Capítulo 3 nomeia como Contrato Racial Visual.</w:t>
      </w:r>
      <w:r>
        <w:rPr>
          <w:lang w:val="pt-BR"/>
        </w:rPr>
        <w:t xml:space="preserve"> </w:t>
      </w:r>
      <w:r>
        <w:rPr>
          <w:lang w:val="pt-BR"/>
        </w:rPr>
        <w:t xml:space="preserve">O corpo branco, marmóreo e classicizado que na metrópole representa a nação, na colônia autoriza a</w:t>
      </w:r>
      <w:r>
        <w:rPr>
          <w:lang w:val="pt-BR"/>
        </w:rPr>
        <w:t xml:space="preserve"> </w:t>
      </w:r>
      <w:r>
        <w:rPr>
          <w:lang w:val="pt-BR"/>
        </w:rPr>
        <w:t xml:space="preserve">posse. A balança da justiça tornou-se, aqui, arma geopolítica: não a que pesa, mas a que compra e</w:t>
      </w:r>
      <w:r>
        <w:rPr>
          <w:lang w:val="pt-BR"/>
        </w:rPr>
        <w:t xml:space="preserve"> </w:t>
      </w:r>
      <w:r>
        <w:rPr>
          <w:lang w:val="pt-BR"/>
        </w:rPr>
        <w:t xml:space="preserve">vende sob o rosto sereno de uma mulher que nunca votou nem no império que a cunhou.</w:t>
      </w:r>
    </w:p>
    <w:bookmarkEnd w:id="164"/>
    <w:bookmarkEnd w:id="165"/>
    <w:bookmarkStart w:id="166" w:name="síntese-do-painel-5"/>
    <w:p>
      <w:pPr>
        <w:pStyle w:val="Heading3"/>
      </w:pPr>
      <w:r>
        <w:rPr>
          <w:rStyle w:val="SectionNumber"/>
          <w:lang w:val="pt-BR"/>
        </w:rPr>
        <w:t xml:space="preserve">10.6.2</w:t>
      </w:r>
      <w:r>
        <w:tab/>
      </w:r>
      <w:r>
        <w:rPr>
          <w:lang w:val="pt-BR"/>
        </w:rPr>
        <w:t xml:space="preserve">9.6.2 — Síntese do painel</w:t>
      </w:r>
    </w:p>
    <w:p>
      <w:pPr>
        <w:pStyle w:val="BlockText"/>
      </w:pPr>
      <w:r>
        <w:rPr>
          <w:lang w:val="pt-BR"/>
        </w:rPr>
        <w:t xml:space="preserve">Este painel propõe que a trajetória da balança — de argumento diplomático a marca monetária imperial</w:t>
      </w:r>
      <w:r>
        <w:rPr>
          <w:lang w:val="pt-BR"/>
        </w:rPr>
        <w:t xml:space="preserve"> </w:t>
      </w:r>
      <w:r>
        <w:rPr>
          <w:lang w:val="pt-BR"/>
        </w:rPr>
        <w:t xml:space="preserve">— é uma trajetória de endurecimento por</w:t>
      </w:r>
      <w:r>
        <w:rPr>
          <w:lang w:val="pt-BR"/>
        </w:rPr>
        <w:t xml:space="preserve"> </w:t>
      </w:r>
      <w:r>
        <w:rPr>
          <w:i/>
          <w:iCs/>
          <w:lang w:val="pt-BR"/>
        </w:rPr>
        <w:t xml:space="preserve">subtração de narrativa</w:t>
      </w:r>
      <w:r>
        <w:rPr>
          <w:lang w:val="pt-BR"/>
        </w:rPr>
        <w:t xml:space="preserve">. A estampa do século XVIII conserva</w:t>
      </w:r>
      <w:r>
        <w:rPr>
          <w:lang w:val="pt-BR"/>
        </w:rPr>
        <w:t xml:space="preserve"> </w:t>
      </w:r>
      <w:r>
        <w:rPr>
          <w:lang w:val="pt-BR"/>
        </w:rPr>
        <w:t xml:space="preserve">a carga argumentativa que faz da alegoria um interlocutor; a moeda colonial a extingue, convertendo o</w:t>
      </w:r>
      <w:r>
        <w:rPr>
          <w:lang w:val="pt-BR"/>
        </w:rPr>
        <w:t xml:space="preserve"> </w:t>
      </w:r>
      <w:r>
        <w:rPr>
          <w:lang w:val="pt-BR"/>
        </w:rPr>
        <w:t xml:space="preserve">interlocutor em garantia. A</w:t>
      </w:r>
      <w:r>
        <w:rPr>
          <w:lang w:val="pt-BR"/>
        </w:rPr>
        <w:t xml:space="preserve"> </w:t>
      </w:r>
      <w:r>
        <w:rPr>
          <w:lang w:val="pt-BR"/>
        </w:rPr>
        <w:t xml:space="preserve">“balança da justiça como arma geopolítica”</w:t>
      </w:r>
      <w:r>
        <w:rPr>
          <w:lang w:val="pt-BR"/>
        </w:rPr>
        <w:t xml:space="preserve"> </w:t>
      </w:r>
      <w:r>
        <w:rPr>
          <w:lang w:val="pt-BR"/>
        </w:rPr>
        <w:t xml:space="preserve">não é metáfora: é a descrição</w:t>
      </w:r>
      <w:r>
        <w:rPr>
          <w:lang w:val="pt-BR"/>
        </w:rPr>
        <w:t xml:space="preserve"> </w:t>
      </w:r>
      <w:r>
        <w:rPr>
          <w:lang w:val="pt-BR"/>
        </w:rPr>
        <w:t xml:space="preserve">literal de um dispositivo que, esvaziado de narrativa, serve à extração precisamente porque nada mais</w:t>
      </w:r>
      <w:r>
        <w:rPr>
          <w:lang w:val="pt-BR"/>
        </w:rPr>
        <w:t xml:space="preserve"> </w:t>
      </w:r>
      <w:r>
        <w:rPr>
          <w:lang w:val="pt-BR"/>
        </w:rPr>
        <w:t xml:space="preserve">tem a dizer.</w:t>
      </w:r>
    </w:p>
    <w:bookmarkEnd w:id="166"/>
    <w:bookmarkStart w:id="167" w:name="itens-corpus-identificados-5"/>
    <w:p>
      <w:pPr>
        <w:pStyle w:val="Heading3"/>
      </w:pPr>
      <w:r>
        <w:rPr>
          <w:rStyle w:val="SectionNumber"/>
          <w:lang w:val="pt-BR"/>
        </w:rPr>
        <w:t xml:space="preserve">10.6.3</w:t>
      </w:r>
      <w:r>
        <w:tab/>
      </w:r>
      <w:r>
        <w:rPr>
          <w:lang w:val="pt-BR"/>
        </w:rPr>
        <w:t xml:space="preserve">9.6.3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i/>
                <w:iCs/>
                <w:lang w:val="pt-BR"/>
              </w:rPr>
              <w:t xml:space="preserve">America pois’d in the balance of justice</w:t>
            </w:r>
          </w:p>
        </w:tc>
        <w:tc>
          <w:tcPr/>
          <w:p>
            <w:pPr>
              <w:pStyle w:val="Compact"/>
            </w:pPr>
            <w:r>
              <w:rPr>
                <w:rStyle w:val="VerbatimChar"/>
                <w:lang w:val="pt-BR"/>
              </w:rPr>
              <w:t xml:space="preserve">543550b1</w:t>
            </w:r>
          </w:p>
        </w:tc>
        <w:tc>
          <w:tcPr/>
          <w:p>
            <w:pPr>
              <w:pStyle w:val="Compact"/>
            </w:pPr>
            <w:r>
              <w:rPr>
                <w:lang w:val="pt-BR"/>
              </w:rPr>
              <w:t xml:space="preserve">fundacional</w:t>
            </w:r>
          </w:p>
        </w:tc>
        <w:tc>
          <w:tcPr/>
          <w:p>
            <w:pPr>
              <w:pStyle w:val="Compact"/>
            </w:pPr>
            <w:r>
              <w:rPr>
                <w:lang w:val="pt-BR"/>
              </w:rPr>
              <w:t xml:space="preserve">0,6</w:t>
            </w:r>
          </w:p>
        </w:tc>
        <w:tc>
          <w:tcPr/>
          <w:p>
            <w:pPr>
              <w:pStyle w:val="Compact"/>
            </w:pPr>
            <w:r>
              <w:rPr>
                <w:lang w:val="pt-BR"/>
              </w:rPr>
              <w:t xml:space="preserve">Polo esquerdo: balança-argumento, máxima narrativa</w:t>
            </w:r>
          </w:p>
        </w:tc>
      </w:tr>
      <w:tr>
        <w:tc>
          <w:tcPr/>
          <w:p>
            <w:pPr>
              <w:pStyle w:val="Compact"/>
            </w:pPr>
            <w:r>
              <w:rPr>
                <w:i/>
                <w:iCs/>
                <w:lang w:val="pt-BR"/>
              </w:rPr>
              <w:t xml:space="preserve">Die Wage der Macht</w:t>
            </w:r>
          </w:p>
        </w:tc>
        <w:tc>
          <w:tcPr/>
          <w:p>
            <w:pPr>
              <w:pStyle w:val="Compact"/>
            </w:pPr>
            <w:r>
              <w:rPr>
                <w:rStyle w:val="VerbatimChar"/>
                <w:lang w:val="pt-BR"/>
              </w:rPr>
              <w:t xml:space="preserve">1ae7c4ae</w:t>
            </w:r>
          </w:p>
        </w:tc>
        <w:tc>
          <w:tcPr/>
          <w:p>
            <w:pPr>
              <w:pStyle w:val="Compact"/>
            </w:pPr>
            <w:r>
              <w:rPr>
                <w:lang w:val="pt-BR"/>
              </w:rPr>
              <w:t xml:space="preserve">fundacional</w:t>
            </w:r>
          </w:p>
        </w:tc>
        <w:tc>
          <w:tcPr/>
          <w:p>
            <w:pPr>
              <w:pStyle w:val="Compact"/>
            </w:pPr>
            <w:r>
              <w:rPr>
                <w:lang w:val="pt-BR"/>
              </w:rPr>
              <w:t xml:space="preserve">1,0</w:t>
            </w:r>
          </w:p>
        </w:tc>
        <w:tc>
          <w:tcPr/>
          <w:p>
            <w:pPr>
              <w:pStyle w:val="Compact"/>
            </w:pPr>
            <w:r>
              <w:rPr>
                <w:lang w:val="pt-BR"/>
              </w:rPr>
              <w:t xml:space="preserve">Polo esquerdo: neutralidade feminina como máscara de interesse</w:t>
            </w:r>
          </w:p>
        </w:tc>
      </w:tr>
      <w:tr>
        <w:tc>
          <w:tcPr/>
          <w:p>
            <w:pPr>
              <w:pStyle w:val="Compact"/>
            </w:pPr>
            <w:r>
              <w:rPr>
                <w:i/>
                <w:iCs/>
                <w:lang w:val="pt-BR"/>
              </w:rPr>
              <w:t xml:space="preserve">British Trade Dollar</w:t>
            </w:r>
            <w:r>
              <w:rPr>
                <w:lang w:val="pt-BR"/>
              </w:rPr>
              <w:t xml:space="preserve"> </w:t>
            </w:r>
            <w:r>
              <w:rPr>
                <w:lang w:val="pt-BR"/>
              </w:rPr>
              <w:t xml:space="preserve">(Britannia)</w:t>
            </w:r>
          </w:p>
        </w:tc>
        <w:tc>
          <w:tcPr/>
          <w:p>
            <w:pPr>
              <w:pStyle w:val="Compact"/>
            </w:pPr>
            <w:r>
              <w:rPr>
                <w:rStyle w:val="VerbatimChar"/>
                <w:lang w:val="pt-BR"/>
              </w:rPr>
              <w:t xml:space="preserve">38461286</w:t>
            </w:r>
          </w:p>
        </w:tc>
        <w:tc>
          <w:tcPr/>
          <w:p>
            <w:pPr>
              <w:pStyle w:val="Compact"/>
            </w:pPr>
            <w:r>
              <w:rPr>
                <w:lang w:val="pt-BR"/>
              </w:rPr>
              <w:t xml:space="preserve">normativo</w:t>
            </w:r>
          </w:p>
        </w:tc>
        <w:tc>
          <w:tcPr/>
          <w:p>
            <w:pPr>
              <w:pStyle w:val="Compact"/>
            </w:pPr>
            <w:r>
              <w:rPr>
                <w:lang w:val="pt-BR"/>
              </w:rPr>
              <w:t xml:space="preserve">1,3 (estimado)</w:t>
            </w:r>
          </w:p>
        </w:tc>
        <w:tc>
          <w:tcPr/>
          <w:p>
            <w:pPr>
              <w:pStyle w:val="Compact"/>
            </w:pPr>
            <w:r>
              <w:rPr>
                <w:lang w:val="pt-BR"/>
              </w:rPr>
              <w:t xml:space="preserve">Polo direito: moeda imperial serial</w:t>
            </w:r>
          </w:p>
        </w:tc>
      </w:tr>
      <w:tr>
        <w:tc>
          <w:tcPr/>
          <w:p>
            <w:pPr>
              <w:pStyle w:val="Compact"/>
            </w:pPr>
            <w:r>
              <w:rPr>
                <w:i/>
                <w:iCs/>
                <w:lang w:val="pt-BR"/>
              </w:rPr>
              <w:t xml:space="preserve">Piastre de Commerce</w:t>
            </w:r>
            <w:r>
              <w:rPr>
                <w:lang w:val="pt-BR"/>
              </w:rPr>
              <w:t xml:space="preserve"> </w:t>
            </w:r>
            <w:r>
              <w:rPr>
                <w:lang w:val="pt-BR"/>
              </w:rPr>
              <w:t xml:space="preserve">(Marianne)</w:t>
            </w:r>
          </w:p>
        </w:tc>
        <w:tc>
          <w:tcPr/>
          <w:p>
            <w:pPr>
              <w:pStyle w:val="Compact"/>
            </w:pPr>
            <w:r>
              <w:rPr>
                <w:rStyle w:val="VerbatimChar"/>
                <w:lang w:val="pt-BR"/>
              </w:rPr>
              <w:t xml:space="preserve">34be13f9</w:t>
            </w:r>
          </w:p>
        </w:tc>
        <w:tc>
          <w:tcPr/>
          <w:p>
            <w:pPr>
              <w:pStyle w:val="Compact"/>
            </w:pPr>
            <w:r>
              <w:rPr>
                <w:lang w:val="pt-BR"/>
              </w:rPr>
              <w:t xml:space="preserve">militar</w:t>
            </w:r>
          </w:p>
        </w:tc>
        <w:tc>
          <w:tcPr/>
          <w:p>
            <w:pPr>
              <w:pStyle w:val="Compact"/>
            </w:pPr>
            <w:r>
              <w:rPr>
                <w:lang w:val="pt-BR"/>
              </w:rPr>
              <w:t xml:space="preserve">2,3 (estimado)</w:t>
            </w:r>
          </w:p>
        </w:tc>
        <w:tc>
          <w:tcPr/>
          <w:p>
            <w:pPr>
              <w:pStyle w:val="Compact"/>
            </w:pPr>
            <w:r>
              <w:rPr>
                <w:lang w:val="pt-BR"/>
              </w:rPr>
              <w:t xml:space="preserve">Polo direito: extração colonial sob rosto sereno</w:t>
            </w:r>
          </w:p>
        </w:tc>
      </w:tr>
    </w:tbl>
    <w:p>
      <w:r>
        <w:pict>
          <v:rect style="width:0;height:1.5pt" o:hralign="center" o:hrstd="t" o:hr="t"/>
        </w:pict>
      </w:r>
    </w:p>
    <w:bookmarkEnd w:id="167"/>
    <w:bookmarkEnd w:id="168"/>
    <w:bookmarkStart w:id="175" w:name="X01631bb7c1959b2633c368debcd511d08f7bb2f"/>
    <w:p>
      <w:pPr>
        <w:pStyle w:val="Heading2"/>
      </w:pPr>
      <w:r>
        <w:rPr>
          <w:rStyle w:val="SectionNumber"/>
          <w:lang w:val="pt-BR"/>
        </w:rPr>
        <w:t xml:space="preserve">10.7</w:t>
      </w:r>
      <w:r>
        <w:tab/>
      </w:r>
      <w:r>
        <w:rPr>
          <w:lang w:val="pt-BR"/>
        </w:rPr>
        <w:t xml:space="preserve">9.7 — Painel VII: BRANQUITUDE — O Corpo Impossível</w:t>
      </w:r>
    </w:p>
    <w:p>
      <w:pPr>
        <w:pStyle w:val="BlockText"/>
      </w:pPr>
      <w:r>
        <w:rPr>
          <w:b/>
          <w:bCs/>
          <w:lang w:val="pt-BR"/>
        </w:rPr>
        <w:t xml:space="preserve">Zwischenraum temático:</w:t>
      </w:r>
      <w:r>
        <w:rPr>
          <w:lang w:val="pt-BR"/>
        </w:rPr>
        <w:t xml:space="preserve"> </w:t>
      </w:r>
      <w:r>
        <w:rPr>
          <w:lang w:val="pt-BR"/>
        </w:rPr>
        <w:t xml:space="preserve">Este painel isola a dimensão racial da Purificação Clássica. Ele mostra que</w:t>
      </w:r>
      <w:r>
        <w:rPr>
          <w:lang w:val="pt-BR"/>
        </w:rPr>
        <w:t xml:space="preserve"> </w:t>
      </w:r>
      <w:r>
        <w:rPr>
          <w:lang w:val="pt-BR"/>
        </w:rPr>
        <w:t xml:space="preserve">a branquitude da alegoria</w:t>
      </w:r>
      <w:r>
        <w:rPr>
          <w:lang w:val="pt-BR"/>
        </w:rPr>
        <w:t xml:space="preserve"> </w:t>
      </w:r>
      <w:r>
        <w:rPr>
          <w:lang w:val="pt-BR"/>
        </w:rPr>
        <w:t xml:space="preserve">“universal”</w:t>
      </w:r>
      <w:r>
        <w:rPr>
          <w:lang w:val="pt-BR"/>
        </w:rPr>
        <w:t xml:space="preserve"> </w:t>
      </w:r>
      <w:r>
        <w:rPr>
          <w:lang w:val="pt-BR"/>
        </w:rPr>
        <w:t xml:space="preserve">não é preferência estética contingente, mas</w:t>
      </w:r>
      <w:r>
        <w:rPr>
          <w:lang w:val="pt-BR"/>
        </w:rPr>
        <w:t xml:space="preserve"> </w:t>
      </w:r>
      <w:r>
        <w:rPr>
          <w:i/>
          <w:iCs/>
          <w:lang w:val="pt-BR"/>
        </w:rPr>
        <w:t xml:space="preserve">condição de</w:t>
      </w:r>
      <w:r>
        <w:rPr>
          <w:i/>
          <w:iCs/>
          <w:lang w:val="pt-BR"/>
        </w:rPr>
        <w:t xml:space="preserve"> </w:t>
      </w:r>
      <w:r>
        <w:rPr>
          <w:i/>
          <w:iCs/>
          <w:lang w:val="pt-BR"/>
        </w:rPr>
        <w:t xml:space="preserve">operabilidade</w:t>
      </w:r>
      <w:r>
        <w:rPr>
          <w:lang w:val="pt-BR"/>
        </w:rPr>
        <w:t xml:space="preserve">: só o corpo que já é visualmente abstrato — branco, marmóreo, neoclássico — pode</w:t>
      </w:r>
      <w:r>
        <w:rPr>
          <w:lang w:val="pt-BR"/>
        </w:rPr>
        <w:t xml:space="preserve"> </w:t>
      </w:r>
      <w:r>
        <w:rPr>
          <w:lang w:val="pt-BR"/>
        </w:rPr>
        <w:t xml:space="preserve">desaparecer em função sem deixar de ser legível. O Zwischenraum que ele encena é a</w:t>
      </w:r>
      <w:r>
        <w:rPr>
          <w:lang w:val="pt-BR"/>
        </w:rPr>
        <w:t xml:space="preserve"> </w:t>
      </w:r>
      <w:r>
        <w:rPr>
          <w:i/>
          <w:iCs/>
          <w:lang w:val="pt-BR"/>
        </w:rPr>
        <w:t xml:space="preserve">transferência</w:t>
      </w:r>
      <w:r>
        <w:rPr>
          <w:i/>
          <w:iCs/>
          <w:lang w:val="pt-BR"/>
        </w:rPr>
        <w:t xml:space="preserve"> </w:t>
      </w:r>
      <w:r>
        <w:rPr>
          <w:i/>
          <w:iCs/>
          <w:lang w:val="pt-BR"/>
        </w:rPr>
        <w:t xml:space="preserve">visual transatlântica</w:t>
      </w:r>
      <w:r>
        <w:rPr>
          <w:lang w:val="pt-BR"/>
        </w:rPr>
        <w:t xml:space="preserve">: o cânone europeu instalado como rosto de nações cuja população ele não pode</w:t>
      </w:r>
      <w:r>
        <w:rPr>
          <w:lang w:val="pt-BR"/>
        </w:rPr>
        <w:t xml:space="preserve"> </w:t>
      </w:r>
      <w:r>
        <w:rPr>
          <w:lang w:val="pt-BR"/>
        </w:rPr>
        <w:t xml:space="preserve">representar. O corpo da República brasileira é impossível — não existe no Brasil de 1889 senão como</w:t>
      </w:r>
      <w:r>
        <w:rPr>
          <w:lang w:val="pt-BR"/>
        </w:rPr>
        <w:t xml:space="preserve"> </w:t>
      </w:r>
      <w:r>
        <w:rPr>
          <w:lang w:val="pt-BR"/>
        </w:rPr>
        <w:t xml:space="preserve">projeto —, e é precisamente essa impossibilidade que o torna operante.</w:t>
      </w:r>
    </w:p>
    <w:bookmarkStart w:id="172" w:name="layout-do-painel-3-imagens-2-textos-5"/>
    <w:p>
      <w:pPr>
        <w:pStyle w:val="Heading3"/>
      </w:pPr>
      <w:r>
        <w:rPr>
          <w:rStyle w:val="SectionNumber"/>
          <w:lang w:val="pt-BR"/>
        </w:rPr>
        <w:t xml:space="preserve">10.7.1</w:t>
      </w:r>
      <w:r>
        <w:tab/>
      </w:r>
      <w:r>
        <w:rPr>
          <w:lang w:val="pt-BR"/>
        </w:rPr>
        <w:t xml:space="preserve">9.7.1 — Layout do painel (3 imagens + 2 textos)</w:t>
      </w:r>
    </w:p>
    <w:bookmarkStart w:id="169" w:name="Xcaf18300d16ea7aba1dbbca945497dd71037b7b"/>
    <w:p>
      <w:pPr>
        <w:pStyle w:val="Heading4"/>
      </w:pPr>
      <w:r>
        <w:rPr>
          <w:rStyle w:val="SectionNumber"/>
          <w:lang w:val="pt-BR"/>
        </w:rPr>
        <w:t xml:space="preserve">10.7.1.1</w:t>
      </w:r>
      <w:r>
        <w:tab/>
      </w:r>
      <w:r>
        <w:rPr>
          <w:lang w:val="pt-BR"/>
        </w:rPr>
        <w:t xml:space="preserve">[A] Polo esquerdo — O corpo impossível (a origem)</w:t>
      </w:r>
    </w:p>
    <w:p>
      <w:pPr>
        <w:pStyle w:val="FirstParagraph"/>
      </w:pPr>
      <w:r>
        <w:rPr>
          <w:b/>
          <w:bCs/>
          <w:lang w:val="pt-BR"/>
        </w:rPr>
        <w:t xml:space="preserve">Imagem:</w:t>
      </w:r>
      <w:r>
        <w:rPr>
          <w:lang w:val="pt-BR"/>
        </w:rPr>
        <w:t xml:space="preserve"> </w:t>
      </w:r>
      <w:r>
        <w:rPr>
          <w:lang w:val="pt-BR"/>
        </w:rPr>
        <w:t xml:space="preserve">Décio Villares,</w:t>
      </w:r>
      <w:r>
        <w:rPr>
          <w:lang w:val="pt-BR"/>
        </w:rPr>
        <w:t xml:space="preserve"> </w:t>
      </w:r>
      <w:r>
        <w:rPr>
          <w:i/>
          <w:iCs/>
          <w:lang w:val="pt-BR"/>
        </w:rPr>
        <w:t xml:space="preserve">Alegoria da República</w:t>
      </w:r>
      <w:r>
        <w:rPr>
          <w:lang w:val="pt-BR"/>
        </w:rPr>
        <w:t xml:space="preserve">, óleo, 1889. MNBA, Rio de Janeiro. (BR-005)</w:t>
      </w:r>
    </w:p>
    <w:p>
      <w:pPr>
        <w:pStyle w:val="BodyText"/>
      </w:pPr>
      <w:r>
        <w:rPr>
          <w:b/>
          <w:bCs/>
          <w:lang w:val="pt-BR"/>
        </w:rPr>
        <w:t xml:space="preserve">Texto de painel (300 palavras):</w:t>
      </w:r>
    </w:p>
    <w:p>
      <w:pPr>
        <w:pStyle w:val="BlockText"/>
      </w:pPr>
      <w:r>
        <w:rPr>
          <w:lang w:val="pt-BR"/>
        </w:rPr>
        <w:t xml:space="preserve">A República que Villares pinta para a Exposição Universal de Paris é branca, marmórea, neoclássica —</w:t>
      </w:r>
      <w:r>
        <w:rPr>
          <w:lang w:val="pt-BR"/>
        </w:rPr>
        <w:t xml:space="preserve"> </w:t>
      </w:r>
      <w:r>
        <w:rPr>
          <w:lang w:val="pt-BR"/>
        </w:rPr>
        <w:t xml:space="preserve">um corpo que inexiste no Brasil de 1889, país recém-saído da escravidão, majoritariamente negro e</w:t>
      </w:r>
      <w:r>
        <w:rPr>
          <w:lang w:val="pt-BR"/>
        </w:rPr>
        <w:t xml:space="preserve"> </w:t>
      </w:r>
      <w:r>
        <w:rPr>
          <w:lang w:val="pt-BR"/>
        </w:rPr>
        <w:t xml:space="preserve">mestiço. O vetor de endurecimento é alto nos eixos raciais da forma: desincorporação 3,</w:t>
      </w:r>
      <w:r>
        <w:rPr>
          <w:lang w:val="pt-BR"/>
        </w:rPr>
        <w:t xml:space="preserve"> </w:t>
      </w:r>
      <w:r>
        <w:rPr>
          <w:lang w:val="pt-BR"/>
        </w:rPr>
        <w:t xml:space="preserve">uniformização facial 3, monocromatização 3 (composto estimado 2,4). O baixo escore de inscrição</w:t>
      </w:r>
      <w:r>
        <w:rPr>
          <w:lang w:val="pt-BR"/>
        </w:rPr>
        <w:t xml:space="preserve"> </w:t>
      </w:r>
      <w:r>
        <w:rPr>
          <w:lang w:val="pt-BR"/>
        </w:rPr>
        <w:t xml:space="preserve">estatal é sintomático: o corpo ainda resiste à fixação, há na tela um excesso de técnica pictórica</w:t>
      </w:r>
      <w:r>
        <w:rPr>
          <w:lang w:val="pt-BR"/>
        </w:rPr>
        <w:t xml:space="preserve"> </w:t>
      </w:r>
      <w:r>
        <w:rPr>
          <w:lang w:val="pt-BR"/>
        </w:rPr>
        <w:t xml:space="preserve">que a moeda posterior eliminará. A alegoria funciona como promessa de futuro na medida em que</w:t>
      </w:r>
      <w:r>
        <w:rPr>
          <w:lang w:val="pt-BR"/>
        </w:rPr>
        <w:t xml:space="preserve"> </w:t>
      </w:r>
      <w:r>
        <w:rPr>
          <w:i/>
          <w:iCs/>
          <w:lang w:val="pt-BR"/>
        </w:rPr>
        <w:t xml:space="preserve">nega o</w:t>
      </w:r>
      <w:r>
        <w:rPr>
          <w:i/>
          <w:iCs/>
          <w:lang w:val="pt-BR"/>
        </w:rPr>
        <w:t xml:space="preserve"> </w:t>
      </w:r>
      <w:r>
        <w:rPr>
          <w:i/>
          <w:iCs/>
          <w:lang w:val="pt-BR"/>
        </w:rPr>
        <w:t xml:space="preserve">presente</w:t>
      </w:r>
      <w:r>
        <w:rPr>
          <w:lang w:val="pt-BR"/>
        </w:rPr>
        <w:t xml:space="preserve">: representa um Brasil que não existe por um corpo que não poderia habitá-lo. A branquitude</w:t>
      </w:r>
      <w:r>
        <w:rPr>
          <w:lang w:val="pt-BR"/>
        </w:rPr>
        <w:t xml:space="preserve"> </w:t>
      </w:r>
      <w:r>
        <w:rPr>
          <w:lang w:val="pt-BR"/>
        </w:rPr>
        <w:t xml:space="preserve">não é acidente do gosto do artista; é a condição sob a qual a universalidade jurídica se torna</w:t>
      </w:r>
      <w:r>
        <w:rPr>
          <w:lang w:val="pt-BR"/>
        </w:rPr>
        <w:t xml:space="preserve"> </w:t>
      </w:r>
      <w:r>
        <w:rPr>
          <w:lang w:val="pt-BR"/>
        </w:rPr>
        <w:t xml:space="preserve">visualmente legível no vocabulário do neoclassicismo oitocentista.</w:t>
      </w:r>
    </w:p>
    <w:bookmarkEnd w:id="169"/>
    <w:bookmarkStart w:id="170" w:name="Xe0a5d9e9d7d6a3598a717e9aa2bbe76454ded14"/>
    <w:p>
      <w:pPr>
        <w:pStyle w:val="Heading4"/>
      </w:pPr>
      <w:r>
        <w:rPr>
          <w:rStyle w:val="SectionNumber"/>
          <w:lang w:val="pt-BR"/>
        </w:rPr>
        <w:t xml:space="preserve">10.7.1.2</w:t>
      </w:r>
      <w:r>
        <w:tab/>
      </w:r>
      <w:r>
        <w:rPr>
          <w:lang w:val="pt-BR"/>
        </w:rPr>
        <w:t xml:space="preserve">[B] Centro — A branquitude como resultado, não premissa</w:t>
      </w:r>
    </w:p>
    <w:p>
      <w:pPr>
        <w:pStyle w:val="FirstParagraph"/>
      </w:pPr>
      <w:r>
        <w:rPr>
          <w:b/>
          <w:bCs/>
          <w:lang w:val="pt-BR"/>
        </w:rPr>
        <w:t xml:space="preserve">Imagem:</w:t>
      </w:r>
      <w:r>
        <w:rPr>
          <w:lang w:val="pt-BR"/>
        </w:rPr>
        <w:t xml:space="preserve"> </w:t>
      </w:r>
      <w:r>
        <w:rPr>
          <w:lang w:val="pt-BR"/>
        </w:rPr>
        <w:t xml:space="preserve">NENHUMA. Apenas texto.</w:t>
      </w:r>
    </w:p>
    <w:p>
      <w:pPr>
        <w:pStyle w:val="BodyText"/>
      </w:pPr>
      <w:r>
        <w:rPr>
          <w:b/>
          <w:bCs/>
          <w:lang w:val="pt-BR"/>
        </w:rPr>
        <w:t xml:space="preserve">Texto central (250 palavras):</w:t>
      </w:r>
    </w:p>
    <w:p>
      <w:pPr>
        <w:pStyle w:val="BlockText"/>
      </w:pPr>
      <w:r>
        <w:rPr>
          <w:lang w:val="pt-BR"/>
        </w:rPr>
        <w:t xml:space="preserve">O Contrato Racial Visual opera no intervalo como</w:t>
      </w:r>
      <w:r>
        <w:rPr>
          <w:lang w:val="pt-BR"/>
        </w:rPr>
        <w:t xml:space="preserve"> </w:t>
      </w:r>
      <w:r>
        <w:rPr>
          <w:i/>
          <w:iCs/>
          <w:lang w:val="pt-BR"/>
        </w:rPr>
        <w:t xml:space="preserve">negociação invisível</w:t>
      </w:r>
      <w:r>
        <w:rPr>
          <w:lang w:val="pt-BR"/>
        </w:rPr>
        <w:t xml:space="preserve">. A branquitude da alegoria não</w:t>
      </w:r>
      <w:r>
        <w:rPr>
          <w:lang w:val="pt-BR"/>
        </w:rPr>
        <w:t xml:space="preserve"> </w:t>
      </w:r>
      <w:r>
        <w:rPr>
          <w:lang w:val="pt-BR"/>
        </w:rPr>
        <w:t xml:space="preserve">é ponto de partida, mas</w:t>
      </w:r>
      <w:r>
        <w:rPr>
          <w:lang w:val="pt-BR"/>
        </w:rPr>
        <w:t xml:space="preserve"> </w:t>
      </w:r>
      <w:r>
        <w:rPr>
          <w:i/>
          <w:iCs/>
          <w:lang w:val="pt-BR"/>
        </w:rPr>
        <w:t xml:space="preserve">resíduo</w:t>
      </w:r>
      <w:r>
        <w:rPr>
          <w:lang w:val="pt-BR"/>
        </w:rPr>
        <w:t xml:space="preserve">: o que sobra quando todo o resto — a textura, a cor, a marca de</w:t>
      </w:r>
      <w:r>
        <w:rPr>
          <w:lang w:val="pt-BR"/>
        </w:rPr>
        <w:t xml:space="preserve"> </w:t>
      </w:r>
      <w:r>
        <w:rPr>
          <w:lang w:val="pt-BR"/>
        </w:rPr>
        <w:t xml:space="preserve">origem, a particularidade étnica — foi extraído pela Purificação Clássica. O corpo branco é o único</w:t>
      </w:r>
      <w:r>
        <w:rPr>
          <w:lang w:val="pt-BR"/>
        </w:rPr>
        <w:t xml:space="preserve"> </w:t>
      </w:r>
      <w:r>
        <w:rPr>
          <w:lang w:val="pt-BR"/>
        </w:rPr>
        <w:t xml:space="preserve">que, no vocabulário visual do século XIX, pode desaparecer em função sem deixar de ser legível; o</w:t>
      </w:r>
      <w:r>
        <w:rPr>
          <w:lang w:val="pt-BR"/>
        </w:rPr>
        <w:t xml:space="preserve"> </w:t>
      </w:r>
      <w:r>
        <w:rPr>
          <w:lang w:val="pt-BR"/>
        </w:rPr>
        <w:t xml:space="preserve">corpo negro, o corpo pardo, o corpo indígena permanecem sempre visíveis como particulares. O</w:t>
      </w:r>
      <w:r>
        <w:rPr>
          <w:lang w:val="pt-BR"/>
        </w:rPr>
        <w:t xml:space="preserve"> </w:t>
      </w:r>
      <w:r>
        <w:rPr>
          <w:lang w:val="pt-BR"/>
        </w:rPr>
        <w:t xml:space="preserve">Zwischenraum diz: só o corpo que já é abstrato pode tornar-se função, e só o corpo branco é, nesse</w:t>
      </w:r>
      <w:r>
        <w:rPr>
          <w:lang w:val="pt-BR"/>
        </w:rPr>
        <w:t xml:space="preserve"> </w:t>
      </w:r>
      <w:r>
        <w:rPr>
          <w:lang w:val="pt-BR"/>
        </w:rPr>
        <w:t xml:space="preserve">vocabulário, abstrato o suficiente. A universalidade da alegoria é, portanto, uma particularidade que</w:t>
      </w:r>
      <w:r>
        <w:rPr>
          <w:lang w:val="pt-BR"/>
        </w:rPr>
        <w:t xml:space="preserve"> </w:t>
      </w:r>
      <w:r>
        <w:rPr>
          <w:lang w:val="pt-BR"/>
        </w:rPr>
        <w:t xml:space="preserve">se apresenta como neutra — e é essa apresentação que o painel torna visível.</w:t>
      </w:r>
    </w:p>
    <w:bookmarkEnd w:id="170"/>
    <w:bookmarkStart w:id="171" w:name="X0048ab7e174b03f4998e01ff710188675fa7d67"/>
    <w:p>
      <w:pPr>
        <w:pStyle w:val="Heading4"/>
      </w:pPr>
      <w:r>
        <w:rPr>
          <w:rStyle w:val="SectionNumber"/>
          <w:lang w:val="pt-BR"/>
        </w:rPr>
        <w:t xml:space="preserve">10.7.1.3</w:t>
      </w:r>
      <w:r>
        <w:tab/>
      </w:r>
      <w:r>
        <w:rPr>
          <w:lang w:val="pt-BR"/>
        </w:rPr>
        <w:t xml:space="preserve">[C] Polo direito — A transferência transatlântica</w:t>
      </w:r>
    </w:p>
    <w:p>
      <w:pPr>
        <w:pStyle w:val="FirstParagraph"/>
      </w:pPr>
      <w:r>
        <w:rPr>
          <w:b/>
          <w:bCs/>
          <w:lang w:val="pt-BR"/>
        </w:rPr>
        <w:t xml:space="preserve">Imagem:</w:t>
      </w:r>
      <w:r>
        <w:rPr>
          <w:lang w:val="pt-BR"/>
        </w:rPr>
        <w:t xml:space="preserve"> </w:t>
      </w:r>
      <w:r>
        <w:rPr>
          <w:lang w:val="pt-BR"/>
        </w:rPr>
        <w:t xml:space="preserve">Alfredo Ceschiatti,</w:t>
      </w:r>
      <w:r>
        <w:rPr>
          <w:lang w:val="pt-BR"/>
        </w:rPr>
        <w:t xml:space="preserve"> </w:t>
      </w:r>
      <w:r>
        <w:rPr>
          <w:i/>
          <w:iCs/>
          <w:lang w:val="pt-BR"/>
        </w:rPr>
        <w:t xml:space="preserve">A Justiça</w:t>
      </w:r>
      <w:r>
        <w:rPr>
          <w:lang w:val="pt-BR"/>
        </w:rPr>
        <w:t xml:space="preserve">, granito, STF, Brasília, 1961. (</w:t>
      </w:r>
      <w:r>
        <w:rPr>
          <w:rStyle w:val="VerbatimChar"/>
          <w:lang w:val="pt-BR"/>
        </w:rPr>
        <w:t xml:space="preserve">9eecda17</w:t>
      </w:r>
      <w:r>
        <w:rPr>
          <w:lang w:val="pt-BR"/>
        </w:rPr>
        <w:t xml:space="preserve">)</w:t>
      </w:r>
    </w:p>
    <w:p>
      <w:pPr>
        <w:pStyle w:val="BodyText"/>
      </w:pPr>
      <w:r>
        <w:rPr>
          <w:b/>
          <w:bCs/>
          <w:lang w:val="pt-BR"/>
        </w:rPr>
        <w:t xml:space="preserve">Texto de painel (250 palavras):</w:t>
      </w:r>
    </w:p>
    <w:p>
      <w:pPr>
        <w:pStyle w:val="BlockText"/>
      </w:pPr>
      <w:r>
        <w:rPr>
          <w:lang w:val="pt-BR"/>
        </w:rPr>
        <w:t xml:space="preserve">Setenta anos depois de Villares, a</w:t>
      </w:r>
      <w:r>
        <w:rPr>
          <w:lang w:val="pt-BR"/>
        </w:rPr>
        <w:t xml:space="preserve"> </w:t>
      </w:r>
      <w:r>
        <w:rPr>
          <w:i/>
          <w:iCs/>
          <w:lang w:val="pt-BR"/>
        </w:rPr>
        <w:t xml:space="preserve">Justiça</w:t>
      </w:r>
      <w:r>
        <w:rPr>
          <w:lang w:val="pt-BR"/>
        </w:rPr>
        <w:t xml:space="preserve"> </w:t>
      </w:r>
      <w:r>
        <w:rPr>
          <w:lang w:val="pt-BR"/>
        </w:rPr>
        <w:t xml:space="preserve">de Ceschiatti (composto 2,2) consuma a transferência: uma</w:t>
      </w:r>
      <w:r>
        <w:rPr>
          <w:lang w:val="pt-BR"/>
        </w:rPr>
        <w:t xml:space="preserve"> </w:t>
      </w:r>
      <w:r>
        <w:rPr>
          <w:lang w:val="pt-BR"/>
        </w:rPr>
        <w:t xml:space="preserve">deusa neoclássica de corporalidade inequivocamente europeia, transplantada para o cerrado, instalada</w:t>
      </w:r>
      <w:r>
        <w:rPr>
          <w:lang w:val="pt-BR"/>
        </w:rPr>
        <w:t xml:space="preserve"> </w:t>
      </w:r>
      <w:r>
        <w:rPr>
          <w:lang w:val="pt-BR"/>
        </w:rPr>
        <w:t xml:space="preserve">diante do Supremo Tribunal Federal de um país cuja população majoritária ela não representa. A forma</w:t>
      </w:r>
      <w:r>
        <w:rPr>
          <w:lang w:val="pt-BR"/>
        </w:rPr>
        <w:t xml:space="preserve"> </w:t>
      </w:r>
      <w:r>
        <w:rPr>
          <w:lang w:val="pt-BR"/>
        </w:rPr>
        <w:t xml:space="preserve">modernista simplifica os contornos, mas não altera a matriz racial: o corpo continua a ser o da</w:t>
      </w:r>
      <w:r>
        <w:rPr>
          <w:lang w:val="pt-BR"/>
        </w:rPr>
        <w:t xml:space="preserve"> </w:t>
      </w:r>
      <w:r>
        <w:rPr>
          <w:lang w:val="pt-BR"/>
        </w:rPr>
        <w:t xml:space="preserve">romana idealizada, agora em granito. A branquitude atravessou o Atlântico e o século intactos. É a</w:t>
      </w:r>
      <w:r>
        <w:rPr>
          <w:lang w:val="pt-BR"/>
        </w:rPr>
        <w:t xml:space="preserve"> </w:t>
      </w:r>
      <w:r>
        <w:rPr>
          <w:lang w:val="pt-BR"/>
        </w:rPr>
        <w:t xml:space="preserve">mesma operação da</w:t>
      </w:r>
      <w:r>
        <w:rPr>
          <w:lang w:val="pt-BR"/>
        </w:rPr>
        <w:t xml:space="preserve"> </w:t>
      </w:r>
      <w:r>
        <w:rPr>
          <w:i/>
          <w:iCs/>
          <w:lang w:val="pt-BR"/>
        </w:rPr>
        <w:t xml:space="preserve">Piastre</w:t>
      </w:r>
      <w:r>
        <w:rPr>
          <w:lang w:val="pt-BR"/>
        </w:rPr>
        <w:t xml:space="preserve"> </w:t>
      </w:r>
      <w:r>
        <w:rPr>
          <w:lang w:val="pt-BR"/>
        </w:rPr>
        <w:t xml:space="preserve">colonial (Painel VI) vista do outro lado da rota: lá, o corpo branco</w:t>
      </w:r>
      <w:r>
        <w:rPr>
          <w:lang w:val="pt-BR"/>
        </w:rPr>
        <w:t xml:space="preserve"> </w:t>
      </w:r>
      <w:r>
        <w:rPr>
          <w:lang w:val="pt-BR"/>
        </w:rPr>
        <w:t xml:space="preserve">autoriza a extração na colônia; aqui, ele preside a justiça na ex-colônia tornada república. O</w:t>
      </w:r>
      <w:r>
        <w:rPr>
          <w:lang w:val="pt-BR"/>
        </w:rPr>
        <w:t xml:space="preserve"> </w:t>
      </w:r>
      <w:r>
        <w:rPr>
          <w:lang w:val="pt-BR"/>
        </w:rPr>
        <w:t xml:space="preserve">Contrato Racial Visual é o contrato não-assinado sobre o qual a República se funda — não há assinatura</w:t>
      </w:r>
      <w:r>
        <w:rPr>
          <w:lang w:val="pt-BR"/>
        </w:rPr>
        <w:t xml:space="preserve"> </w:t>
      </w:r>
      <w:r>
        <w:rPr>
          <w:lang w:val="pt-BR"/>
        </w:rPr>
        <w:t xml:space="preserve">porque não há sujeito, apenas o corpo que pôde desaparecer em função.</w:t>
      </w:r>
    </w:p>
    <w:bookmarkEnd w:id="171"/>
    <w:bookmarkEnd w:id="172"/>
    <w:bookmarkStart w:id="173" w:name="síntese-do-painel-6"/>
    <w:p>
      <w:pPr>
        <w:pStyle w:val="Heading3"/>
      </w:pPr>
      <w:r>
        <w:rPr>
          <w:rStyle w:val="SectionNumber"/>
          <w:lang w:val="pt-BR"/>
        </w:rPr>
        <w:t xml:space="preserve">10.7.2</w:t>
      </w:r>
      <w:r>
        <w:tab/>
      </w:r>
      <w:r>
        <w:rPr>
          <w:lang w:val="pt-BR"/>
        </w:rPr>
        <w:t xml:space="preserve">9.7.2 — Síntese do painel</w:t>
      </w:r>
    </w:p>
    <w:p>
      <w:pPr>
        <w:pStyle w:val="BlockText"/>
      </w:pPr>
      <w:r>
        <w:rPr>
          <w:lang w:val="pt-BR"/>
        </w:rPr>
        <w:t xml:space="preserve">Este painel propõe que a branquitude da alegoria jurídica é</w:t>
      </w:r>
      <w:r>
        <w:rPr>
          <w:lang w:val="pt-BR"/>
        </w:rPr>
        <w:t xml:space="preserve"> </w:t>
      </w:r>
      <w:r>
        <w:rPr>
          <w:i/>
          <w:iCs/>
          <w:lang w:val="pt-BR"/>
        </w:rPr>
        <w:t xml:space="preserve">estrutura, não acidente</w:t>
      </w:r>
      <w:r>
        <w:rPr>
          <w:lang w:val="pt-BR"/>
        </w:rPr>
        <w:t xml:space="preserve">. Ela é o</w:t>
      </w:r>
      <w:r>
        <w:rPr>
          <w:lang w:val="pt-BR"/>
        </w:rPr>
        <w:t xml:space="preserve"> </w:t>
      </w:r>
      <w:r>
        <w:rPr>
          <w:lang w:val="pt-BR"/>
        </w:rPr>
        <w:t xml:space="preserve">resultado da Purificação Clássica aplicada à raça: a extração de toda particularidade étnica até</w:t>
      </w:r>
      <w:r>
        <w:rPr>
          <w:lang w:val="pt-BR"/>
        </w:rPr>
        <w:t xml:space="preserve"> </w:t>
      </w:r>
      <w:r>
        <w:rPr>
          <w:lang w:val="pt-BR"/>
        </w:rPr>
        <w:t xml:space="preserve">restar a</w:t>
      </w:r>
      <w:r>
        <w:rPr>
          <w:lang w:val="pt-BR"/>
        </w:rPr>
        <w:t xml:space="preserve"> </w:t>
      </w:r>
      <w:r>
        <w:rPr>
          <w:lang w:val="pt-BR"/>
        </w:rPr>
        <w:t xml:space="preserve">“forma pura”</w:t>
      </w:r>
      <w:r>
        <w:rPr>
          <w:lang w:val="pt-BR"/>
        </w:rPr>
        <w:t xml:space="preserve"> </w:t>
      </w:r>
      <w:r>
        <w:rPr>
          <w:lang w:val="pt-BR"/>
        </w:rPr>
        <w:t xml:space="preserve">que o século XIX identifica com o branco. A transferência visual transatlântica</w:t>
      </w:r>
      <w:r>
        <w:rPr>
          <w:lang w:val="pt-BR"/>
        </w:rPr>
        <w:t xml:space="preserve"> </w:t>
      </w:r>
      <w:r>
        <w:rPr>
          <w:lang w:val="pt-BR"/>
        </w:rPr>
        <w:t xml:space="preserve">— de Villares (1889) a Ceschiatti (1961) — demonstra a estabilidade dessa operação: o corpo impossível</w:t>
      </w:r>
      <w:r>
        <w:rPr>
          <w:lang w:val="pt-BR"/>
        </w:rPr>
        <w:t xml:space="preserve"> </w:t>
      </w:r>
      <w:r>
        <w:rPr>
          <w:lang w:val="pt-BR"/>
        </w:rPr>
        <w:t xml:space="preserve">permanece idêntico através do oceano e do tempo, porque a sua função não é descrever a população que</w:t>
      </w:r>
      <w:r>
        <w:rPr>
          <w:lang w:val="pt-BR"/>
        </w:rPr>
        <w:t xml:space="preserve"> </w:t>
      </w:r>
      <w:r>
        <w:rPr>
          <w:lang w:val="pt-BR"/>
        </w:rPr>
        <w:t xml:space="preserve">governa, mas naturalizar a exclusão dela do campo do simbólico.</w:t>
      </w:r>
    </w:p>
    <w:bookmarkEnd w:id="173"/>
    <w:bookmarkStart w:id="174" w:name="itens-corpus-identificados-6"/>
    <w:p>
      <w:pPr>
        <w:pStyle w:val="Heading3"/>
      </w:pPr>
      <w:r>
        <w:rPr>
          <w:rStyle w:val="SectionNumber"/>
          <w:lang w:val="pt-BR"/>
        </w:rPr>
        <w:t xml:space="preserve">10.7.3</w:t>
      </w:r>
      <w:r>
        <w:tab/>
      </w:r>
      <w:r>
        <w:rPr>
          <w:lang w:val="pt-BR"/>
        </w:rPr>
        <w:t xml:space="preserve">9.7.3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lang w:val="pt-BR"/>
              </w:rPr>
              <w:t xml:space="preserve">Villares,</w:t>
            </w:r>
            <w:r>
              <w:rPr>
                <w:lang w:val="pt-BR"/>
              </w:rPr>
              <w:t xml:space="preserve"> </w:t>
            </w:r>
            <w:r>
              <w:rPr>
                <w:i/>
                <w:iCs/>
                <w:lang w:val="pt-BR"/>
              </w:rPr>
              <w:t xml:space="preserve">Alegoria da República</w:t>
            </w:r>
          </w:p>
        </w:tc>
        <w:tc>
          <w:tcPr/>
          <w:p>
            <w:pPr>
              <w:pStyle w:val="Compact"/>
            </w:pPr>
            <w:r>
              <w:rPr>
                <w:rStyle w:val="VerbatimChar"/>
                <w:lang w:val="pt-BR"/>
              </w:rPr>
              <w:t xml:space="preserve">BR-005</w:t>
            </w:r>
          </w:p>
        </w:tc>
        <w:tc>
          <w:tcPr/>
          <w:p>
            <w:pPr>
              <w:pStyle w:val="Compact"/>
            </w:pPr>
            <w:r>
              <w:rPr>
                <w:lang w:val="pt-BR"/>
              </w:rPr>
              <w:t xml:space="preserve">fundacional</w:t>
            </w:r>
          </w:p>
        </w:tc>
        <w:tc>
          <w:tcPr/>
          <w:p>
            <w:pPr>
              <w:pStyle w:val="Compact"/>
            </w:pPr>
            <w:r>
              <w:rPr>
                <w:lang w:val="pt-BR"/>
              </w:rPr>
              <w:t xml:space="preserve">2,4 (estimado)</w:t>
            </w:r>
          </w:p>
        </w:tc>
        <w:tc>
          <w:tcPr/>
          <w:p>
            <w:pPr>
              <w:pStyle w:val="Compact"/>
            </w:pPr>
            <w:r>
              <w:rPr>
                <w:lang w:val="pt-BR"/>
              </w:rPr>
              <w:t xml:space="preserve">Polo esquerdo: o corpo impossível, branquitude como origem</w:t>
            </w:r>
          </w:p>
        </w:tc>
      </w:tr>
      <w:tr>
        <w:tc>
          <w:tcPr/>
          <w:p>
            <w:pPr>
              <w:pStyle w:val="Compact"/>
            </w:pPr>
            <w:r>
              <w:rPr>
                <w:lang w:val="pt-BR"/>
              </w:rPr>
              <w:t xml:space="preserve">Ceschiatti,</w:t>
            </w:r>
            <w:r>
              <w:rPr>
                <w:lang w:val="pt-BR"/>
              </w:rPr>
              <w:t xml:space="preserve"> </w:t>
            </w:r>
            <w:r>
              <w:rPr>
                <w:i/>
                <w:iCs/>
                <w:lang w:val="pt-BR"/>
              </w:rPr>
              <w:t xml:space="preserve">A Justiça</w:t>
            </w:r>
            <w:r>
              <w:rPr>
                <w:lang w:val="pt-BR"/>
              </w:rPr>
              <w:t xml:space="preserve"> </w:t>
            </w:r>
            <w:r>
              <w:rPr>
                <w:lang w:val="pt-BR"/>
              </w:rPr>
              <w:t xml:space="preserve">(STF)</w:t>
            </w:r>
          </w:p>
        </w:tc>
        <w:tc>
          <w:tcPr/>
          <w:p>
            <w:pPr>
              <w:pStyle w:val="Compact"/>
            </w:pPr>
            <w:r>
              <w:rPr>
                <w:rStyle w:val="VerbatimChar"/>
                <w:lang w:val="pt-BR"/>
              </w:rPr>
              <w:t xml:space="preserve">9eecda17</w:t>
            </w:r>
          </w:p>
        </w:tc>
        <w:tc>
          <w:tcPr/>
          <w:p>
            <w:pPr>
              <w:pStyle w:val="Compact"/>
            </w:pPr>
            <w:r>
              <w:rPr>
                <w:lang w:val="pt-BR"/>
              </w:rPr>
              <w:t xml:space="preserve">militar</w:t>
            </w:r>
          </w:p>
        </w:tc>
        <w:tc>
          <w:tcPr/>
          <w:p>
            <w:pPr>
              <w:pStyle w:val="Compact"/>
            </w:pPr>
            <w:r>
              <w:rPr>
                <w:lang w:val="pt-BR"/>
              </w:rPr>
              <w:t xml:space="preserve">2,2</w:t>
            </w:r>
          </w:p>
        </w:tc>
        <w:tc>
          <w:tcPr/>
          <w:p>
            <w:pPr>
              <w:pStyle w:val="Compact"/>
            </w:pPr>
            <w:r>
              <w:rPr>
                <w:lang w:val="pt-BR"/>
              </w:rPr>
              <w:t xml:space="preserve">Polo direito: transferência transatlântica consumada</w:t>
            </w:r>
          </w:p>
        </w:tc>
      </w:tr>
      <w:tr>
        <w:tc>
          <w:tcPr/>
          <w:p>
            <w:pPr>
              <w:pStyle w:val="Compact"/>
            </w:pPr>
            <w:r>
              <w:rPr>
                <w:i/>
                <w:iCs/>
                <w:lang w:val="pt-BR"/>
              </w:rPr>
              <w:t xml:space="preserve">Piastre de Commerce</w:t>
            </w:r>
            <w:r>
              <w:rPr>
                <w:lang w:val="pt-BR"/>
              </w:rPr>
              <w:t xml:space="preserve"> </w:t>
            </w:r>
            <w:r>
              <w:rPr>
                <w:lang w:val="pt-BR"/>
              </w:rPr>
              <w:t xml:space="preserve">(Marianne colonial)</w:t>
            </w:r>
          </w:p>
        </w:tc>
        <w:tc>
          <w:tcPr/>
          <w:p>
            <w:pPr>
              <w:pStyle w:val="Compact"/>
            </w:pPr>
            <w:r>
              <w:rPr>
                <w:rStyle w:val="VerbatimChar"/>
                <w:lang w:val="pt-BR"/>
              </w:rPr>
              <w:t xml:space="preserve">34be13f9</w:t>
            </w:r>
          </w:p>
        </w:tc>
        <w:tc>
          <w:tcPr/>
          <w:p>
            <w:pPr>
              <w:pStyle w:val="Compact"/>
            </w:pPr>
            <w:r>
              <w:rPr>
                <w:lang w:val="pt-BR"/>
              </w:rPr>
              <w:t xml:space="preserve">militar</w:t>
            </w:r>
          </w:p>
        </w:tc>
        <w:tc>
          <w:tcPr/>
          <w:p>
            <w:pPr>
              <w:pStyle w:val="Compact"/>
            </w:pPr>
            <w:r>
              <w:rPr>
                <w:lang w:val="pt-BR"/>
              </w:rPr>
              <w:t xml:space="preserve">2,3 (estimado)</w:t>
            </w:r>
          </w:p>
        </w:tc>
        <w:tc>
          <w:tcPr/>
          <w:p>
            <w:pPr>
              <w:pStyle w:val="Compact"/>
            </w:pPr>
            <w:r>
              <w:rPr>
                <w:lang w:val="pt-BR"/>
              </w:rPr>
              <w:t xml:space="preserve">Referência cruzada (Painel VI): o corpo branco na rota imperial</w:t>
            </w:r>
          </w:p>
        </w:tc>
      </w:tr>
    </w:tbl>
    <w:p>
      <w:r>
        <w:pict>
          <v:rect style="width:0;height:1.5pt" o:hralign="center" o:hrstd="t" o:hr="t"/>
        </w:pict>
      </w:r>
    </w:p>
    <w:bookmarkEnd w:id="174"/>
    <w:bookmarkEnd w:id="175"/>
    <w:bookmarkStart w:id="182" w:name="painel-viii-fissuras-a-contra-alegoria"/>
    <w:p>
      <w:pPr>
        <w:pStyle w:val="Heading2"/>
      </w:pPr>
      <w:r>
        <w:rPr>
          <w:rStyle w:val="SectionNumber"/>
          <w:lang w:val="pt-BR"/>
        </w:rPr>
        <w:t xml:space="preserve">10.8</w:t>
      </w:r>
      <w:r>
        <w:tab/>
      </w:r>
      <w:r>
        <w:rPr>
          <w:lang w:val="pt-BR"/>
        </w:rPr>
        <w:t xml:space="preserve">9.8 — Painel VIII: FISSURAS — A Contra-Alegoria</w:t>
      </w:r>
    </w:p>
    <w:p>
      <w:pPr>
        <w:pStyle w:val="BlockText"/>
      </w:pPr>
      <w:r>
        <w:rPr>
          <w:b/>
          <w:bCs/>
          <w:lang w:val="pt-BR"/>
        </w:rPr>
        <w:t xml:space="preserve">Zwischenraum temático:</w:t>
      </w:r>
      <w:r>
        <w:rPr>
          <w:lang w:val="pt-BR"/>
        </w:rPr>
        <w:t xml:space="preserve"> </w:t>
      </w:r>
      <w:r>
        <w:rPr>
          <w:lang w:val="pt-BR"/>
        </w:rPr>
        <w:t xml:space="preserve">Os sete painéis anteriores documentam a consumação da Purificação Clássica.</w:t>
      </w:r>
      <w:r>
        <w:rPr>
          <w:lang w:val="pt-BR"/>
        </w:rPr>
        <w:t xml:space="preserve"> </w:t>
      </w:r>
      <w:r>
        <w:rPr>
          <w:lang w:val="pt-BR"/>
        </w:rPr>
        <w:t xml:space="preserve">Este documenta as suas</w:t>
      </w:r>
      <w:r>
        <w:rPr>
          <w:lang w:val="pt-BR"/>
        </w:rPr>
        <w:t xml:space="preserve"> </w:t>
      </w:r>
      <w:r>
        <w:rPr>
          <w:i/>
          <w:iCs/>
          <w:lang w:val="pt-BR"/>
        </w:rPr>
        <w:t xml:space="preserve">fissuras</w:t>
      </w:r>
      <w:r>
        <w:rPr>
          <w:lang w:val="pt-BR"/>
        </w:rPr>
        <w:t xml:space="preserve">: os momentos em que a operação falha, é interrompida ou é revertida.</w:t>
      </w:r>
      <w:r>
        <w:rPr>
          <w:lang w:val="pt-BR"/>
        </w:rPr>
        <w:t xml:space="preserve"> </w:t>
      </w:r>
      <w:r>
        <w:rPr>
          <w:lang w:val="pt-BR"/>
        </w:rPr>
        <w:t xml:space="preserve">A contra-alegoria não é a ausência de alegoria, mas a alegoria</w:t>
      </w:r>
      <w:r>
        <w:rPr>
          <w:lang w:val="pt-BR"/>
        </w:rPr>
        <w:t xml:space="preserve"> </w:t>
      </w:r>
      <w:r>
        <w:rPr>
          <w:i/>
          <w:iCs/>
          <w:lang w:val="pt-BR"/>
        </w:rPr>
        <w:t xml:space="preserve">tornada visível como operação</w:t>
      </w:r>
      <w:r>
        <w:rPr>
          <w:lang w:val="pt-BR"/>
        </w:rPr>
        <w:t xml:space="preserve"> </w:t>
      </w:r>
      <w:r>
        <w:rPr>
          <w:lang w:val="pt-BR"/>
        </w:rPr>
        <w:t xml:space="preserve">— o</w:t>
      </w:r>
      <w:r>
        <w:rPr>
          <w:lang w:val="pt-BR"/>
        </w:rPr>
        <w:t xml:space="preserve"> </w:t>
      </w:r>
      <w:r>
        <w:rPr>
          <w:lang w:val="pt-BR"/>
        </w:rPr>
        <w:t xml:space="preserve">instante em que a substituição naturalizada do corpo feminino histórico pela sua fórmula de Estado se</w:t>
      </w:r>
      <w:r>
        <w:rPr>
          <w:lang w:val="pt-BR"/>
        </w:rPr>
        <w:t xml:space="preserve"> </w:t>
      </w:r>
      <w:r>
        <w:rPr>
          <w:lang w:val="pt-BR"/>
        </w:rPr>
        <w:t xml:space="preserve">dá a ver como o que sempre foi: uma escolha, não uma natureza. O Zwischenraum, aqui, inverte-se: em</w:t>
      </w:r>
      <w:r>
        <w:rPr>
          <w:lang w:val="pt-BR"/>
        </w:rPr>
        <w:t xml:space="preserve"> </w:t>
      </w:r>
      <w:r>
        <w:rPr>
          <w:lang w:val="pt-BR"/>
        </w:rPr>
        <w:t xml:space="preserve">vez do intervalo onde o corpo desaparece em função, é o intervalo onde a função é forçada a devolver o</w:t>
      </w:r>
      <w:r>
        <w:rPr>
          <w:lang w:val="pt-BR"/>
        </w:rPr>
        <w:t xml:space="preserve"> </w:t>
      </w:r>
      <w:r>
        <w:rPr>
          <w:lang w:val="pt-BR"/>
        </w:rPr>
        <w:t xml:space="preserve">corpo. Três modos de fissura: pela destruição, pela reencarnação e pela sátira.</w:t>
      </w:r>
    </w:p>
    <w:bookmarkStart w:id="179" w:name="layout-do-painel-3-imagens-2-textos-6"/>
    <w:p>
      <w:pPr>
        <w:pStyle w:val="Heading3"/>
      </w:pPr>
      <w:r>
        <w:rPr>
          <w:rStyle w:val="SectionNumber"/>
          <w:lang w:val="pt-BR"/>
        </w:rPr>
        <w:t xml:space="preserve">10.8.1</w:t>
      </w:r>
      <w:r>
        <w:tab/>
      </w:r>
      <w:r>
        <w:rPr>
          <w:lang w:val="pt-BR"/>
        </w:rPr>
        <w:t xml:space="preserve">9.8.1 — Layout do painel (3 imagens + 2 textos)</w:t>
      </w:r>
    </w:p>
    <w:bookmarkStart w:id="176" w:name="X56d6655b5679964b79b48a1e36bcdcdcc783759"/>
    <w:p>
      <w:pPr>
        <w:pStyle w:val="Heading4"/>
      </w:pPr>
      <w:r>
        <w:rPr>
          <w:rStyle w:val="SectionNumber"/>
          <w:lang w:val="pt-BR"/>
        </w:rPr>
        <w:t xml:space="preserve">10.8.1.1</w:t>
      </w:r>
      <w:r>
        <w:tab/>
      </w:r>
      <w:r>
        <w:rPr>
          <w:lang w:val="pt-BR"/>
        </w:rPr>
        <w:t xml:space="preserve">[A] Polo esquerdo — A fissura pela destruição</w:t>
      </w:r>
    </w:p>
    <w:p>
      <w:pPr>
        <w:pStyle w:val="FirstParagraph"/>
      </w:pPr>
      <w:r>
        <w:rPr>
          <w:b/>
          <w:bCs/>
          <w:lang w:val="pt-BR"/>
        </w:rPr>
        <w:t xml:space="preserve">Imagens:</w:t>
      </w:r>
      <w:r>
        <w:rPr>
          <w:lang w:val="pt-BR"/>
        </w:rPr>
        <w:t xml:space="preserve"> </w:t>
      </w:r>
      <w:r>
        <w:rPr>
          <w:lang w:val="pt-BR"/>
        </w:rPr>
        <w:t xml:space="preserve">(1)</w:t>
      </w:r>
      <w:r>
        <w:rPr>
          <w:lang w:val="pt-BR"/>
        </w:rPr>
        <w:t xml:space="preserve"> </w:t>
      </w:r>
      <w:r>
        <w:rPr>
          <w:i/>
          <w:iCs/>
          <w:lang w:val="pt-BR"/>
        </w:rPr>
        <w:t xml:space="preserve">La Marseillaise</w:t>
      </w:r>
      <w:r>
        <w:rPr>
          <w:lang w:val="pt-BR"/>
        </w:rPr>
        <w:t xml:space="preserve"> </w:t>
      </w:r>
      <w:r>
        <w:rPr>
          <w:lang w:val="pt-BR"/>
        </w:rPr>
        <w:t xml:space="preserve">de Rude, rosto mutilado por manifestante dos coletes amarelos, 2018</w:t>
      </w:r>
      <w:r>
        <w:rPr>
          <w:lang w:val="pt-BR"/>
        </w:rPr>
        <w:t xml:space="preserve"> </w:t>
      </w:r>
      <w:r>
        <w:rPr>
          <w:lang w:val="pt-BR"/>
        </w:rPr>
        <w:t xml:space="preserve">(</w:t>
      </w:r>
      <w:r>
        <w:rPr>
          <w:rStyle w:val="VerbatimChar"/>
          <w:lang w:val="pt-BR"/>
        </w:rPr>
        <w:t xml:space="preserve">0970108c</w:t>
      </w:r>
      <w:r>
        <w:rPr>
          <w:lang w:val="pt-BR"/>
        </w:rPr>
        <w:t xml:space="preserve">); (2)</w:t>
      </w:r>
      <w:r>
        <w:rPr>
          <w:lang w:val="pt-BR"/>
        </w:rPr>
        <w:t xml:space="preserve"> </w:t>
      </w:r>
      <w:r>
        <w:rPr>
          <w:i/>
          <w:iCs/>
          <w:lang w:val="pt-BR"/>
        </w:rPr>
        <w:t xml:space="preserve">A Justiça</w:t>
      </w:r>
      <w:r>
        <w:rPr>
          <w:lang w:val="pt-BR"/>
        </w:rPr>
        <w:t xml:space="preserve"> </w:t>
      </w:r>
      <w:r>
        <w:rPr>
          <w:lang w:val="pt-BR"/>
        </w:rPr>
        <w:t xml:space="preserve">de Ceschiatti, versão interna, bronze vandalizado no STF, 8 de janeiro de</w:t>
      </w:r>
      <w:r>
        <w:rPr>
          <w:lang w:val="pt-BR"/>
        </w:rPr>
        <w:t xml:space="preserve"> </w:t>
      </w:r>
      <w:r>
        <w:rPr>
          <w:lang w:val="pt-BR"/>
        </w:rPr>
        <w:t xml:space="preserve">2023 (</w:t>
      </w:r>
      <w:r>
        <w:rPr>
          <w:rStyle w:val="VerbatimChar"/>
          <w:lang w:val="pt-BR"/>
        </w:rPr>
        <w:t xml:space="preserve">e0399402</w:t>
      </w:r>
      <w:r>
        <w:rPr>
          <w:lang w:val="pt-BR"/>
        </w:rPr>
        <w:t xml:space="preserve">).</w:t>
      </w:r>
    </w:p>
    <w:p>
      <w:pPr>
        <w:pStyle w:val="BodyText"/>
      </w:pPr>
      <w:r>
        <w:rPr>
          <w:b/>
          <w:bCs/>
          <w:lang w:val="pt-BR"/>
        </w:rPr>
        <w:t xml:space="preserve">Texto de painel (300 palavras):</w:t>
      </w:r>
    </w:p>
    <w:p>
      <w:pPr>
        <w:pStyle w:val="BlockText"/>
      </w:pPr>
      <w:r>
        <w:rPr>
          <w:lang w:val="pt-BR"/>
        </w:rPr>
        <w:t xml:space="preserve">A iconoclastia é a prova negativa da tese. Quando um manifestante racha o rosto da</w:t>
      </w:r>
      <w:r>
        <w:rPr>
          <w:lang w:val="pt-BR"/>
        </w:rPr>
        <w:t xml:space="preserve"> </w:t>
      </w:r>
      <w:r>
        <w:rPr>
          <w:i/>
          <w:iCs/>
          <w:lang w:val="pt-BR"/>
        </w:rPr>
        <w:t xml:space="preserve">Marseillaise</w:t>
      </w:r>
      <w:r>
        <w:rPr>
          <w:lang w:val="pt-BR"/>
        </w:rPr>
        <w:t xml:space="preserve"> </w:t>
      </w:r>
      <w:r>
        <w:rPr>
          <w:lang w:val="pt-BR"/>
        </w:rPr>
        <w:t xml:space="preserve">de</w:t>
      </w:r>
      <w:r>
        <w:rPr>
          <w:lang w:val="pt-BR"/>
        </w:rPr>
        <w:t xml:space="preserve"> </w:t>
      </w:r>
      <w:r>
        <w:rPr>
          <w:lang w:val="pt-BR"/>
        </w:rPr>
        <w:t xml:space="preserve">Rude (2018) ou quando os atos golpistas de 8 de janeiro de 2023 vandalizam a</w:t>
      </w:r>
      <w:r>
        <w:rPr>
          <w:lang w:val="pt-BR"/>
        </w:rPr>
        <w:t xml:space="preserve"> </w:t>
      </w:r>
      <w:r>
        <w:rPr>
          <w:i/>
          <w:iCs/>
          <w:lang w:val="pt-BR"/>
        </w:rPr>
        <w:t xml:space="preserve">Justiça</w:t>
      </w:r>
      <w:r>
        <w:rPr>
          <w:lang w:val="pt-BR"/>
        </w:rPr>
        <w:t xml:space="preserve"> </w:t>
      </w:r>
      <w:r>
        <w:rPr>
          <w:lang w:val="pt-BR"/>
        </w:rPr>
        <w:t xml:space="preserve">interna do STF,</w:t>
      </w:r>
      <w:r>
        <w:rPr>
          <w:lang w:val="pt-BR"/>
        </w:rPr>
        <w:t xml:space="preserve"> </w:t>
      </w:r>
      <w:r>
        <w:rPr>
          <w:lang w:val="pt-BR"/>
        </w:rPr>
        <w:t xml:space="preserve">o gesto destrutivo devolve à figura — pela via da violência — o corpo histórico e o conflito que a</w:t>
      </w:r>
      <w:r>
        <w:rPr>
          <w:lang w:val="pt-BR"/>
        </w:rPr>
        <w:t xml:space="preserve"> </w:t>
      </w:r>
      <w:r>
        <w:rPr>
          <w:lang w:val="pt-BR"/>
        </w:rPr>
        <w:t xml:space="preserve">Purificação Clássica lhe havia extraído. Nenhum dos dois itens tem codificação quantitativa, e por</w:t>
      </w:r>
      <w:r>
        <w:rPr>
          <w:lang w:val="pt-BR"/>
        </w:rPr>
        <w:t xml:space="preserve"> </w:t>
      </w:r>
      <w:r>
        <w:rPr>
          <w:lang w:val="pt-BR"/>
        </w:rPr>
        <w:t xml:space="preserve">isso não entram como escore; entram como</w:t>
      </w:r>
      <w:r>
        <w:rPr>
          <w:lang w:val="pt-BR"/>
        </w:rPr>
        <w:t xml:space="preserve"> </w:t>
      </w:r>
      <w:r>
        <w:rPr>
          <w:i/>
          <w:iCs/>
          <w:lang w:val="pt-BR"/>
        </w:rPr>
        <w:t xml:space="preserve">acontecimento</w:t>
      </w:r>
      <w:r>
        <w:rPr>
          <w:lang w:val="pt-BR"/>
        </w:rPr>
        <w:t xml:space="preserve">. A face rachada é, involuntariamente, uma</w:t>
      </w:r>
      <w:r>
        <w:rPr>
          <w:lang w:val="pt-BR"/>
        </w:rPr>
        <w:t xml:space="preserve"> </w:t>
      </w:r>
      <w:r>
        <w:rPr>
          <w:lang w:val="pt-BR"/>
        </w:rPr>
        <w:t xml:space="preserve">tese: a alegoria só é serena enquanto ninguém a toca. A serenidade da Justiça de bronze não é uma</w:t>
      </w:r>
      <w:r>
        <w:rPr>
          <w:lang w:val="pt-BR"/>
        </w:rPr>
        <w:t xml:space="preserve"> </w:t>
      </w:r>
      <w:r>
        <w:rPr>
          <w:lang w:val="pt-BR"/>
        </w:rPr>
        <w:t xml:space="preserve">propriedade sua, mas uma produção — e a iconoclastia, ao interrompê-la, revela a produção. O corpo que</w:t>
      </w:r>
      <w:r>
        <w:rPr>
          <w:lang w:val="pt-BR"/>
        </w:rPr>
        <w:t xml:space="preserve"> </w:t>
      </w:r>
      <w:r>
        <w:rPr>
          <w:lang w:val="pt-BR"/>
        </w:rPr>
        <w:t xml:space="preserve">a Purificação Clássica havia silenciado volta a</w:t>
      </w:r>
      <w:r>
        <w:rPr>
          <w:lang w:val="pt-BR"/>
        </w:rPr>
        <w:t xml:space="preserve"> </w:t>
      </w:r>
      <w:r>
        <w:rPr>
          <w:i/>
          <w:iCs/>
          <w:lang w:val="pt-BR"/>
        </w:rPr>
        <w:t xml:space="preserve">fazer barulho</w:t>
      </w:r>
      <w:r>
        <w:rPr>
          <w:lang w:val="pt-BR"/>
        </w:rPr>
        <w:t xml:space="preserve"> </w:t>
      </w:r>
      <w:r>
        <w:rPr>
          <w:lang w:val="pt-BR"/>
        </w:rPr>
        <w:t xml:space="preserve">no exato momento em que é atacado.</w:t>
      </w:r>
    </w:p>
    <w:bookmarkEnd w:id="176"/>
    <w:bookmarkStart w:id="177" w:name="b-centro-a-fissura-pela-reencarnação"/>
    <w:p>
      <w:pPr>
        <w:pStyle w:val="Heading4"/>
      </w:pPr>
      <w:r>
        <w:rPr>
          <w:rStyle w:val="SectionNumber"/>
          <w:lang w:val="pt-BR"/>
        </w:rPr>
        <w:t xml:space="preserve">10.8.1.2</w:t>
      </w:r>
      <w:r>
        <w:tab/>
      </w:r>
      <w:r>
        <w:rPr>
          <w:lang w:val="pt-BR"/>
        </w:rPr>
        <w:t xml:space="preserve">[B] Centro — A fissura pela reencarnação</w:t>
      </w:r>
    </w:p>
    <w:p>
      <w:pPr>
        <w:pStyle w:val="FirstParagraph"/>
      </w:pPr>
      <w:r>
        <w:rPr>
          <w:b/>
          <w:bCs/>
          <w:lang w:val="pt-BR"/>
        </w:rPr>
        <w:t xml:space="preserve">Imagem:</w:t>
      </w:r>
      <w:r>
        <w:rPr>
          <w:lang w:val="pt-BR"/>
        </w:rPr>
        <w:t xml:space="preserve"> </w:t>
      </w:r>
      <w:r>
        <w:rPr>
          <w:lang w:val="pt-BR"/>
        </w:rPr>
        <w:t xml:space="preserve">Hedwig Reicher como Columbia, desfile sufragista de Washington, fotografia, 1913</w:t>
      </w:r>
      <w:r>
        <w:rPr>
          <w:lang w:val="pt-BR"/>
        </w:rPr>
        <w:t xml:space="preserve"> </w:t>
      </w:r>
      <w:r>
        <w:rPr>
          <w:lang w:val="pt-BR"/>
        </w:rPr>
        <w:t xml:space="preserve">(</w:t>
      </w:r>
      <w:r>
        <w:rPr>
          <w:rStyle w:val="VerbatimChar"/>
          <w:lang w:val="pt-BR"/>
        </w:rPr>
        <w:t xml:space="preserve">2419621d</w:t>
      </w:r>
      <w:r>
        <w:rPr>
          <w:lang w:val="pt-BR"/>
        </w:rPr>
        <w:t xml:space="preserve">).</w:t>
      </w:r>
    </w:p>
    <w:p>
      <w:pPr>
        <w:pStyle w:val="BodyText"/>
      </w:pPr>
      <w:r>
        <w:rPr>
          <w:b/>
          <w:bCs/>
          <w:lang w:val="pt-BR"/>
        </w:rPr>
        <w:t xml:space="preserve">Texto de painel (300 palavras):</w:t>
      </w:r>
    </w:p>
    <w:p>
      <w:pPr>
        <w:pStyle w:val="BlockText"/>
      </w:pPr>
      <w:r>
        <w:rPr>
          <w:lang w:val="pt-BR"/>
        </w:rPr>
        <w:t xml:space="preserve">A fissura mais radical não vem de fora, pela destruição, mas de dentro, pela</w:t>
      </w:r>
      <w:r>
        <w:rPr>
          <w:lang w:val="pt-BR"/>
        </w:rPr>
        <w:t xml:space="preserve"> </w:t>
      </w:r>
      <w:r>
        <w:rPr>
          <w:i/>
          <w:iCs/>
          <w:lang w:val="pt-BR"/>
        </w:rPr>
        <w:t xml:space="preserve">reencarnação</w:t>
      </w:r>
      <w:r>
        <w:rPr>
          <w:lang w:val="pt-BR"/>
        </w:rPr>
        <w:t xml:space="preserve">. Hedwig</w:t>
      </w:r>
      <w:r>
        <w:rPr>
          <w:lang w:val="pt-BR"/>
        </w:rPr>
        <w:t xml:space="preserve"> </w:t>
      </w:r>
      <w:r>
        <w:rPr>
          <w:lang w:val="pt-BR"/>
        </w:rPr>
        <w:t xml:space="preserve">Reicher, atriz, personifica Columbia no desfile sufragista de 1913 — e a codificação do item o</w:t>
      </w:r>
      <w:r>
        <w:rPr>
          <w:lang w:val="pt-BR"/>
        </w:rPr>
        <w:t xml:space="preserve"> </w:t>
      </w:r>
      <w:r>
        <w:rPr>
          <w:lang w:val="pt-BR"/>
        </w:rPr>
        <w:t xml:space="preserve">reclassifica de normativo para</w:t>
      </w:r>
      <w:r>
        <w:rPr>
          <w:lang w:val="pt-BR"/>
        </w:rPr>
        <w:t xml:space="preserve"> </w:t>
      </w:r>
      <w:r>
        <w:rPr>
          <w:i/>
          <w:iCs/>
          <w:lang w:val="pt-BR"/>
        </w:rPr>
        <w:t xml:space="preserve">fundacional (contra-fundacional)</w:t>
      </w:r>
      <w:r>
        <w:rPr>
          <w:lang w:val="pt-BR"/>
        </w:rPr>
        <w:t xml:space="preserve">, baixando a desincorporação de 1</w:t>
      </w:r>
      <w:r>
        <w:rPr>
          <w:lang w:val="pt-BR"/>
        </w:rPr>
        <w:t xml:space="preserve"> </w:t>
      </w:r>
      <w:r>
        <w:rPr>
          <w:lang w:val="pt-BR"/>
        </w:rPr>
        <w:t xml:space="preserve">para 0 com a anotação decisiva:</w:t>
      </w:r>
      <w:r>
        <w:rPr>
          <w:lang w:val="pt-BR"/>
        </w:rPr>
        <w:t xml:space="preserve"> </w:t>
      </w:r>
      <w:r>
        <w:rPr>
          <w:i/>
          <w:iCs/>
          <w:lang w:val="pt-BR"/>
        </w:rPr>
        <w:t xml:space="preserve">este é um corpo real</w:t>
      </w:r>
      <w:r>
        <w:rPr>
          <w:lang w:val="pt-BR"/>
        </w:rPr>
        <w:t xml:space="preserve">. Reicher é, simultaneamente, uma mulher</w:t>
      </w:r>
      <w:r>
        <w:rPr>
          <w:lang w:val="pt-BR"/>
        </w:rPr>
        <w:t xml:space="preserve"> </w:t>
      </w:r>
      <w:r>
        <w:rPr>
          <w:lang w:val="pt-BR"/>
        </w:rPr>
        <w:t xml:space="preserve">concreta e a alegoria Columbia, e é precisamente essa coincidência que expõe o contrato visual</w:t>
      </w:r>
      <w:r>
        <w:rPr>
          <w:lang w:val="pt-BR"/>
        </w:rPr>
        <w:t xml:space="preserve"> </w:t>
      </w:r>
      <w:r>
        <w:rPr>
          <w:i/>
          <w:iCs/>
          <w:lang w:val="pt-BR"/>
        </w:rPr>
        <w:t xml:space="preserve">por</w:t>
      </w:r>
      <w:r>
        <w:rPr>
          <w:i/>
          <w:iCs/>
          <w:lang w:val="pt-BR"/>
        </w:rPr>
        <w:t xml:space="preserve"> </w:t>
      </w:r>
      <w:r>
        <w:rPr>
          <w:i/>
          <w:iCs/>
          <w:lang w:val="pt-BR"/>
        </w:rPr>
        <w:t xml:space="preserve">dentro</w:t>
      </w:r>
      <w:r>
        <w:rPr>
          <w:lang w:val="pt-BR"/>
        </w:rPr>
        <w:t xml:space="preserve">. Quando a mulher real reocupa o corpo que a alegoria lhe havia usurpado, a substituição</w:t>
      </w:r>
      <w:r>
        <w:rPr>
          <w:lang w:val="pt-BR"/>
        </w:rPr>
        <w:t xml:space="preserve"> </w:t>
      </w:r>
      <w:r>
        <w:rPr>
          <w:lang w:val="pt-BR"/>
        </w:rPr>
        <w:t xml:space="preserve">naturalizada torna-se, por um instante, visível como escolha. Não é a destruição da alegoria, mas a</w:t>
      </w:r>
      <w:r>
        <w:rPr>
          <w:lang w:val="pt-BR"/>
        </w:rPr>
        <w:t xml:space="preserve"> </w:t>
      </w:r>
      <w:r>
        <w:rPr>
          <w:lang w:val="pt-BR"/>
        </w:rPr>
        <w:t xml:space="preserve">sua</w:t>
      </w:r>
      <w:r>
        <w:rPr>
          <w:lang w:val="pt-BR"/>
        </w:rPr>
        <w:t xml:space="preserve"> </w:t>
      </w:r>
      <w:r>
        <w:rPr>
          <w:i/>
          <w:iCs/>
          <w:lang w:val="pt-BR"/>
        </w:rPr>
        <w:t xml:space="preserve">reencarnação</w:t>
      </w:r>
      <w:r>
        <w:rPr>
          <w:lang w:val="pt-BR"/>
        </w:rPr>
        <w:t xml:space="preserve">: o corpo simbólico devolvido ao corpo histórico, no exato momento — o desfile</w:t>
      </w:r>
      <w:r>
        <w:rPr>
          <w:lang w:val="pt-BR"/>
        </w:rPr>
        <w:t xml:space="preserve"> </w:t>
      </w:r>
      <w:r>
        <w:rPr>
          <w:lang w:val="pt-BR"/>
        </w:rPr>
        <w:t xml:space="preserve">sufragista — em que mulheres reais reivindicam a cidadania que a alegoria lhes substituíra. É o</w:t>
      </w:r>
      <w:r>
        <w:rPr>
          <w:lang w:val="pt-BR"/>
        </w:rPr>
        <w:t xml:space="preserve"> </w:t>
      </w:r>
      <w:r>
        <w:rPr>
          <w:lang w:val="pt-BR"/>
        </w:rPr>
        <w:t xml:space="preserve">Contrato Sexual Visual desmontado pelo seu próprio material: uma mulher que</w:t>
      </w:r>
      <w:r>
        <w:rPr>
          <w:lang w:val="pt-BR"/>
        </w:rPr>
        <w:t xml:space="preserve"> </w:t>
      </w:r>
      <w:r>
        <w:rPr>
          <w:i/>
          <w:iCs/>
          <w:lang w:val="pt-BR"/>
        </w:rPr>
        <w:t xml:space="preserve">é</w:t>
      </w:r>
      <w:r>
        <w:rPr>
          <w:lang w:val="pt-BR"/>
        </w:rPr>
        <w:t xml:space="preserve"> </w:t>
      </w:r>
      <w:r>
        <w:rPr>
          <w:lang w:val="pt-BR"/>
        </w:rPr>
        <w:t xml:space="preserve">Columbia e, por isso,</w:t>
      </w:r>
      <w:r>
        <w:rPr>
          <w:lang w:val="pt-BR"/>
        </w:rPr>
        <w:t xml:space="preserve"> </w:t>
      </w:r>
      <w:r>
        <w:rPr>
          <w:lang w:val="pt-BR"/>
        </w:rPr>
        <w:t xml:space="preserve">mostra que Columbia sempre foi o lugar vazio de uma mulher.</w:t>
      </w:r>
    </w:p>
    <w:bookmarkEnd w:id="177"/>
    <w:bookmarkStart w:id="178" w:name="c-polo-direito-a-fissura-pela-sátira"/>
    <w:p>
      <w:pPr>
        <w:pStyle w:val="Heading4"/>
      </w:pPr>
      <w:r>
        <w:rPr>
          <w:rStyle w:val="SectionNumber"/>
          <w:lang w:val="pt-BR"/>
        </w:rPr>
        <w:t xml:space="preserve">10.8.1.3</w:t>
      </w:r>
      <w:r>
        <w:tab/>
      </w:r>
      <w:r>
        <w:rPr>
          <w:lang w:val="pt-BR"/>
        </w:rPr>
        <w:t xml:space="preserve">[C] Polo direito — A fissura pela sátira</w:t>
      </w:r>
    </w:p>
    <w:p>
      <w:pPr>
        <w:pStyle w:val="FirstParagraph"/>
      </w:pPr>
      <w:r>
        <w:rPr>
          <w:b/>
          <w:bCs/>
          <w:lang w:val="pt-BR"/>
        </w:rPr>
        <w:t xml:space="preserve">Imagem:</w:t>
      </w:r>
      <w:r>
        <w:rPr>
          <w:lang w:val="pt-BR"/>
        </w:rPr>
        <w:t xml:space="preserve"> </w:t>
      </w:r>
      <w:r>
        <w:rPr>
          <w:i/>
          <w:iCs/>
          <w:lang w:val="pt-BR"/>
        </w:rPr>
        <w:t xml:space="preserve">Two Forces</w:t>
      </w:r>
      <w:r>
        <w:rPr>
          <w:lang w:val="pt-BR"/>
        </w:rPr>
        <w:t xml:space="preserve"> </w:t>
      </w:r>
      <w:r>
        <w:rPr>
          <w:lang w:val="pt-BR"/>
        </w:rPr>
        <w:t xml:space="preserve">— Britannia</w:t>
      </w:r>
      <w:r>
        <w:rPr>
          <w:lang w:val="pt-BR"/>
        </w:rPr>
        <w:t xml:space="preserve"> </w:t>
      </w:r>
      <w:r>
        <w:rPr>
          <w:lang w:val="pt-BR"/>
        </w:rPr>
        <w:t xml:space="preserve">“protegendo”</w:t>
      </w:r>
      <w:r>
        <w:rPr>
          <w:lang w:val="pt-BR"/>
        </w:rPr>
        <w:t xml:space="preserve"> </w:t>
      </w:r>
      <w:r>
        <w:rPr>
          <w:lang w:val="pt-BR"/>
        </w:rPr>
        <w:t xml:space="preserve">Hibernia, estampa, c. 1881. (</w:t>
      </w:r>
      <w:r>
        <w:rPr>
          <w:rStyle w:val="VerbatimChar"/>
          <w:lang w:val="pt-BR"/>
        </w:rPr>
        <w:t xml:space="preserve">dcf36d44</w:t>
      </w:r>
      <w:r>
        <w:rPr>
          <w:lang w:val="pt-BR"/>
        </w:rPr>
        <w:t xml:space="preserve">)</w:t>
      </w:r>
    </w:p>
    <w:p>
      <w:pPr>
        <w:pStyle w:val="BodyText"/>
      </w:pPr>
      <w:r>
        <w:rPr>
          <w:b/>
          <w:bCs/>
          <w:lang w:val="pt-BR"/>
        </w:rPr>
        <w:t xml:space="preserve">Texto de painel (250 palavras):</w:t>
      </w:r>
    </w:p>
    <w:p>
      <w:pPr>
        <w:pStyle w:val="BlockText"/>
      </w:pPr>
      <w:r>
        <w:rPr>
          <w:lang w:val="pt-BR"/>
        </w:rPr>
        <w:t xml:space="preserve">A terceira fissura é a sátira.</w:t>
      </w:r>
      <w:r>
        <w:rPr>
          <w:lang w:val="pt-BR"/>
        </w:rPr>
        <w:t xml:space="preserve"> </w:t>
      </w:r>
      <w:r>
        <w:rPr>
          <w:i/>
          <w:iCs/>
          <w:lang w:val="pt-BR"/>
        </w:rPr>
        <w:t xml:space="preserve">Two Forces</w:t>
      </w:r>
      <w:r>
        <w:rPr>
          <w:lang w:val="pt-BR"/>
        </w:rPr>
        <w:t xml:space="preserve"> </w:t>
      </w:r>
      <w:r>
        <w:rPr>
          <w:lang w:val="pt-BR"/>
        </w:rPr>
        <w:t xml:space="preserve">(composto 1,1) encena Britannia</w:t>
      </w:r>
      <w:r>
        <w:rPr>
          <w:lang w:val="pt-BR"/>
        </w:rPr>
        <w:t xml:space="preserve"> </w:t>
      </w:r>
      <w:r>
        <w:rPr>
          <w:lang w:val="pt-BR"/>
        </w:rPr>
        <w:t xml:space="preserve">“protegendo”</w:t>
      </w:r>
      <w:r>
        <w:rPr>
          <w:lang w:val="pt-BR"/>
        </w:rPr>
        <w:t xml:space="preserve"> </w:t>
      </w:r>
      <w:r>
        <w:rPr>
          <w:lang w:val="pt-BR"/>
        </w:rPr>
        <w:t xml:space="preserve">Hibernia numa</w:t>
      </w:r>
      <w:r>
        <w:rPr>
          <w:lang w:val="pt-BR"/>
        </w:rPr>
        <w:t xml:space="preserve"> </w:t>
      </w:r>
      <w:r>
        <w:rPr>
          <w:lang w:val="pt-BR"/>
        </w:rPr>
        <w:t xml:space="preserve">composição que a leitura de nível 3 do registro identifica como subversão satírica da relação colonial</w:t>
      </w:r>
      <w:r>
        <w:rPr>
          <w:lang w:val="pt-BR"/>
        </w:rPr>
        <w:t xml:space="preserve"> </w:t>
      </w:r>
      <w:r>
        <w:rPr>
          <w:lang w:val="pt-BR"/>
        </w:rPr>
        <w:t xml:space="preserve">Grã-Bretanha/Irlanda. O item traz uma inconsistência produtiva: o campo</w:t>
      </w:r>
      <w:r>
        <w:rPr>
          <w:lang w:val="pt-BR"/>
        </w:rPr>
        <w:t xml:space="preserve"> </w:t>
      </w:r>
      <w:r>
        <w:rPr>
          <w:rStyle w:val="VerbatimChar"/>
          <w:lang w:val="pt-BR"/>
        </w:rPr>
        <w:t xml:space="preserve">regime</w:t>
      </w:r>
      <w:r>
        <w:rPr>
          <w:lang w:val="pt-BR"/>
        </w:rPr>
        <w:t xml:space="preserve"> </w:t>
      </w:r>
      <w:r>
        <w:rPr>
          <w:lang w:val="pt-BR"/>
        </w:rPr>
        <w:t xml:space="preserve">classifica-o como</w:t>
      </w:r>
      <w:r>
        <w:rPr>
          <w:lang w:val="pt-BR"/>
        </w:rPr>
        <w:t xml:space="preserve"> </w:t>
      </w:r>
      <w:r>
        <w:rPr>
          <w:lang w:val="pt-BR"/>
        </w:rPr>
        <w:t xml:space="preserve">normativo, mas a interpretação o lê como contra-alegoria — e essa própria hesitação é significativa. A</w:t>
      </w:r>
      <w:r>
        <w:rPr>
          <w:lang w:val="pt-BR"/>
        </w:rPr>
        <w:t xml:space="preserve"> </w:t>
      </w:r>
      <w:r>
        <w:rPr>
          <w:lang w:val="pt-BR"/>
        </w:rPr>
        <w:t xml:space="preserve">sátira não destrói nem reencarna; ela</w:t>
      </w:r>
      <w:r>
        <w:rPr>
          <w:lang w:val="pt-BR"/>
        </w:rPr>
        <w:t xml:space="preserve"> </w:t>
      </w:r>
      <w:r>
        <w:rPr>
          <w:i/>
          <w:iCs/>
          <w:lang w:val="pt-BR"/>
        </w:rPr>
        <w:t xml:space="preserve">cita</w:t>
      </w:r>
      <w:r>
        <w:rPr>
          <w:lang w:val="pt-BR"/>
        </w:rPr>
        <w:t xml:space="preserve"> </w:t>
      </w:r>
      <w:r>
        <w:rPr>
          <w:lang w:val="pt-BR"/>
        </w:rPr>
        <w:t xml:space="preserve">a fórmula alegórica para virá-la contra si mesma, expondo</w:t>
      </w:r>
      <w:r>
        <w:rPr>
          <w:lang w:val="pt-BR"/>
        </w:rPr>
        <w:t xml:space="preserve"> </w:t>
      </w:r>
      <w:r>
        <w:rPr>
          <w:lang w:val="pt-BR"/>
        </w:rPr>
        <w:t xml:space="preserve">como emblema de dominação o que se apresentava como emblema de proteção. A fronteira entre norma e</w:t>
      </w:r>
      <w:r>
        <w:rPr>
          <w:lang w:val="pt-BR"/>
        </w:rPr>
        <w:t xml:space="preserve"> </w:t>
      </w:r>
      <w:r>
        <w:rPr>
          <w:lang w:val="pt-BR"/>
        </w:rPr>
        <w:t xml:space="preserve">subversão, aqui, não é um atributo fixo do objeto, mas uma questão de nível de leitura — e é essa</w:t>
      </w:r>
      <w:r>
        <w:rPr>
          <w:lang w:val="pt-BR"/>
        </w:rPr>
        <w:t xml:space="preserve"> </w:t>
      </w:r>
      <w:r>
        <w:rPr>
          <w:lang w:val="pt-BR"/>
        </w:rPr>
        <w:t xml:space="preserve">ambiguidade que faz da sátira uma fissura: ela habita a fórmula oficial e a corrói de dentro.</w:t>
      </w:r>
    </w:p>
    <w:bookmarkEnd w:id="178"/>
    <w:bookmarkEnd w:id="179"/>
    <w:bookmarkStart w:id="180" w:name="síntese-do-painel-7"/>
    <w:p>
      <w:pPr>
        <w:pStyle w:val="Heading3"/>
      </w:pPr>
      <w:r>
        <w:rPr>
          <w:rStyle w:val="SectionNumber"/>
          <w:lang w:val="pt-BR"/>
        </w:rPr>
        <w:t xml:space="preserve">10.8.2</w:t>
      </w:r>
      <w:r>
        <w:tab/>
      </w:r>
      <w:r>
        <w:rPr>
          <w:lang w:val="pt-BR"/>
        </w:rPr>
        <w:t xml:space="preserve">9.8.2 — Síntese do painel</w:t>
      </w:r>
    </w:p>
    <w:p>
      <w:pPr>
        <w:pStyle w:val="BlockText"/>
      </w:pPr>
      <w:r>
        <w:rPr>
          <w:lang w:val="pt-BR"/>
        </w:rPr>
        <w:t xml:space="preserve">Este painel propõe que a contra-alegoria não é o oposto da alegoria, mas a sua</w:t>
      </w:r>
      <w:r>
        <w:rPr>
          <w:lang w:val="pt-BR"/>
        </w:rPr>
        <w:t xml:space="preserve"> </w:t>
      </w:r>
      <w:r>
        <w:rPr>
          <w:i/>
          <w:iCs/>
          <w:lang w:val="pt-BR"/>
        </w:rPr>
        <w:t xml:space="preserve">revelação</w:t>
      </w:r>
      <w:r>
        <w:rPr>
          <w:lang w:val="pt-BR"/>
        </w:rPr>
        <w:t xml:space="preserve">. Destruição</w:t>
      </w:r>
      <w:r>
        <w:rPr>
          <w:lang w:val="pt-BR"/>
        </w:rPr>
        <w:t xml:space="preserve"> </w:t>
      </w:r>
      <w:r>
        <w:rPr>
          <w:lang w:val="pt-BR"/>
        </w:rPr>
        <w:t xml:space="preserve">(2018, 2023), reencarnação (Reicher, 1913) e sátira (</w:t>
      </w:r>
      <w:r>
        <w:rPr>
          <w:i/>
          <w:iCs/>
          <w:lang w:val="pt-BR"/>
        </w:rPr>
        <w:t xml:space="preserve">Two Forces</w:t>
      </w:r>
      <w:r>
        <w:rPr>
          <w:lang w:val="pt-BR"/>
        </w:rPr>
        <w:t xml:space="preserve">, 1881) são três modos de tornar</w:t>
      </w:r>
      <w:r>
        <w:rPr>
          <w:lang w:val="pt-BR"/>
        </w:rPr>
        <w:t xml:space="preserve"> </w:t>
      </w:r>
      <w:r>
        <w:rPr>
          <w:lang w:val="pt-BR"/>
        </w:rPr>
        <w:t xml:space="preserve">visível a operação que a Purificação Clássica torna imperceptível. Em todos, o Zwischenraum inverte-se:</w:t>
      </w:r>
      <w:r>
        <w:rPr>
          <w:lang w:val="pt-BR"/>
        </w:rPr>
        <w:t xml:space="preserve"> </w:t>
      </w:r>
      <w:r>
        <w:rPr>
          <w:lang w:val="pt-BR"/>
        </w:rPr>
        <w:t xml:space="preserve">deixa de ser o lugar onde o corpo desaparece em função para tornar-se o lugar onde a função é forçada a</w:t>
      </w:r>
      <w:r>
        <w:rPr>
          <w:lang w:val="pt-BR"/>
        </w:rPr>
        <w:t xml:space="preserve"> </w:t>
      </w:r>
      <w:r>
        <w:rPr>
          <w:lang w:val="pt-BR"/>
        </w:rPr>
        <w:t xml:space="preserve">devolver o corpo. As fissuras não invalidam a tese; confirmam-na pela negativa. A alegoria só precisa</w:t>
      </w:r>
      <w:r>
        <w:rPr>
          <w:lang w:val="pt-BR"/>
        </w:rPr>
        <w:t xml:space="preserve"> </w:t>
      </w:r>
      <w:r>
        <w:rPr>
          <w:lang w:val="pt-BR"/>
        </w:rPr>
        <w:t xml:space="preserve">ser atacada, reencarnada ou satirizada porque a sua serenidade jamais foi natural — foi sempre a</w:t>
      </w:r>
      <w:r>
        <w:rPr>
          <w:lang w:val="pt-BR"/>
        </w:rPr>
        <w:t xml:space="preserve"> </w:t>
      </w:r>
      <w:r>
        <w:rPr>
          <w:lang w:val="pt-BR"/>
        </w:rPr>
        <w:t xml:space="preserve">produção que estes gestos, cada um a seu modo, interrompem.</w:t>
      </w:r>
    </w:p>
    <w:bookmarkEnd w:id="180"/>
    <w:bookmarkStart w:id="181" w:name="itens-corpus-identificados-7"/>
    <w:p>
      <w:pPr>
        <w:pStyle w:val="Heading3"/>
      </w:pPr>
      <w:r>
        <w:rPr>
          <w:rStyle w:val="SectionNumber"/>
          <w:lang w:val="pt-BR"/>
        </w:rPr>
        <w:t xml:space="preserve">10.8.3</w:t>
      </w:r>
      <w:r>
        <w:tab/>
      </w:r>
      <w:r>
        <w:rPr>
          <w:lang w:val="pt-BR"/>
        </w:rPr>
        <w:t xml:space="preserve">9.8.3 — Itens corpus identificados</w:t>
      </w:r>
    </w:p>
    <w:tbl>
      <w:tblPr>
        <w:tblStyle w:val="Table"/>
        <w:tblW w:type="pct" w:w="5000"/>
        <w:tblLayout w:type="fixed"/>
        <w:tblLook w:firstRow="1" w:lastRow="0" w:firstColumn="0" w:lastColumn="0" w:noHBand="0" w:noVBand="0" w:val="0020"/>
      </w:tblPr>
      <w:tblGrid>
        <w:gridCol w:w="950"/>
        <w:gridCol w:w="792"/>
        <w:gridCol w:w="1267"/>
        <w:gridCol w:w="2376"/>
        <w:gridCol w:w="2534"/>
      </w:tblGrid>
      <w:tr>
        <w:trPr>
          <w:tblHeader w:val="on"/>
        </w:trPr>
        <w:tc>
          <w:tcPr/>
          <w:p>
            <w:pPr>
              <w:pStyle w:val="Compact"/>
            </w:pPr>
            <w:r>
              <w:rPr>
                <w:lang w:val="pt-BR"/>
              </w:rPr>
              <w:t xml:space="preserve">Item</w:t>
            </w:r>
          </w:p>
        </w:tc>
        <w:tc>
          <w:tcPr/>
          <w:p>
            <w:pPr>
              <w:pStyle w:val="Compact"/>
            </w:pPr>
            <w:r>
              <w:rPr>
                <w:lang w:val="pt-BR"/>
              </w:rPr>
              <w:t xml:space="preserve">ID</w:t>
            </w:r>
          </w:p>
        </w:tc>
        <w:tc>
          <w:tcPr/>
          <w:p>
            <w:pPr>
              <w:pStyle w:val="Compact"/>
            </w:pPr>
            <w:r>
              <w:rPr>
                <w:lang w:val="pt-BR"/>
              </w:rPr>
              <w:t xml:space="preserve">Regime</w:t>
            </w:r>
          </w:p>
        </w:tc>
        <w:tc>
          <w:tcPr/>
          <w:p>
            <w:pPr>
              <w:pStyle w:val="Compact"/>
            </w:pPr>
            <w:r>
              <w:rPr>
                <w:lang w:val="pt-BR"/>
              </w:rPr>
              <w:t xml:space="preserve">Endurecimento</w:t>
            </w:r>
          </w:p>
        </w:tc>
        <w:tc>
          <w:tcPr/>
          <w:p>
            <w:pPr>
              <w:pStyle w:val="Compact"/>
            </w:pPr>
            <w:r>
              <w:rPr>
                <w:lang w:val="pt-BR"/>
              </w:rPr>
              <w:t xml:space="preserve">Função no painel</w:t>
            </w:r>
          </w:p>
        </w:tc>
      </w:tr>
      <w:tr>
        <w:tc>
          <w:tcPr/>
          <w:p>
            <w:pPr>
              <w:pStyle w:val="Compact"/>
            </w:pPr>
            <w:r>
              <w:rPr>
                <w:i/>
                <w:iCs/>
                <w:lang w:val="pt-BR"/>
              </w:rPr>
              <w:t xml:space="preserve">La Marseillaise</w:t>
            </w:r>
            <w:r>
              <w:rPr>
                <w:lang w:val="pt-BR"/>
              </w:rPr>
              <w:t xml:space="preserve"> </w:t>
            </w:r>
            <w:r>
              <w:rPr>
                <w:lang w:val="pt-BR"/>
              </w:rPr>
              <w:t xml:space="preserve">de Rude (mutilada, 2018)</w:t>
            </w:r>
          </w:p>
        </w:tc>
        <w:tc>
          <w:tcPr/>
          <w:p>
            <w:pPr>
              <w:pStyle w:val="Compact"/>
            </w:pPr>
            <w:r>
              <w:rPr>
                <w:rStyle w:val="VerbatimChar"/>
                <w:lang w:val="pt-BR"/>
              </w:rPr>
              <w:t xml:space="preserve">0970108c</w:t>
            </w:r>
          </w:p>
        </w:tc>
        <w:tc>
          <w:tcPr/>
          <w:p>
            <w:pPr>
              <w:pStyle w:val="Compact"/>
            </w:pPr>
            <w:r>
              <w:rPr>
                <w:lang w:val="pt-BR"/>
              </w:rPr>
              <w:t xml:space="preserve">contra-alegoria</w:t>
            </w:r>
          </w:p>
        </w:tc>
        <w:tc>
          <w:tcPr/>
          <w:p>
            <w:pPr>
              <w:pStyle w:val="Compact"/>
            </w:pPr>
            <w:r>
              <w:rPr>
                <w:lang w:val="pt-BR"/>
              </w:rPr>
              <w:t xml:space="preserve">não codificado</w:t>
            </w:r>
          </w:p>
        </w:tc>
        <w:tc>
          <w:tcPr/>
          <w:p>
            <w:pPr>
              <w:pStyle w:val="Compact"/>
            </w:pPr>
            <w:r>
              <w:rPr>
                <w:lang w:val="pt-BR"/>
              </w:rPr>
              <w:t xml:space="preserve">Polo esquerdo: fissura pela destruição</w:t>
            </w:r>
          </w:p>
        </w:tc>
      </w:tr>
      <w:tr>
        <w:tc>
          <w:tcPr/>
          <w:p>
            <w:pPr>
              <w:pStyle w:val="Compact"/>
            </w:pPr>
            <w:r>
              <w:rPr>
                <w:lang w:val="pt-BR"/>
              </w:rPr>
              <w:t xml:space="preserve">Ceschiatti,</w:t>
            </w:r>
            <w:r>
              <w:rPr>
                <w:lang w:val="pt-BR"/>
              </w:rPr>
              <w:t xml:space="preserve"> </w:t>
            </w:r>
            <w:r>
              <w:rPr>
                <w:i/>
                <w:iCs/>
                <w:lang w:val="pt-BR"/>
              </w:rPr>
              <w:t xml:space="preserve">A Justiça</w:t>
            </w:r>
            <w:r>
              <w:rPr>
                <w:lang w:val="pt-BR"/>
              </w:rPr>
              <w:t xml:space="preserve"> </w:t>
            </w:r>
            <w:r>
              <w:rPr>
                <w:lang w:val="pt-BR"/>
              </w:rPr>
              <w:t xml:space="preserve">interna (vandalizada, 2023)</w:t>
            </w:r>
          </w:p>
        </w:tc>
        <w:tc>
          <w:tcPr/>
          <w:p>
            <w:pPr>
              <w:pStyle w:val="Compact"/>
            </w:pPr>
            <w:r>
              <w:rPr>
                <w:rStyle w:val="VerbatimChar"/>
                <w:lang w:val="pt-BR"/>
              </w:rPr>
              <w:t xml:space="preserve">e0399402</w:t>
            </w:r>
          </w:p>
        </w:tc>
        <w:tc>
          <w:tcPr/>
          <w:p>
            <w:pPr>
              <w:pStyle w:val="Compact"/>
            </w:pPr>
            <w:r>
              <w:rPr>
                <w:lang w:val="pt-BR"/>
              </w:rPr>
              <w:t xml:space="preserve">contra-alegoria</w:t>
            </w:r>
          </w:p>
        </w:tc>
        <w:tc>
          <w:tcPr/>
          <w:p>
            <w:pPr>
              <w:pStyle w:val="Compact"/>
            </w:pPr>
            <w:r>
              <w:rPr>
                <w:lang w:val="pt-BR"/>
              </w:rPr>
              <w:t xml:space="preserve">não codificado</w:t>
            </w:r>
          </w:p>
        </w:tc>
        <w:tc>
          <w:tcPr/>
          <w:p>
            <w:pPr>
              <w:pStyle w:val="Compact"/>
            </w:pPr>
            <w:r>
              <w:rPr>
                <w:lang w:val="pt-BR"/>
              </w:rPr>
              <w:t xml:space="preserve">Polo esquerdo: iconoclastia como prova negativa</w:t>
            </w:r>
          </w:p>
        </w:tc>
      </w:tr>
      <w:tr>
        <w:tc>
          <w:tcPr/>
          <w:p>
            <w:pPr>
              <w:pStyle w:val="Compact"/>
            </w:pPr>
            <w:r>
              <w:rPr>
                <w:lang w:val="pt-BR"/>
              </w:rPr>
              <w:t xml:space="preserve">Hedwig Reicher como Columbia (1913)</w:t>
            </w:r>
          </w:p>
        </w:tc>
        <w:tc>
          <w:tcPr/>
          <w:p>
            <w:pPr>
              <w:pStyle w:val="Compact"/>
            </w:pPr>
            <w:r>
              <w:rPr>
                <w:rStyle w:val="VerbatimChar"/>
                <w:lang w:val="pt-BR"/>
              </w:rPr>
              <w:t xml:space="preserve">2419621d</w:t>
            </w:r>
          </w:p>
        </w:tc>
        <w:tc>
          <w:tcPr/>
          <w:p>
            <w:pPr>
              <w:pStyle w:val="Compact"/>
            </w:pPr>
            <w:r>
              <w:rPr>
                <w:lang w:val="pt-BR"/>
              </w:rPr>
              <w:t xml:space="preserve">fundacional (contra-fund.)</w:t>
            </w:r>
          </w:p>
        </w:tc>
        <w:tc>
          <w:tcPr/>
          <w:p>
            <w:pPr>
              <w:pStyle w:val="Compact"/>
            </w:pPr>
            <w:r>
              <w:rPr>
                <w:lang w:val="pt-BR"/>
              </w:rPr>
              <w:t xml:space="preserve">1,3</w:t>
            </w:r>
          </w:p>
        </w:tc>
        <w:tc>
          <w:tcPr/>
          <w:p>
            <w:pPr>
              <w:pStyle w:val="Compact"/>
            </w:pPr>
            <w:r>
              <w:rPr>
                <w:lang w:val="pt-BR"/>
              </w:rPr>
              <w:t xml:space="preserve">Centro: fissura pela reencarnação</w:t>
            </w:r>
          </w:p>
        </w:tc>
      </w:tr>
      <w:tr>
        <w:tc>
          <w:tcPr/>
          <w:p>
            <w:pPr>
              <w:pStyle w:val="Compact"/>
            </w:pPr>
            <w:r>
              <w:rPr>
                <w:i/>
                <w:iCs/>
                <w:lang w:val="pt-BR"/>
              </w:rPr>
              <w:t xml:space="preserve">Two Forces</w:t>
            </w:r>
            <w:r>
              <w:rPr>
                <w:lang w:val="pt-BR"/>
              </w:rPr>
              <w:t xml:space="preserve"> </w:t>
            </w:r>
            <w:r>
              <w:rPr>
                <w:lang w:val="pt-BR"/>
              </w:rPr>
              <w:t xml:space="preserve">(Britannia/Hibernia)</w:t>
            </w:r>
          </w:p>
        </w:tc>
        <w:tc>
          <w:tcPr/>
          <w:p>
            <w:pPr>
              <w:pStyle w:val="Compact"/>
            </w:pPr>
            <w:r>
              <w:rPr>
                <w:rStyle w:val="VerbatimChar"/>
                <w:lang w:val="pt-BR"/>
              </w:rPr>
              <w:t xml:space="preserve">dcf36d44</w:t>
            </w:r>
          </w:p>
        </w:tc>
        <w:tc>
          <w:tcPr/>
          <w:p>
            <w:pPr>
              <w:pStyle w:val="Compact"/>
            </w:pPr>
            <w:r>
              <w:rPr>
                <w:lang w:val="pt-BR"/>
              </w:rPr>
              <w:t xml:space="preserve">contra-alegoria</w:t>
            </w:r>
          </w:p>
        </w:tc>
        <w:tc>
          <w:tcPr/>
          <w:p>
            <w:pPr>
              <w:pStyle w:val="Compact"/>
            </w:pPr>
            <w:r>
              <w:rPr>
                <w:lang w:val="pt-BR"/>
              </w:rPr>
              <w:t xml:space="preserve">1,1</w:t>
            </w:r>
          </w:p>
        </w:tc>
        <w:tc>
          <w:tcPr/>
          <w:p>
            <w:pPr>
              <w:pStyle w:val="Compact"/>
            </w:pPr>
            <w:r>
              <w:rPr>
                <w:lang w:val="pt-BR"/>
              </w:rPr>
              <w:t xml:space="preserve">Polo direito: fissura pela sátira</w:t>
            </w:r>
          </w:p>
        </w:tc>
      </w:tr>
    </w:tbl>
    <w:p>
      <w:r>
        <w:pict>
          <v:rect style="width:0;height:1.5pt" o:hralign="center" o:hrstd="t" o:hr="t"/>
        </w:pict>
      </w:r>
    </w:p>
    <w:p>
      <w:pPr>
        <w:pStyle w:val="BlockText"/>
      </w:pPr>
      <w:r>
        <w:rPr>
          <w:b/>
          <w:bCs/>
          <w:lang w:val="pt-BR"/>
        </w:rPr>
        <w:t xml:space="preserve">Pendências deste capítulo (para passe final de coerência):</w:t>
      </w:r>
      <w:r>
        <w:rPr>
          <w:lang w:val="pt-BR"/>
        </w:rPr>
        <w:t xml:space="preserve"> </w:t>
      </w:r>
      <w:r>
        <w:rPr>
          <w:lang w:val="pt-BR"/>
        </w:rPr>
        <w:t xml:space="preserve">- Conferir alinhamento fino com os Capítulos 7 e 8: vocabulário de endurecimento, papel do suporte</w:t>
      </w:r>
      <w:r>
        <w:rPr>
          <w:lang w:val="pt-BR"/>
        </w:rPr>
        <w:t xml:space="preserve"> </w:t>
      </w:r>
      <w:r>
        <w:rPr>
          <w:lang w:val="pt-BR"/>
        </w:rPr>
        <w:t xml:space="preserve">material e passagem fundacional → normativo → militar.</w:t>
      </w:r>
      <w:r>
        <w:rPr>
          <w:lang w:val="pt-BR"/>
        </w:rPr>
        <w:t xml:space="preserve"> </w:t>
      </w:r>
      <w:r>
        <w:rPr>
          <w:lang w:val="pt-BR"/>
        </w:rPr>
        <w:t xml:space="preserve">- Escores marcados como</w:t>
      </w:r>
      <w:r>
        <w:rPr>
          <w:lang w:val="pt-BR"/>
        </w:rPr>
        <w:t xml:space="preserve"> </w:t>
      </w:r>
      <w:r>
        <w:rPr>
          <w:lang w:val="pt-BR"/>
        </w:rPr>
        <w:t xml:space="preserve">“estimado”</w:t>
      </w:r>
      <w:r>
        <w:rPr>
          <w:lang w:val="pt-BR"/>
        </w:rPr>
        <w:t xml:space="preserve">/</w:t>
      </w:r>
      <w:r>
        <w:rPr>
          <w:rStyle w:val="VerbatimChar"/>
          <w:lang w:val="pt-BR"/>
        </w:rPr>
        <w:t xml:space="preserve">PENDING_REVIEW</w:t>
      </w:r>
      <w:r>
        <w:rPr>
          <w:lang w:val="pt-BR"/>
        </w:rPr>
        <w:t xml:space="preserve"> </w:t>
      </w:r>
      <w:r>
        <w:rPr>
          <w:lang w:val="pt-BR"/>
        </w:rPr>
        <w:t xml:space="preserve">exigem codificação IconoCode validada antes da</w:t>
      </w:r>
      <w:r>
        <w:rPr>
          <w:lang w:val="pt-BR"/>
        </w:rPr>
        <w:t xml:space="preserve"> </w:t>
      </w:r>
      <w:r>
        <w:rPr>
          <w:lang w:val="pt-BR"/>
        </w:rPr>
        <w:t xml:space="preserve">qualificação; usados aqui como índice provisório, nunca como prova fechada.</w:t>
      </w:r>
      <w:r>
        <w:rPr>
          <w:lang w:val="pt-BR"/>
        </w:rPr>
        <w:t xml:space="preserve"> </w:t>
      </w:r>
      <w:r>
        <w:rPr>
          <w:lang w:val="pt-BR"/>
        </w:rPr>
        <w:t xml:space="preserve">- Manter apenas chaves já existentes em</w:t>
      </w:r>
      <w:r>
        <w:rPr>
          <w:lang w:val="pt-BR"/>
        </w:rPr>
        <w:t xml:space="preserve"> </w:t>
      </w:r>
      <w:r>
        <w:rPr>
          <w:rStyle w:val="VerbatimChar"/>
          <w:lang w:val="pt-BR"/>
        </w:rPr>
        <w:t xml:space="preserve">references.bib</w:t>
      </w:r>
      <w:r>
        <w:rPr>
          <w:lang w:val="pt-BR"/>
        </w:rPr>
        <w:t xml:space="preserve"> </w:t>
      </w:r>
      <w:r>
        <w:rPr>
          <w:lang w:val="pt-BR"/>
        </w:rPr>
        <w:t xml:space="preserve">e evitar novas bases empíricas sem inclusão</w:t>
      </w:r>
      <w:r>
        <w:rPr>
          <w:lang w:val="pt-BR"/>
        </w:rPr>
        <w:t xml:space="preserve"> </w:t>
      </w:r>
      <w:r>
        <w:rPr>
          <w:lang w:val="pt-BR"/>
        </w:rPr>
        <w:t xml:space="preserve">prévia no corpus.</w:t>
      </w:r>
    </w:p>
    <w:bookmarkEnd w:id="181"/>
    <w:bookmarkEnd w:id="182"/>
    <w:bookmarkEnd w:id="183"/>
    <w:bookmarkStart w:id="297" w:name="conclusão"/>
    <w:p>
      <w:pPr>
        <w:pStyle w:val="Heading1"/>
      </w:pPr>
      <w:r>
        <w:rPr>
          <w:rStyle w:val="SectionNumber"/>
          <w:lang w:val="pt-BR"/>
        </w:rPr>
        <w:t xml:space="preserve">11</w:t>
      </w:r>
      <w:r>
        <w:tab/>
      </w:r>
      <w:r>
        <w:rPr>
          <w:lang w:val="pt-BR"/>
        </w:rPr>
        <w:t xml:space="preserve">Conclusão</w:t>
      </w:r>
    </w:p>
    <w:bookmarkStart w:id="184" w:name="Xd9d0e21f10da7612cd229dd36a6bdfd9e3f7522"/>
    <w:p>
      <w:pPr>
        <w:pStyle w:val="Heading2"/>
      </w:pPr>
      <w:r>
        <w:rPr>
          <w:rStyle w:val="SectionNumber"/>
          <w:lang w:val="pt-BR"/>
        </w:rPr>
        <w:t xml:space="preserve">11.1</w:t>
      </w:r>
      <w:r>
        <w:tab/>
      </w:r>
      <w:r>
        <w:rPr>
          <w:lang w:val="pt-BR"/>
        </w:rPr>
        <w:t xml:space="preserve">C.1 — Síntese dos achados: confirmação, nuances e surpresas</w:t>
      </w:r>
    </w:p>
    <w:p>
      <w:pPr>
        <w:pStyle w:val="FirstParagraph"/>
      </w:pPr>
      <w:r>
        <w:rPr>
          <w:lang w:val="pt-BR"/>
        </w:rPr>
        <w:t xml:space="preserve">A travessia dos nove capítulos consolida a arquitetura de quatro conceitos originais que estrutura a contribuição teórica desta tese. O</w:t>
      </w:r>
      <w:r>
        <w:rPr>
          <w:lang w:val="pt-BR"/>
        </w:rPr>
        <w:t xml:space="preserve"> </w:t>
      </w:r>
      <w:r>
        <w:rPr>
          <w:b/>
          <w:bCs/>
          <w:lang w:val="pt-BR"/>
        </w:rPr>
        <w:t xml:space="preserve">Contrato Sexual Visual</w:t>
      </w:r>
      <w:r>
        <w:rPr>
          <w:lang w:val="pt-BR"/>
        </w:rPr>
        <w:t xml:space="preserve"> </w:t>
      </w:r>
      <w:r>
        <w:rPr>
          <w:lang w:val="pt-BR"/>
        </w:rPr>
        <w:t xml:space="preserve">(Cap. 1) formula a dimensão iconográfica do contrato sexual formulado por Pateman (1988): a alegoria feminina estatal reconhece simbolicamente o feminino ao mesmo tempo em que perpetua a exclusão cívica das mulheres. A</w:t>
      </w:r>
      <w:r>
        <w:rPr>
          <w:lang w:val="pt-BR"/>
        </w:rPr>
        <w:t xml:space="preserve"> </w:t>
      </w:r>
      <w:r>
        <w:rPr>
          <w:b/>
          <w:bCs/>
          <w:lang w:val="pt-BR"/>
        </w:rPr>
        <w:t xml:space="preserve">Feminilidade de Estado</w:t>
      </w:r>
      <w:r>
        <w:rPr>
          <w:lang w:val="pt-BR"/>
        </w:rPr>
        <w:t xml:space="preserve"> </w:t>
      </w:r>
      <w:r>
        <w:rPr>
          <w:lang w:val="pt-BR"/>
        </w:rPr>
        <w:t xml:space="preserve">(Cap. 2) descreve o efeito subjetivo dessa economia sobre o corpo alegórico — esvaziado de agência para funcionar como infraestrutura de afeto público, em junção genealógica entre a dogmática totêmica de Legendre (1994) e a hystéra carsoniana (CARSON, 2023). O</w:t>
      </w:r>
      <w:r>
        <w:rPr>
          <w:lang w:val="pt-BR"/>
        </w:rPr>
        <w:t xml:space="preserve"> </w:t>
      </w:r>
      <w:r>
        <w:rPr>
          <w:b/>
          <w:bCs/>
          <w:lang w:val="pt-BR"/>
        </w:rPr>
        <w:t xml:space="preserve">Contrato Racial Visual</w:t>
      </w:r>
      <w:r>
        <w:rPr>
          <w:lang w:val="pt-BR"/>
        </w:rPr>
        <w:t xml:space="preserve"> </w:t>
      </w:r>
      <w:r>
        <w:rPr>
          <w:lang w:val="pt-BR"/>
        </w:rPr>
        <w:t xml:space="preserve">(Cap. 3) revela a branquitude constitutiva da alegoria</w:t>
      </w:r>
      <w:r>
        <w:rPr>
          <w:lang w:val="pt-BR"/>
        </w:rPr>
        <w:t xml:space="preserve"> </w:t>
      </w:r>
      <w:r>
        <w:rPr>
          <w:lang w:val="pt-BR"/>
        </w:rPr>
        <w:t xml:space="preserve">“universal”</w:t>
      </w:r>
      <w:r>
        <w:rPr>
          <w:lang w:val="pt-BR"/>
        </w:rPr>
        <w:t xml:space="preserve"> </w:t>
      </w:r>
      <w:r>
        <w:rPr>
          <w:lang w:val="pt-BR"/>
        </w:rPr>
        <w:t xml:space="preserve">e a transferência transatlântica de modelos neoclássicos que instalam um padrão racializado nos repertórios pós-coloniais. A</w:t>
      </w:r>
      <w:r>
        <w:rPr>
          <w:lang w:val="pt-BR"/>
        </w:rPr>
        <w:t xml:space="preserve"> </w:t>
      </w:r>
      <w:r>
        <w:rPr>
          <w:b/>
          <w:bCs/>
          <w:lang w:val="pt-BR"/>
        </w:rPr>
        <w:t xml:space="preserve">Purificação Clássica</w:t>
      </w:r>
      <w:r>
        <w:rPr>
          <w:lang w:val="pt-BR"/>
        </w:rPr>
        <w:t xml:space="preserve"> </w:t>
      </w:r>
      <w:r>
        <w:rPr>
          <w:lang w:val="pt-BR"/>
        </w:rPr>
        <w:t xml:space="preserve">(Cap. 5.2) é o mecanismo formal que produz os três efeitos: operação de extração do feminino histórico para fixá-lo no eterno alegórico, ancorada na matriz jurídica de Kantorowicz (1957), Legendre (1994) e Hespanha (2005), e mensurada, em escala ordinal 0–3, pelos dez indicadores de endurecimento aplicados ao catálogo documentado (336 registros no instantâneo de trabalho de setembro de 2026; 286 com codificação de purificação). Os três primeiros conceitos descrevem efeitos — político, subjetivo, racial; o quarto descreve a operação que os produz, e é sobre ele que recai a operacionalização empírica que distingue metodologicamente esta tese na história da cultura jurídica.</w:t>
      </w:r>
    </w:p>
    <w:bookmarkEnd w:id="184"/>
    <w:bookmarkStart w:id="185" w:name="Xc71b8681d6857bb7f685a54de39b43132a330a4"/>
    <w:p>
      <w:pPr>
        <w:pStyle w:val="Heading2"/>
      </w:pPr>
      <w:r>
        <w:rPr>
          <w:rStyle w:val="SectionNumber"/>
          <w:lang w:val="pt-BR"/>
        </w:rPr>
        <w:t xml:space="preserve">11.2</w:t>
      </w:r>
      <w:r>
        <w:tab/>
      </w:r>
      <w:r>
        <w:rPr>
          <w:lang w:val="pt-BR"/>
        </w:rPr>
        <w:t xml:space="preserve">C.2 — O Contrato Sexual Visual como chave de leitura</w:t>
      </w:r>
    </w:p>
    <w:bookmarkEnd w:id="185"/>
    <w:bookmarkStart w:id="186" w:name="X34da09d33bc1cd9d0f546b04b539c00c4b45cd0"/>
    <w:p>
      <w:pPr>
        <w:pStyle w:val="Heading2"/>
      </w:pPr>
      <w:r>
        <w:rPr>
          <w:rStyle w:val="SectionNumber"/>
          <w:lang w:val="pt-BR"/>
        </w:rPr>
        <w:t xml:space="preserve">11.3</w:t>
      </w:r>
      <w:r>
        <w:tab/>
      </w:r>
      <w:r>
        <w:rPr>
          <w:lang w:val="pt-BR"/>
        </w:rPr>
        <w:t xml:space="preserve">C.3 — Implicações para a teoria jurídica e o letramento visual no Direito</w:t>
      </w:r>
    </w:p>
    <w:bookmarkEnd w:id="186"/>
    <w:bookmarkStart w:id="296" w:name="X97b39a7259916fdcd1c1a1f2b45a6b29b5480b8"/>
    <w:p>
      <w:pPr>
        <w:pStyle w:val="Heading2"/>
      </w:pPr>
      <w:r>
        <w:rPr>
          <w:lang w:val="pt-BR"/>
        </w:rPr>
        <w:t xml:space="preserve">C.4 — Os limites deste Atlas e os atlas que ficam por fazer</w:t>
      </w:r>
    </w:p>
    <w:bookmarkStart w:id="295" w:name="refs"/>
    <w:bookmarkStart w:id="187" w:name="ref-agamben1998"/>
    <w:p>
      <w:pPr>
        <w:pStyle w:val="Bibliography"/>
      </w:pPr>
      <w:r>
        <w:rPr>
          <w:lang w:val="pt-BR"/>
        </w:rPr>
        <w:t xml:space="preserve">AGAMBEN, Giorgio.</w:t>
      </w:r>
      <w:r>
        <w:rPr>
          <w:lang w:val="pt-BR"/>
        </w:rPr>
        <w:t xml:space="preserve"> </w:t>
      </w:r>
      <w:r>
        <w:rPr>
          <w:b/>
          <w:bCs/>
          <w:lang w:val="pt-BR"/>
        </w:rPr>
        <w:t xml:space="preserve">Homo Sacer: Sovereign Power and Bare Life</w:t>
      </w:r>
      <w:r>
        <w:rPr>
          <w:lang w:val="pt-BR"/>
        </w:rPr>
        <w:t xml:space="preserve">. Tradução: Daniel Heller-Roazen. Stanford: Stanford University Press, 1998.</w:t>
      </w:r>
    </w:p>
    <w:bookmarkEnd w:id="187"/>
    <w:bookmarkStart w:id="188" w:name="ref-agamben2002"/>
    <w:p>
      <w:pPr>
        <w:pStyle w:val="Bibliography"/>
      </w:pPr>
      <w:r>
        <w:rPr>
          <w:lang w:val="pt-BR"/>
        </w:rPr>
        <w:t xml:space="preserve">AGAMBEN, Giorgio.</w:t>
      </w:r>
      <w:r>
        <w:rPr>
          <w:lang w:val="pt-BR"/>
        </w:rPr>
        <w:t xml:space="preserve"> </w:t>
      </w:r>
      <w:r>
        <w:rPr>
          <w:b/>
          <w:bCs/>
          <w:lang w:val="pt-BR"/>
        </w:rPr>
        <w:t xml:space="preserve">Homo Sacer: o poder soberano e a vida nua</w:t>
      </w:r>
      <w:r>
        <w:rPr>
          <w:lang w:val="pt-BR"/>
        </w:rPr>
        <w:t xml:space="preserve">. Tradução: Henrique Burigo. Belo Horizonte: Editora UFMG, 2002.</w:t>
      </w:r>
    </w:p>
    <w:bookmarkEnd w:id="188"/>
    <w:bookmarkStart w:id="189" w:name="ref-agamben2007"/>
    <w:p>
      <w:pPr>
        <w:pStyle w:val="Bibliography"/>
      </w:pPr>
      <w:r>
        <w:rPr>
          <w:lang w:val="pt-BR"/>
        </w:rPr>
        <w:t xml:space="preserve">AGAMBEN, Giorgio.</w:t>
      </w:r>
      <w:r>
        <w:rPr>
          <w:lang w:val="pt-BR"/>
        </w:rPr>
        <w:t xml:space="preserve"> </w:t>
      </w:r>
      <w:r>
        <w:rPr>
          <w:b/>
          <w:bCs/>
          <w:lang w:val="pt-BR"/>
        </w:rPr>
        <w:t xml:space="preserve">Ninfas</w:t>
      </w:r>
      <w:r>
        <w:rPr>
          <w:lang w:val="pt-BR"/>
        </w:rPr>
        <w:t xml:space="preserve">. Tradução: Renato Ambrosio. São Paulo: Editora Hedra, 2007.</w:t>
      </w:r>
    </w:p>
    <w:bookmarkEnd w:id="189"/>
    <w:bookmarkStart w:id="190" w:name="ref-agulhon1979"/>
    <w:p>
      <w:pPr>
        <w:pStyle w:val="Bibliography"/>
      </w:pPr>
      <w:r>
        <w:rPr>
          <w:lang w:val="pt-BR"/>
        </w:rPr>
        <w:t xml:space="preserve">AGULHON, Maurice.</w:t>
      </w:r>
      <w:r>
        <w:rPr>
          <w:lang w:val="pt-BR"/>
        </w:rPr>
        <w:t xml:space="preserve"> </w:t>
      </w:r>
      <w:r>
        <w:rPr>
          <w:b/>
          <w:bCs/>
          <w:lang w:val="pt-BR"/>
        </w:rPr>
        <w:t xml:space="preserve">Marianne au combat: l’imagerie et la symbolique républicaines de 1789 à 1880</w:t>
      </w:r>
      <w:r>
        <w:rPr>
          <w:lang w:val="pt-BR"/>
        </w:rPr>
        <w:t xml:space="preserve">. Paris: Flammarion, 1979.</w:t>
      </w:r>
    </w:p>
    <w:bookmarkEnd w:id="190"/>
    <w:bookmarkStart w:id="191" w:name="ref-agulhon1989"/>
    <w:p>
      <w:pPr>
        <w:pStyle w:val="Bibliography"/>
      </w:pPr>
      <w:r>
        <w:rPr>
          <w:lang w:val="pt-BR"/>
        </w:rPr>
        <w:t xml:space="preserve">AGULHON, Maurice.</w:t>
      </w:r>
      <w:r>
        <w:rPr>
          <w:lang w:val="pt-BR"/>
        </w:rPr>
        <w:t xml:space="preserve"> </w:t>
      </w:r>
      <w:r>
        <w:rPr>
          <w:b/>
          <w:bCs/>
          <w:lang w:val="pt-BR"/>
        </w:rPr>
        <w:t xml:space="preserve">Marianne au pouvoir: l’imagerie et la symbolique républicaines de 1880 à 1914</w:t>
      </w:r>
      <w:r>
        <w:rPr>
          <w:lang w:val="pt-BR"/>
        </w:rPr>
        <w:t xml:space="preserve">. Paris: Flammarion, 1989.</w:t>
      </w:r>
    </w:p>
    <w:bookmarkEnd w:id="191"/>
    <w:bookmarkStart w:id="192" w:name="ref-amaral1975"/>
    <w:p>
      <w:pPr>
        <w:pStyle w:val="Bibliography"/>
      </w:pPr>
      <w:r>
        <w:rPr>
          <w:lang w:val="pt-BR"/>
        </w:rPr>
        <w:t xml:space="preserve">AMARAL, Aracy A.</w:t>
      </w:r>
      <w:r>
        <w:rPr>
          <w:lang w:val="pt-BR"/>
        </w:rPr>
        <w:t xml:space="preserve"> </w:t>
      </w:r>
      <w:r>
        <w:rPr>
          <w:b/>
          <w:bCs/>
          <w:lang w:val="pt-BR"/>
        </w:rPr>
        <w:t xml:space="preserve">Tarsila: sua obra e seu tempo</w:t>
      </w:r>
      <w:r>
        <w:rPr>
          <w:lang w:val="pt-BR"/>
        </w:rPr>
        <w:t xml:space="preserve">. São Paulo: Perspectiva, 1975.</w:t>
      </w:r>
    </w:p>
    <w:bookmarkEnd w:id="192"/>
    <w:bookmarkStart w:id="193" w:name="ref-amaral1928abaporu"/>
    <w:p>
      <w:pPr>
        <w:pStyle w:val="Bibliography"/>
      </w:pPr>
      <w:r>
        <w:rPr>
          <w:lang w:val="pt-BR"/>
        </w:rPr>
        <w:t xml:space="preserve">AMARAL, Tarsila do.</w:t>
      </w:r>
      <w:r>
        <w:rPr>
          <w:lang w:val="pt-BR"/>
        </w:rPr>
        <w:t xml:space="preserve"> </w:t>
      </w:r>
      <w:r>
        <w:rPr>
          <w:b/>
          <w:bCs/>
          <w:lang w:val="pt-BR"/>
        </w:rPr>
        <w:t xml:space="preserve">Abaporu</w:t>
      </w:r>
      <w:r>
        <w:rPr>
          <w:lang w:val="pt-BR"/>
        </w:rPr>
        <w:t xml:space="preserve">. Buenos Aires, 1928.</w:t>
      </w:r>
    </w:p>
    <w:bookmarkEnd w:id="193"/>
    <w:bookmarkStart w:id="194" w:name="ref-oswald1928"/>
    <w:p>
      <w:pPr>
        <w:pStyle w:val="Bibliography"/>
      </w:pPr>
      <w:r>
        <w:rPr>
          <w:lang w:val="pt-BR"/>
        </w:rPr>
        <w:t xml:space="preserve">ANDRADE, Oswald de. Manifesto antropófago.</w:t>
      </w:r>
      <w:r>
        <w:rPr>
          <w:lang w:val="pt-BR"/>
        </w:rPr>
        <w:t xml:space="preserve"> </w:t>
      </w:r>
      <w:r>
        <w:rPr>
          <w:b/>
          <w:bCs/>
          <w:lang w:val="pt-BR"/>
        </w:rPr>
        <w:t xml:space="preserve">Revista de Antropofagia</w:t>
      </w:r>
      <w:r>
        <w:rPr>
          <w:lang w:val="pt-BR"/>
        </w:rPr>
        <w:t xml:space="preserve">, v. 1, n. 1, 1928.</w:t>
      </w:r>
    </w:p>
    <w:bookmarkEnd w:id="194"/>
    <w:bookmarkStart w:id="195" w:name="ref-benjamin1984"/>
    <w:p>
      <w:pPr>
        <w:pStyle w:val="Bibliography"/>
      </w:pPr>
      <w:r>
        <w:rPr>
          <w:lang w:val="pt-BR"/>
        </w:rPr>
        <w:t xml:space="preserve">BENJAMIN, Walter.</w:t>
      </w:r>
      <w:r>
        <w:rPr>
          <w:lang w:val="pt-BR"/>
        </w:rPr>
        <w:t xml:space="preserve"> </w:t>
      </w:r>
      <w:r>
        <w:rPr>
          <w:b/>
          <w:bCs/>
          <w:lang w:val="pt-BR"/>
        </w:rPr>
        <w:t xml:space="preserve">Origem do drama barroco alemão</w:t>
      </w:r>
      <w:r>
        <w:rPr>
          <w:lang w:val="pt-BR"/>
        </w:rPr>
        <w:t xml:space="preserve">. Tradução: Sergio Paulo Rouanet. São Paulo: Brasiliense, 1984.</w:t>
      </w:r>
    </w:p>
    <w:bookmarkEnd w:id="195"/>
    <w:bookmarkStart w:id="196" w:name="ref-berghahn2006"/>
    <w:p>
      <w:pPr>
        <w:pStyle w:val="Bibliography"/>
      </w:pPr>
      <w:r>
        <w:rPr>
          <w:lang w:val="pt-BR"/>
        </w:rPr>
        <w:t xml:space="preserve">BERGHAHN, Daniela. Do the right thing? Female allegories of nation in Aleksandr Askoldov’s Komissar and Konrad Wolf’s Der Geteilte Himmel.</w:t>
      </w:r>
      <w:r>
        <w:rPr>
          <w:lang w:val="pt-BR"/>
        </w:rPr>
        <w:t xml:space="preserve"> </w:t>
      </w:r>
      <w:r>
        <w:rPr>
          <w:b/>
          <w:bCs/>
          <w:lang w:val="pt-BR"/>
        </w:rPr>
        <w:t xml:space="preserve">Historical Journal of Film, Radio and Television</w:t>
      </w:r>
      <w:r>
        <w:rPr>
          <w:lang w:val="pt-BR"/>
        </w:rPr>
        <w:t xml:space="preserve">, 2006.</w:t>
      </w:r>
    </w:p>
    <w:bookmarkEnd w:id="196"/>
    <w:bookmarkStart w:id="198" w:name="ref-bihl2015"/>
    <w:p>
      <w:pPr>
        <w:pStyle w:val="Bibliography"/>
      </w:pPr>
      <w:r>
        <w:rPr>
          <w:lang w:val="pt-BR"/>
        </w:rPr>
        <w:t xml:space="preserve">BIHL, Laurent.</w:t>
      </w:r>
      <w:r>
        <w:rPr>
          <w:lang w:val="pt-BR"/>
        </w:rPr>
        <w:t xml:space="preserve"> </w:t>
      </w:r>
      <w:hyperlink r:id="rId197">
        <w:r>
          <w:rPr>
            <w:rStyle w:val="Hyperlink"/>
            <w:b/>
            <w:bCs/>
            <w:lang w:val="pt-BR"/>
          </w:rPr>
          <w:t xml:space="preserve">Marianne in the Trenches: Typology and Iconographic Polysemy of Marianne between 1914 and 1918</w:t>
        </w:r>
      </w:hyperlink>
      <w:r>
        <w:rPr>
          <w:lang w:val="pt-BR"/>
        </w:rPr>
        <w:t xml:space="preserve">., 2015.</w:t>
      </w:r>
    </w:p>
    <w:bookmarkEnd w:id="198"/>
    <w:bookmarkStart w:id="200" w:name="ref-braman2023"/>
    <w:p>
      <w:pPr>
        <w:pStyle w:val="Bibliography"/>
      </w:pPr>
      <w:r>
        <w:rPr>
          <w:lang w:val="pt-BR"/>
        </w:rPr>
        <w:t xml:space="preserve">BRAMAN, Sandra.</w:t>
      </w:r>
      <w:r>
        <w:rPr>
          <w:lang w:val="pt-BR"/>
        </w:rPr>
        <w:t xml:space="preserve"> </w:t>
      </w:r>
      <w:hyperlink r:id="rId199">
        <w:r>
          <w:rPr>
            <w:rStyle w:val="Hyperlink"/>
            <w:lang w:val="pt-BR"/>
          </w:rPr>
          <w:t xml:space="preserve">Discernment: Blurring and Visual Evidence</w:t>
        </w:r>
      </w:hyperlink>
      <w:r>
        <w:rPr>
          <w:lang w:val="pt-BR"/>
        </w:rPr>
        <w:t xml:space="preserve">.</w:t>
      </w:r>
      <w:r>
        <w:rPr>
          <w:lang w:val="pt-BR"/>
        </w:rPr>
        <w:t xml:space="preserve"> </w:t>
      </w:r>
      <w:r>
        <w:rPr>
          <w:b/>
          <w:bCs/>
          <w:lang w:val="pt-BR"/>
        </w:rPr>
        <w:t xml:space="preserve">First Monday</w:t>
      </w:r>
      <w:r>
        <w:rPr>
          <w:lang w:val="pt-BR"/>
        </w:rPr>
        <w:t xml:space="preserve">, v. 28, n. 7, 2023.</w:t>
      </w:r>
    </w:p>
    <w:bookmarkEnd w:id="200"/>
    <w:bookmarkStart w:id="201" w:name="ref-carson2000"/>
    <w:p>
      <w:pPr>
        <w:pStyle w:val="Bibliography"/>
      </w:pPr>
      <w:r>
        <w:rPr>
          <w:lang w:val="pt-BR"/>
        </w:rPr>
        <w:t xml:space="preserve">CARSON, Anne. Dirt and Desire: The Phenomenology of Female Pollution in Antiquity.</w:t>
      </w:r>
      <w:r>
        <w:rPr>
          <w:lang w:val="pt-BR"/>
        </w:rPr>
        <w:t xml:space="preserve"> </w:t>
      </w:r>
      <w:r>
        <w:rPr>
          <w:i/>
          <w:iCs/>
          <w:lang w:val="pt-BR"/>
        </w:rPr>
        <w:t xml:space="preserve">In</w:t>
      </w:r>
      <w:r>
        <w:rPr>
          <w:lang w:val="pt-BR"/>
        </w:rPr>
        <w:t xml:space="preserve">:</w:t>
      </w:r>
      <w:r>
        <w:rPr>
          <w:lang w:val="pt-BR"/>
        </w:rPr>
        <w:t xml:space="preserve"> </w:t>
      </w:r>
      <w:r>
        <w:rPr>
          <w:b/>
          <w:bCs/>
          <w:lang w:val="pt-BR"/>
        </w:rPr>
        <w:t xml:space="preserve">Men in the Off Hours</w:t>
      </w:r>
      <w:r>
        <w:rPr>
          <w:lang w:val="pt-BR"/>
        </w:rPr>
        <w:t xml:space="preserve">. New York: Alfred A. Knopf, 2000.</w:t>
      </w:r>
    </w:p>
    <w:bookmarkEnd w:id="201"/>
    <w:bookmarkStart w:id="202" w:name="ref-carson2023"/>
    <w:p>
      <w:pPr>
        <w:pStyle w:val="Bibliography"/>
      </w:pPr>
      <w:r>
        <w:rPr>
          <w:lang w:val="pt-BR"/>
        </w:rPr>
        <w:t xml:space="preserve">CARSON, Anne.</w:t>
      </w:r>
      <w:r>
        <w:rPr>
          <w:lang w:val="pt-BR"/>
        </w:rPr>
        <w:t xml:space="preserve"> </w:t>
      </w:r>
      <w:r>
        <w:rPr>
          <w:b/>
          <w:bCs/>
          <w:lang w:val="pt-BR"/>
        </w:rPr>
        <w:t xml:space="preserve">Sobre aquilo em que eu mais penso</w:t>
      </w:r>
      <w:r>
        <w:rPr>
          <w:lang w:val="pt-BR"/>
        </w:rPr>
        <w:t xml:space="preserve">.</w:t>
      </w:r>
      <w:r>
        <w:rPr>
          <w:lang w:val="pt-BR"/>
        </w:rPr>
        <w:t xml:space="preserve"> </w:t>
      </w:r>
      <w:r>
        <w:rPr>
          <w:i/>
          <w:iCs/>
          <w:lang w:val="pt-BR"/>
        </w:rPr>
        <w:t xml:space="preserve">[S.l.: S.n.]</w:t>
      </w:r>
      <w:r>
        <w:rPr>
          <w:lang w:val="pt-BR"/>
        </w:rPr>
        <w:t xml:space="preserve">.</w:t>
      </w:r>
    </w:p>
    <w:bookmarkEnd w:id="202"/>
    <w:bookmarkStart w:id="203" w:name="ref-carvalho1990"/>
    <w:p>
      <w:pPr>
        <w:pStyle w:val="Bibliography"/>
      </w:pPr>
      <w:r>
        <w:rPr>
          <w:lang w:val="pt-BR"/>
        </w:rPr>
        <w:t xml:space="preserve">CARVALHO, José Murilo de.</w:t>
      </w:r>
      <w:r>
        <w:rPr>
          <w:lang w:val="pt-BR"/>
        </w:rPr>
        <w:t xml:space="preserve"> </w:t>
      </w:r>
      <w:r>
        <w:rPr>
          <w:b/>
          <w:bCs/>
          <w:lang w:val="pt-BR"/>
        </w:rPr>
        <w:t xml:space="preserve">A formação das almas: o imaginário da República no Brasil</w:t>
      </w:r>
      <w:r>
        <w:rPr>
          <w:lang w:val="pt-BR"/>
        </w:rPr>
        <w:t xml:space="preserve">. São Paulo: Companhia das Letras, 1990.</w:t>
      </w:r>
    </w:p>
    <w:bookmarkEnd w:id="203"/>
    <w:bookmarkStart w:id="205" w:name="ref-chaves2022"/>
    <w:p>
      <w:pPr>
        <w:pStyle w:val="Bibliography"/>
      </w:pPr>
      <w:r>
        <w:rPr>
          <w:lang w:val="pt-BR"/>
        </w:rPr>
        <w:t xml:space="preserve">CHAVES, Luciano Athayde; LOPES FILHO, Francisco Camargo Alves.</w:t>
      </w:r>
      <w:r>
        <w:rPr>
          <w:lang w:val="pt-BR"/>
        </w:rPr>
        <w:t xml:space="preserve"> </w:t>
      </w:r>
      <w:hyperlink r:id="rId204">
        <w:r>
          <w:rPr>
            <w:rStyle w:val="Hyperlink"/>
            <w:lang w:val="pt-BR"/>
          </w:rPr>
          <w:t xml:space="preserve">Dinamismo e cosmopolitismo na construção histórica da representação da Justiça</w:t>
        </w:r>
      </w:hyperlink>
      <w:r>
        <w:rPr>
          <w:lang w:val="pt-BR"/>
        </w:rPr>
        <w:t xml:space="preserve">.</w:t>
      </w:r>
      <w:r>
        <w:rPr>
          <w:lang w:val="pt-BR"/>
        </w:rPr>
        <w:t xml:space="preserve"> </w:t>
      </w:r>
      <w:r>
        <w:rPr>
          <w:b/>
          <w:bCs/>
          <w:lang w:val="pt-BR"/>
        </w:rPr>
        <w:t xml:space="preserve">Pensar: Revista de Ciências Jurídicas</w:t>
      </w:r>
      <w:r>
        <w:rPr>
          <w:lang w:val="pt-BR"/>
        </w:rPr>
        <w:t xml:space="preserve">, v. 27, n. 3, 2022.</w:t>
      </w:r>
    </w:p>
    <w:bookmarkEnd w:id="205"/>
    <w:bookmarkStart w:id="206" w:name="ref-creswell2018"/>
    <w:p>
      <w:pPr>
        <w:pStyle w:val="Bibliography"/>
      </w:pPr>
      <w:r>
        <w:rPr>
          <w:lang w:val="pt-BR"/>
        </w:rPr>
        <w:t xml:space="preserve">CRESWELL, John W.; PLANO CLARK, Vicki L.</w:t>
      </w:r>
      <w:r>
        <w:rPr>
          <w:lang w:val="pt-BR"/>
        </w:rPr>
        <w:t xml:space="preserve"> </w:t>
      </w:r>
      <w:r>
        <w:rPr>
          <w:b/>
          <w:bCs/>
          <w:lang w:val="pt-BR"/>
        </w:rPr>
        <w:t xml:space="preserve">Designing and Conducting Mixed Methods Research</w:t>
      </w:r>
      <w:r>
        <w:rPr>
          <w:lang w:val="pt-BR"/>
        </w:rPr>
        <w:t xml:space="preserve">. 3. ed. Thousand Oaks: SAGE Publications, 2018.</w:t>
      </w:r>
    </w:p>
    <w:bookmarkEnd w:id="206"/>
    <w:bookmarkStart w:id="208" w:name="ref-curtis1998"/>
    <w:p>
      <w:pPr>
        <w:pStyle w:val="Bibliography"/>
      </w:pPr>
      <w:r>
        <w:rPr>
          <w:lang w:val="pt-BR"/>
        </w:rPr>
        <w:t xml:space="preserve">CURTIS, L. Perry.</w:t>
      </w:r>
      <w:r>
        <w:rPr>
          <w:lang w:val="pt-BR"/>
        </w:rPr>
        <w:t xml:space="preserve"> </w:t>
      </w:r>
      <w:hyperlink r:id="rId207">
        <w:r>
          <w:rPr>
            <w:rStyle w:val="Hyperlink"/>
            <w:lang w:val="pt-BR"/>
          </w:rPr>
          <w:t xml:space="preserve">The Four Erins: Feminine Images of Ireland, 1780–1900</w:t>
        </w:r>
      </w:hyperlink>
      <w:r>
        <w:rPr>
          <w:lang w:val="pt-BR"/>
        </w:rPr>
        <w:t xml:space="preserve">.</w:t>
      </w:r>
      <w:r>
        <w:rPr>
          <w:lang w:val="pt-BR"/>
        </w:rPr>
        <w:t xml:space="preserve"> </w:t>
      </w:r>
      <w:r>
        <w:rPr>
          <w:b/>
          <w:bCs/>
          <w:lang w:val="pt-BR"/>
        </w:rPr>
        <w:t xml:space="preserve">Eire-ireland</w:t>
      </w:r>
      <w:r>
        <w:rPr>
          <w:lang w:val="pt-BR"/>
        </w:rPr>
        <w:t xml:space="preserve">, 1998.</w:t>
      </w:r>
    </w:p>
    <w:bookmarkEnd w:id="208"/>
    <w:bookmarkStart w:id="209" w:name="ref-cusack2003"/>
    <w:p>
      <w:pPr>
        <w:pStyle w:val="Bibliography"/>
      </w:pPr>
      <w:r>
        <w:rPr>
          <w:lang w:val="pt-BR"/>
        </w:rPr>
        <w:t xml:space="preserve">CUSACK, Tricia; BHREATHNACH-LYNCH, Síghle (ORGS.).</w:t>
      </w:r>
      <w:r>
        <w:rPr>
          <w:lang w:val="pt-BR"/>
        </w:rPr>
        <w:t xml:space="preserve"> </w:t>
      </w:r>
      <w:r>
        <w:rPr>
          <w:b/>
          <w:bCs/>
          <w:lang w:val="pt-BR"/>
        </w:rPr>
        <w:t xml:space="preserve">Art, Nation and Gender: Ethnic Landscapes, Myths and Mother-Figures</w:t>
      </w:r>
      <w:r>
        <w:rPr>
          <w:lang w:val="pt-BR"/>
        </w:rPr>
        <w:t xml:space="preserve">. London: Routledge, 2003.</w:t>
      </w:r>
    </w:p>
    <w:bookmarkEnd w:id="209"/>
    <w:bookmarkStart w:id="210" w:name="ref-descola2021"/>
    <w:p>
      <w:pPr>
        <w:pStyle w:val="Bibliography"/>
      </w:pPr>
      <w:r>
        <w:rPr>
          <w:lang w:val="pt-BR"/>
        </w:rPr>
        <w:t xml:space="preserve">DESCOLA, Philippe.</w:t>
      </w:r>
      <w:r>
        <w:rPr>
          <w:lang w:val="pt-BR"/>
        </w:rPr>
        <w:t xml:space="preserve"> </w:t>
      </w:r>
      <w:r>
        <w:rPr>
          <w:b/>
          <w:bCs/>
          <w:lang w:val="pt-BR"/>
        </w:rPr>
        <w:t xml:space="preserve">Les Formes du visible: une anthropologie de la figuration</w:t>
      </w:r>
      <w:r>
        <w:rPr>
          <w:lang w:val="pt-BR"/>
        </w:rPr>
        <w:t xml:space="preserve">. Paris: Seuil, 2021.</w:t>
      </w:r>
    </w:p>
    <w:bookmarkEnd w:id="210"/>
    <w:bookmarkStart w:id="211" w:name="ref-descola2023"/>
    <w:p>
      <w:pPr>
        <w:pStyle w:val="Bibliography"/>
      </w:pPr>
      <w:r>
        <w:rPr>
          <w:lang w:val="pt-BR"/>
        </w:rPr>
        <w:t xml:space="preserve">DESCOLA, Philippe.</w:t>
      </w:r>
      <w:r>
        <w:rPr>
          <w:lang w:val="pt-BR"/>
        </w:rPr>
        <w:t xml:space="preserve"> </w:t>
      </w:r>
      <w:r>
        <w:rPr>
          <w:b/>
          <w:bCs/>
          <w:lang w:val="pt-BR"/>
        </w:rPr>
        <w:t xml:space="preserve">As Formas do Visível: uma antropologia da figuração</w:t>
      </w:r>
      <w:r>
        <w:rPr>
          <w:lang w:val="pt-BR"/>
        </w:rPr>
        <w:t xml:space="preserve">. Tradução: Mariana Nogueira. São Paulo: Ubu, 2023.</w:t>
      </w:r>
    </w:p>
    <w:bookmarkEnd w:id="211"/>
    <w:bookmarkStart w:id="212" w:name="ref-didihuberman2002"/>
    <w:p>
      <w:pPr>
        <w:pStyle w:val="Bibliography"/>
      </w:pPr>
      <w:r>
        <w:rPr>
          <w:lang w:val="pt-BR"/>
        </w:rPr>
        <w:t xml:space="preserve">DIDI-HUBERMAN, Georges.</w:t>
      </w:r>
      <w:r>
        <w:rPr>
          <w:lang w:val="pt-BR"/>
        </w:rPr>
        <w:t xml:space="preserve"> </w:t>
      </w:r>
      <w:r>
        <w:rPr>
          <w:b/>
          <w:bCs/>
          <w:lang w:val="pt-BR"/>
        </w:rPr>
        <w:t xml:space="preserve">L’image survivante: histoire de l’art et temps des fantômes selon Aby Warburg</w:t>
      </w:r>
      <w:r>
        <w:rPr>
          <w:lang w:val="pt-BR"/>
        </w:rPr>
        <w:t xml:space="preserve">. Paris: Les Éditions de Minuit, 2002.</w:t>
      </w:r>
    </w:p>
    <w:bookmarkEnd w:id="212"/>
    <w:bookmarkStart w:id="213" w:name="ref-dietz2015"/>
    <w:p>
      <w:pPr>
        <w:pStyle w:val="Bibliography"/>
      </w:pPr>
      <w:r>
        <w:rPr>
          <w:lang w:val="pt-BR"/>
        </w:rPr>
        <w:t xml:space="preserve">DIETZ, Mary G.</w:t>
      </w:r>
      <w:r>
        <w:rPr>
          <w:lang w:val="pt-BR"/>
        </w:rPr>
        <w:t xml:space="preserve"> </w:t>
      </w:r>
      <w:r>
        <w:rPr>
          <w:b/>
          <w:bCs/>
          <w:lang w:val="pt-BR"/>
        </w:rPr>
        <w:t xml:space="preserve">Turning Operations: Feminism, Arendt, and Politics</w:t>
      </w:r>
      <w:r>
        <w:rPr>
          <w:lang w:val="pt-BR"/>
        </w:rPr>
        <w:t xml:space="preserve">. New York: Routledge, 2015.</w:t>
      </w:r>
    </w:p>
    <w:bookmarkEnd w:id="213"/>
    <w:bookmarkStart w:id="214" w:name="ref-douzinasnead1999"/>
    <w:p>
      <w:pPr>
        <w:pStyle w:val="Bibliography"/>
      </w:pPr>
      <w:r>
        <w:rPr>
          <w:lang w:val="pt-BR"/>
        </w:rPr>
        <w:t xml:space="preserve">DOUZINAS, Costas; NEAD, Lynda (ORGS.).</w:t>
      </w:r>
      <w:r>
        <w:rPr>
          <w:lang w:val="pt-BR"/>
        </w:rPr>
        <w:t xml:space="preserve"> </w:t>
      </w:r>
      <w:r>
        <w:rPr>
          <w:b/>
          <w:bCs/>
          <w:lang w:val="pt-BR"/>
        </w:rPr>
        <w:t xml:space="preserve">Law and the Image: The Authority of Art and the Aesthetics of Law</w:t>
      </w:r>
      <w:r>
        <w:rPr>
          <w:lang w:val="pt-BR"/>
        </w:rPr>
        <w:t xml:space="preserve">. Chicago: University of Chicago Press, 1999.</w:t>
      </w:r>
    </w:p>
    <w:bookmarkEnd w:id="214"/>
    <w:bookmarkStart w:id="216" w:name="ref-dupratnd"/>
    <w:p>
      <w:pPr>
        <w:pStyle w:val="Bibliography"/>
      </w:pPr>
      <w:r>
        <w:rPr>
          <w:lang w:val="pt-BR"/>
        </w:rPr>
        <w:t xml:space="preserve">DUPRAT, Annie.</w:t>
      </w:r>
      <w:r>
        <w:rPr>
          <w:lang w:val="pt-BR"/>
        </w:rPr>
        <w:t xml:space="preserve"> </w:t>
      </w:r>
      <w:hyperlink r:id="rId215">
        <w:r>
          <w:rPr>
            <w:rStyle w:val="Hyperlink"/>
            <w:b/>
            <w:bCs/>
            <w:lang w:val="pt-BR"/>
          </w:rPr>
          <w:t xml:space="preserve">Comment Est Née "marianne"? La Caricature, Médiatrice De La Figuration De La République En France</w:t>
        </w:r>
      </w:hyperlink>
      <w:r>
        <w:rPr>
          <w:lang w:val="pt-BR"/>
        </w:rPr>
        <w:t xml:space="preserve">., s.d.s.d.</w:t>
      </w:r>
    </w:p>
    <w:bookmarkEnd w:id="216"/>
    <w:bookmarkStart w:id="218" w:name="ref-ettwillernd"/>
    <w:p>
      <w:pPr>
        <w:pStyle w:val="Bibliography"/>
      </w:pPr>
      <w:r>
        <w:rPr>
          <w:lang w:val="pt-BR"/>
        </w:rPr>
        <w:t xml:space="preserve">ETTWILLER, Éric.</w:t>
      </w:r>
      <w:r>
        <w:rPr>
          <w:lang w:val="pt-BR"/>
        </w:rPr>
        <w:t xml:space="preserve"> </w:t>
      </w:r>
      <w:hyperlink r:id="rId217">
        <w:r>
          <w:rPr>
            <w:rStyle w:val="Hyperlink"/>
            <w:b/>
            <w:bCs/>
            <w:lang w:val="pt-BR"/>
          </w:rPr>
          <w:t xml:space="preserve">Vlossak (elizabeth), Marianne or Germania? Nationalizing Women in Alsace, 1870-1946. Oxford, Oxford University Press, 2010, 330 P.</w:t>
        </w:r>
      </w:hyperlink>
      <w:r>
        <w:rPr>
          <w:lang w:val="pt-BR"/>
        </w:rPr>
        <w:t xml:space="preserve">, s.d.s.d.</w:t>
      </w:r>
    </w:p>
    <w:bookmarkEnd w:id="218"/>
    <w:bookmarkStart w:id="219" w:name="ref-fleming1967"/>
    <w:p>
      <w:pPr>
        <w:pStyle w:val="Bibliography"/>
      </w:pPr>
      <w:r>
        <w:rPr>
          <w:lang w:val="pt-BR"/>
        </w:rPr>
        <w:t xml:space="preserve">FLEMING, E. McClung. From Indian Princess to Greek Goddess: The American Image, 1783–1815.</w:t>
      </w:r>
      <w:r>
        <w:rPr>
          <w:lang w:val="pt-BR"/>
        </w:rPr>
        <w:t xml:space="preserve"> </w:t>
      </w:r>
      <w:r>
        <w:rPr>
          <w:b/>
          <w:bCs/>
          <w:lang w:val="pt-BR"/>
        </w:rPr>
        <w:t xml:space="preserve">Winterthur Portfolio</w:t>
      </w:r>
      <w:r>
        <w:rPr>
          <w:lang w:val="pt-BR"/>
        </w:rPr>
        <w:t xml:space="preserve">, v. 3, p. 37–66, 1967.</w:t>
      </w:r>
    </w:p>
    <w:bookmarkEnd w:id="219"/>
    <w:bookmarkStart w:id="220" w:name="ref-gallindo2023"/>
    <w:p>
      <w:pPr>
        <w:pStyle w:val="Bibliography"/>
      </w:pPr>
      <w:r>
        <w:rPr>
          <w:lang w:val="pt-BR"/>
        </w:rPr>
        <w:t xml:space="preserve">GALLINDO GONÇALVES, Daniele. "A Sentinela junto ao Reno": a figura da Germânia no longo século XIX.</w:t>
      </w:r>
      <w:r>
        <w:rPr>
          <w:lang w:val="pt-BR"/>
        </w:rPr>
        <w:t xml:space="preserve"> </w:t>
      </w:r>
      <w:r>
        <w:rPr>
          <w:b/>
          <w:bCs/>
          <w:lang w:val="pt-BR"/>
        </w:rPr>
        <w:t xml:space="preserve">Antíteses</w:t>
      </w:r>
      <w:r>
        <w:rPr>
          <w:lang w:val="pt-BR"/>
        </w:rPr>
        <w:t xml:space="preserve">, v. 16, n. 32, p. 563–592, 2023.</w:t>
      </w:r>
    </w:p>
    <w:bookmarkEnd w:id="220"/>
    <w:bookmarkStart w:id="221" w:name="ref-goodrich2012"/>
    <w:p>
      <w:pPr>
        <w:pStyle w:val="Bibliography"/>
      </w:pPr>
      <w:r>
        <w:rPr>
          <w:lang w:val="pt-BR"/>
        </w:rPr>
        <w:t xml:space="preserve">GOODRICH, Peter. Specters of Law: Why the History of the Legal Spectacle Has Not Been Written.</w:t>
      </w:r>
      <w:r>
        <w:rPr>
          <w:lang w:val="pt-BR"/>
        </w:rPr>
        <w:t xml:space="preserve"> </w:t>
      </w:r>
      <w:r>
        <w:rPr>
          <w:b/>
          <w:bCs/>
          <w:lang w:val="pt-BR"/>
        </w:rPr>
        <w:t xml:space="preserve">UC Irvine Law Review</w:t>
      </w:r>
      <w:r>
        <w:rPr>
          <w:lang w:val="pt-BR"/>
        </w:rPr>
        <w:t xml:space="preserve">, v. 1, n. 3, p. 773–812, 2011.</w:t>
      </w:r>
    </w:p>
    <w:bookmarkEnd w:id="221"/>
    <w:bookmarkStart w:id="222" w:name="ref-goodrich2013a"/>
    <w:p>
      <w:pPr>
        <w:pStyle w:val="Bibliography"/>
      </w:pPr>
      <w:r>
        <w:rPr>
          <w:lang w:val="pt-BR"/>
        </w:rPr>
        <w:t xml:space="preserve">GOODRICH, Peter. Visiocracy: On the Futures of the Fingerpost.</w:t>
      </w:r>
      <w:r>
        <w:rPr>
          <w:lang w:val="pt-BR"/>
        </w:rPr>
        <w:t xml:space="preserve"> </w:t>
      </w:r>
      <w:r>
        <w:rPr>
          <w:b/>
          <w:bCs/>
          <w:lang w:val="pt-BR"/>
        </w:rPr>
        <w:t xml:space="preserve">Critical Inquiry</w:t>
      </w:r>
      <w:r>
        <w:rPr>
          <w:lang w:val="pt-BR"/>
        </w:rPr>
        <w:t xml:space="preserve">, v. 39, n. 3, p. 498–531, b2013.</w:t>
      </w:r>
    </w:p>
    <w:bookmarkEnd w:id="222"/>
    <w:bookmarkStart w:id="223" w:name="ref-goodrich2013b"/>
    <w:p>
      <w:pPr>
        <w:pStyle w:val="Bibliography"/>
      </w:pPr>
      <w:r>
        <w:rPr>
          <w:lang w:val="pt-BR"/>
        </w:rPr>
        <w:t xml:space="preserve">GOODRICH, Peter.</w:t>
      </w:r>
      <w:r>
        <w:rPr>
          <w:lang w:val="pt-BR"/>
        </w:rPr>
        <w:t xml:space="preserve"> </w:t>
      </w:r>
      <w:r>
        <w:rPr>
          <w:b/>
          <w:bCs/>
          <w:lang w:val="pt-BR"/>
        </w:rPr>
        <w:t xml:space="preserve">Legal Emblems and the Art of Law: Obiter Depicta as the Vision of Governance</w:t>
      </w:r>
      <w:r>
        <w:rPr>
          <w:lang w:val="pt-BR"/>
        </w:rPr>
        <w:t xml:space="preserve">. Cambridge: Cambridge University Press, 2013a.</w:t>
      </w:r>
    </w:p>
    <w:bookmarkEnd w:id="223"/>
    <w:bookmarkStart w:id="225" w:name="ref-goodrich2017"/>
    <w:p>
      <w:pPr>
        <w:pStyle w:val="Bibliography"/>
      </w:pPr>
      <w:r>
        <w:rPr>
          <w:lang w:val="pt-BR"/>
        </w:rPr>
        <w:t xml:space="preserve">GOODRICH, Peter.</w:t>
      </w:r>
      <w:r>
        <w:rPr>
          <w:lang w:val="pt-BR"/>
        </w:rPr>
        <w:t xml:space="preserve"> </w:t>
      </w:r>
      <w:hyperlink r:id="rId224">
        <w:r>
          <w:rPr>
            <w:rStyle w:val="Hyperlink"/>
            <w:lang w:val="pt-BR"/>
          </w:rPr>
          <w:t xml:space="preserve">Imago Decidendi: On the Common Law of Images</w:t>
        </w:r>
      </w:hyperlink>
      <w:r>
        <w:rPr>
          <w:lang w:val="pt-BR"/>
        </w:rPr>
        <w:t xml:space="preserve">.</w:t>
      </w:r>
      <w:r>
        <w:rPr>
          <w:lang w:val="pt-BR"/>
        </w:rPr>
        <w:t xml:space="preserve"> </w:t>
      </w:r>
      <w:r>
        <w:rPr>
          <w:b/>
          <w:bCs/>
          <w:lang w:val="pt-BR"/>
        </w:rPr>
        <w:t xml:space="preserve">Brill Research Perspectives in Art and Law</w:t>
      </w:r>
      <w:r>
        <w:rPr>
          <w:lang w:val="pt-BR"/>
        </w:rPr>
        <w:t xml:space="preserve">, v. 1, n. 1, p. 1–57, 2017.</w:t>
      </w:r>
    </w:p>
    <w:bookmarkEnd w:id="225"/>
    <w:bookmarkStart w:id="226" w:name="ref-grossi2007"/>
    <w:p>
      <w:pPr>
        <w:pStyle w:val="Bibliography"/>
      </w:pPr>
      <w:r>
        <w:rPr>
          <w:lang w:val="pt-BR"/>
        </w:rPr>
        <w:t xml:space="preserve">GROSSI, Paolo.</w:t>
      </w:r>
      <w:r>
        <w:rPr>
          <w:lang w:val="pt-BR"/>
        </w:rPr>
        <w:t xml:space="preserve"> </w:t>
      </w:r>
      <w:r>
        <w:rPr>
          <w:b/>
          <w:bCs/>
          <w:lang w:val="pt-BR"/>
        </w:rPr>
        <w:t xml:space="preserve">Mitologias jurídicas da modernidade</w:t>
      </w:r>
      <w:r>
        <w:rPr>
          <w:lang w:val="pt-BR"/>
        </w:rPr>
        <w:t xml:space="preserve">. Tradução: Arno Dal Ri Júnior. Florianópolis: Fundação Boiteux, 2007.</w:t>
      </w:r>
    </w:p>
    <w:bookmarkEnd w:id="226"/>
    <w:bookmarkStart w:id="228" w:name="ref-guidiby2022"/>
    <w:p>
      <w:pPr>
        <w:pStyle w:val="Bibliography"/>
      </w:pPr>
      <w:r>
        <w:rPr>
          <w:lang w:val="pt-BR"/>
        </w:rPr>
        <w:t xml:space="preserve">GUI-DIBY, Steve Loris.</w:t>
      </w:r>
      <w:r>
        <w:rPr>
          <w:lang w:val="pt-BR"/>
        </w:rPr>
        <w:t xml:space="preserve"> </w:t>
      </w:r>
      <w:hyperlink r:id="rId227">
        <w:r>
          <w:rPr>
            <w:rStyle w:val="Hyperlink"/>
            <w:b/>
            <w:bCs/>
            <w:lang w:val="pt-BR"/>
          </w:rPr>
          <w:t xml:space="preserve">The St George Ribbon and the Immortal Regiment: New Symbols and Rituals in Russian Regime-Legitimation</w:t>
        </w:r>
      </w:hyperlink>
      <w:r>
        <w:rPr>
          <w:lang w:val="pt-BR"/>
        </w:rPr>
        <w:t xml:space="preserve">., 2022.</w:t>
      </w:r>
    </w:p>
    <w:bookmarkEnd w:id="228"/>
    <w:bookmarkStart w:id="229" w:name="ref-haraway1985"/>
    <w:p>
      <w:pPr>
        <w:pStyle w:val="Bibliography"/>
      </w:pPr>
      <w:r>
        <w:rPr>
          <w:lang w:val="pt-BR"/>
        </w:rPr>
        <w:t xml:space="preserve">HARAWAY, Donna. A Manifesto for Cyborgs: Science, Technology, and Socialist Feminism in the 1980s.</w:t>
      </w:r>
      <w:r>
        <w:rPr>
          <w:lang w:val="pt-BR"/>
        </w:rPr>
        <w:t xml:space="preserve"> </w:t>
      </w:r>
      <w:r>
        <w:rPr>
          <w:b/>
          <w:bCs/>
          <w:lang w:val="pt-BR"/>
        </w:rPr>
        <w:t xml:space="preserve">Socialist Review</w:t>
      </w:r>
      <w:r>
        <w:rPr>
          <w:lang w:val="pt-BR"/>
        </w:rPr>
        <w:t xml:space="preserve">, n. 80, p. 65–108, 1985.</w:t>
      </w:r>
    </w:p>
    <w:bookmarkEnd w:id="229"/>
    <w:bookmarkStart w:id="230" w:name="ref-haraway2009"/>
    <w:p>
      <w:pPr>
        <w:pStyle w:val="Bibliography"/>
      </w:pPr>
      <w:r>
        <w:rPr>
          <w:lang w:val="pt-BR"/>
        </w:rPr>
        <w:t xml:space="preserve">HARAWAY, Donna. Manifesto ciborgue: ciência, tecnologia e feminismo-socialista no final do século XX.</w:t>
      </w:r>
      <w:r>
        <w:rPr>
          <w:lang w:val="pt-BR"/>
        </w:rPr>
        <w:t xml:space="preserve"> </w:t>
      </w:r>
      <w:r>
        <w:rPr>
          <w:i/>
          <w:iCs/>
          <w:lang w:val="pt-BR"/>
        </w:rPr>
        <w:t xml:space="preserve">In</w:t>
      </w:r>
      <w:r>
        <w:rPr>
          <w:lang w:val="pt-BR"/>
        </w:rPr>
        <w:t xml:space="preserve">: SILVA, Tomaz Tadeu (Org.).</w:t>
      </w:r>
      <w:r>
        <w:rPr>
          <w:lang w:val="pt-BR"/>
        </w:rPr>
        <w:t xml:space="preserve"> </w:t>
      </w:r>
      <w:r>
        <w:rPr>
          <w:b/>
          <w:bCs/>
          <w:lang w:val="pt-BR"/>
        </w:rPr>
        <w:t xml:space="preserve">Antropologia do Ciborgue: as vertigens do pós-humano</w:t>
      </w:r>
      <w:r>
        <w:rPr>
          <w:lang w:val="pt-BR"/>
        </w:rPr>
        <w:t xml:space="preserve">. Tradução: Tomaz Tadeu. 2. ed. Belo Horizonte: Autêntica, 2009. p. 33–118.</w:t>
      </w:r>
    </w:p>
    <w:bookmarkEnd w:id="230"/>
    <w:bookmarkStart w:id="231" w:name="ref-hespanha2005"/>
    <w:p>
      <w:pPr>
        <w:pStyle w:val="Bibliography"/>
      </w:pPr>
      <w:r>
        <w:rPr>
          <w:lang w:val="pt-BR"/>
        </w:rPr>
        <w:t xml:space="preserve">HESPANHA, António Manuel.</w:t>
      </w:r>
      <w:r>
        <w:rPr>
          <w:lang w:val="pt-BR"/>
        </w:rPr>
        <w:t xml:space="preserve"> </w:t>
      </w:r>
      <w:r>
        <w:rPr>
          <w:b/>
          <w:bCs/>
          <w:lang w:val="pt-BR"/>
        </w:rPr>
        <w:t xml:space="preserve">Cultura Jurídica Europeia: síntese de um milénio</w:t>
      </w:r>
      <w:r>
        <w:rPr>
          <w:lang w:val="pt-BR"/>
        </w:rPr>
        <w:t xml:space="preserve">. Coimbra: Almedina, 2005.</w:t>
      </w:r>
    </w:p>
    <w:bookmarkEnd w:id="231"/>
    <w:bookmarkStart w:id="232" w:name="ref-hilden1993"/>
    <w:p>
      <w:pPr>
        <w:pStyle w:val="Bibliography"/>
      </w:pPr>
      <w:r>
        <w:rPr>
          <w:lang w:val="pt-BR"/>
        </w:rPr>
        <w:t xml:space="preserve">HILDEN, Patricia. Belgium in the Belle Époque.</w:t>
      </w:r>
      <w:r>
        <w:rPr>
          <w:lang w:val="pt-BR"/>
        </w:rPr>
        <w:t xml:space="preserve"> </w:t>
      </w:r>
      <w:r>
        <w:rPr>
          <w:i/>
          <w:iCs/>
          <w:lang w:val="pt-BR"/>
        </w:rPr>
        <w:t xml:space="preserve">In</w:t>
      </w:r>
      <w:r>
        <w:rPr>
          <w:lang w:val="pt-BR"/>
        </w:rPr>
        <w:t xml:space="preserve">:</w:t>
      </w:r>
      <w:r>
        <w:rPr>
          <w:lang w:val="pt-BR"/>
        </w:rPr>
        <w:t xml:space="preserve"> </w:t>
      </w:r>
      <w:r>
        <w:rPr>
          <w:b/>
          <w:bCs/>
          <w:lang w:val="pt-BR"/>
        </w:rPr>
        <w:t xml:space="preserve">Women, Work and Politics: Belgium 1830–1914</w:t>
      </w:r>
      <w:r>
        <w:rPr>
          <w:lang w:val="pt-BR"/>
        </w:rPr>
        <w:t xml:space="preserve">. Oxford: Oxford University Press, 1993.</w:t>
      </w:r>
    </w:p>
    <w:bookmarkEnd w:id="232"/>
    <w:bookmarkStart w:id="233" w:name="ref-hunt1984"/>
    <w:p>
      <w:pPr>
        <w:pStyle w:val="Bibliography"/>
      </w:pPr>
      <w:r>
        <w:rPr>
          <w:lang w:val="pt-BR"/>
        </w:rPr>
        <w:t xml:space="preserve">HUNT, Lynn.</w:t>
      </w:r>
      <w:r>
        <w:rPr>
          <w:lang w:val="pt-BR"/>
        </w:rPr>
        <w:t xml:space="preserve"> </w:t>
      </w:r>
      <w:r>
        <w:rPr>
          <w:b/>
          <w:bCs/>
          <w:lang w:val="pt-BR"/>
        </w:rPr>
        <w:t xml:space="preserve">Politics, Culture, and Class in the French Revolution</w:t>
      </w:r>
      <w:r>
        <w:rPr>
          <w:lang w:val="pt-BR"/>
        </w:rPr>
        <w:t xml:space="preserve">. Berkeley: University of California Press, 1984.</w:t>
      </w:r>
    </w:p>
    <w:bookmarkEnd w:id="233"/>
    <w:bookmarkStart w:id="234" w:name="ref-huygebaert2015"/>
    <w:p>
      <w:pPr>
        <w:pStyle w:val="Bibliography"/>
      </w:pPr>
      <w:r>
        <w:rPr>
          <w:lang w:val="pt-BR"/>
        </w:rPr>
        <w:t xml:space="preserve">HUYGEBAERT, Stefan. Visualizing Law and Justice: Iconographies of the Legal and the Just in the Long Nineteenth Century.</w:t>
      </w:r>
      <w:r>
        <w:rPr>
          <w:lang w:val="pt-BR"/>
        </w:rPr>
        <w:t xml:space="preserve"> </w:t>
      </w:r>
      <w:r>
        <w:rPr>
          <w:i/>
          <w:iCs/>
          <w:lang w:val="pt-BR"/>
        </w:rPr>
        <w:t xml:space="preserve">In</w:t>
      </w:r>
      <w:r>
        <w:rPr>
          <w:lang w:val="pt-BR"/>
        </w:rPr>
        <w:t xml:space="preserve">:</w:t>
      </w:r>
      <w:r>
        <w:rPr>
          <w:lang w:val="pt-BR"/>
        </w:rPr>
        <w:t xml:space="preserve"> </w:t>
      </w:r>
      <w:r>
        <w:rPr>
          <w:b/>
          <w:bCs/>
          <w:lang w:val="pt-BR"/>
        </w:rPr>
        <w:t xml:space="preserve">Law and the Visual</w:t>
      </w:r>
      <w:r>
        <w:rPr>
          <w:lang w:val="pt-BR"/>
        </w:rPr>
        <w:t xml:space="preserve">.</w:t>
      </w:r>
      <w:r>
        <w:rPr>
          <w:lang w:val="pt-BR"/>
        </w:rPr>
        <w:t xml:space="preserve"> </w:t>
      </w:r>
      <w:r>
        <w:rPr>
          <w:i/>
          <w:iCs/>
          <w:lang w:val="pt-BR"/>
        </w:rPr>
        <w:t xml:space="preserve">[S.l.]</w:t>
      </w:r>
      <w:r>
        <w:rPr>
          <w:lang w:val="pt-BR"/>
        </w:rPr>
        <w:t xml:space="preserve">: s.n., 2015.</w:t>
      </w:r>
    </w:p>
    <w:bookmarkEnd w:id="234"/>
    <w:bookmarkStart w:id="235" w:name="ref-jones2023"/>
    <w:p>
      <w:pPr>
        <w:pStyle w:val="Bibliography"/>
      </w:pPr>
      <w:r>
        <w:rPr>
          <w:lang w:val="pt-BR"/>
        </w:rPr>
        <w:t xml:space="preserve">JONES, Emily.</w:t>
      </w:r>
      <w:r>
        <w:rPr>
          <w:lang w:val="pt-BR"/>
        </w:rPr>
        <w:t xml:space="preserve"> </w:t>
      </w:r>
      <w:r>
        <w:rPr>
          <w:b/>
          <w:bCs/>
          <w:lang w:val="pt-BR"/>
        </w:rPr>
        <w:t xml:space="preserve">Feminist Theory and International Law: Posthuman Perspectives</w:t>
      </w:r>
      <w:r>
        <w:rPr>
          <w:lang w:val="pt-BR"/>
        </w:rPr>
        <w:t xml:space="preserve">. London: Routledge, 2023.</w:t>
      </w:r>
    </w:p>
    <w:bookmarkEnd w:id="235"/>
    <w:bookmarkStart w:id="236" w:name="ref-kantorowicz1957"/>
    <w:p>
      <w:pPr>
        <w:pStyle w:val="Bibliography"/>
      </w:pPr>
      <w:r>
        <w:rPr>
          <w:lang w:val="pt-BR"/>
        </w:rPr>
        <w:t xml:space="preserve">KANTOROWICZ, Ernst H.</w:t>
      </w:r>
      <w:r>
        <w:rPr>
          <w:lang w:val="pt-BR"/>
        </w:rPr>
        <w:t xml:space="preserve"> </w:t>
      </w:r>
      <w:r>
        <w:rPr>
          <w:b/>
          <w:bCs/>
          <w:lang w:val="pt-BR"/>
        </w:rPr>
        <w:t xml:space="preserve">The King’s Two Bodies: A Study in Mediaeval Political Theology</w:t>
      </w:r>
      <w:r>
        <w:rPr>
          <w:lang w:val="pt-BR"/>
        </w:rPr>
        <w:t xml:space="preserve">. Princeton: Princeton University Press, 1957.</w:t>
      </w:r>
    </w:p>
    <w:bookmarkEnd w:id="236"/>
    <w:bookmarkStart w:id="237" w:name="ref-kantorowicz1998"/>
    <w:p>
      <w:pPr>
        <w:pStyle w:val="Bibliography"/>
      </w:pPr>
      <w:r>
        <w:rPr>
          <w:lang w:val="pt-BR"/>
        </w:rPr>
        <w:t xml:space="preserve">KANTOROWICZ, Ernst H.</w:t>
      </w:r>
      <w:r>
        <w:rPr>
          <w:lang w:val="pt-BR"/>
        </w:rPr>
        <w:t xml:space="preserve"> </w:t>
      </w:r>
      <w:r>
        <w:rPr>
          <w:b/>
          <w:bCs/>
          <w:lang w:val="pt-BR"/>
        </w:rPr>
        <w:t xml:space="preserve">Os Dois Corpos do Rei: um estudo sobre teologia política medieval</w:t>
      </w:r>
      <w:r>
        <w:rPr>
          <w:lang w:val="pt-BR"/>
        </w:rPr>
        <w:t xml:space="preserve">. Tradução: Cid Knipel Moreira. São Paulo: Companhia das Letras, 1998.</w:t>
      </w:r>
    </w:p>
    <w:bookmarkEnd w:id="237"/>
    <w:bookmarkStart w:id="239" w:name="ref-konig2013"/>
    <w:p>
      <w:pPr>
        <w:pStyle w:val="Bibliography"/>
      </w:pPr>
      <w:r>
        <w:rPr>
          <w:lang w:val="pt-BR"/>
        </w:rPr>
        <w:t xml:space="preserve">KÖNIG, Subrata Mitra Lion.</w:t>
      </w:r>
      <w:r>
        <w:rPr>
          <w:lang w:val="pt-BR"/>
        </w:rPr>
        <w:t xml:space="preserve"> </w:t>
      </w:r>
      <w:hyperlink r:id="rId238">
        <w:r>
          <w:rPr>
            <w:rStyle w:val="Hyperlink"/>
            <w:lang w:val="pt-BR"/>
          </w:rPr>
          <w:t xml:space="preserve">Icon-ising national identity: France and India in comparative perspective</w:t>
        </w:r>
      </w:hyperlink>
      <w:r>
        <w:rPr>
          <w:lang w:val="pt-BR"/>
        </w:rPr>
        <w:t xml:space="preserve">.</w:t>
      </w:r>
      <w:r>
        <w:rPr>
          <w:lang w:val="pt-BR"/>
        </w:rPr>
        <w:t xml:space="preserve"> </w:t>
      </w:r>
      <w:r>
        <w:rPr>
          <w:b/>
          <w:bCs/>
          <w:lang w:val="pt-BR"/>
        </w:rPr>
        <w:t xml:space="preserve">National Identities</w:t>
      </w:r>
      <w:r>
        <w:rPr>
          <w:lang w:val="pt-BR"/>
        </w:rPr>
        <w:t xml:space="preserve">, 2013.</w:t>
      </w:r>
    </w:p>
    <w:bookmarkEnd w:id="239"/>
    <w:bookmarkStart w:id="240" w:name="ref-laboriacuboniks2018"/>
    <w:p>
      <w:pPr>
        <w:pStyle w:val="Bibliography"/>
      </w:pPr>
      <w:r>
        <w:rPr>
          <w:lang w:val="pt-BR"/>
        </w:rPr>
        <w:t xml:space="preserve">LABORIA CUBONIKS.</w:t>
      </w:r>
      <w:r>
        <w:rPr>
          <w:lang w:val="pt-BR"/>
        </w:rPr>
        <w:t xml:space="preserve"> </w:t>
      </w:r>
      <w:r>
        <w:rPr>
          <w:b/>
          <w:bCs/>
          <w:lang w:val="pt-BR"/>
        </w:rPr>
        <w:t xml:space="preserve">The Xenofeminist Manifesto: A Politics for Alienation</w:t>
      </w:r>
      <w:r>
        <w:rPr>
          <w:lang w:val="pt-BR"/>
        </w:rPr>
        <w:t xml:space="preserve">. London: Verso, 2018.</w:t>
      </w:r>
    </w:p>
    <w:bookmarkEnd w:id="240"/>
    <w:bookmarkStart w:id="241" w:name="ref-landes2001"/>
    <w:p>
      <w:pPr>
        <w:pStyle w:val="Bibliography"/>
      </w:pPr>
      <w:r>
        <w:rPr>
          <w:lang w:val="pt-BR"/>
        </w:rPr>
        <w:t xml:space="preserve">LANDES, Joan B.</w:t>
      </w:r>
      <w:r>
        <w:rPr>
          <w:lang w:val="pt-BR"/>
        </w:rPr>
        <w:t xml:space="preserve"> </w:t>
      </w:r>
      <w:r>
        <w:rPr>
          <w:b/>
          <w:bCs/>
          <w:lang w:val="pt-BR"/>
        </w:rPr>
        <w:t xml:space="preserve">Visualizing the Nation: Gender, Representation, and Revolution in Eighteenth-Century France</w:t>
      </w:r>
      <w:r>
        <w:rPr>
          <w:lang w:val="pt-BR"/>
        </w:rPr>
        <w:t xml:space="preserve">. Ithaca: Cornell University Press, 2001.</w:t>
      </w:r>
    </w:p>
    <w:bookmarkEnd w:id="241"/>
    <w:bookmarkStart w:id="242" w:name="ref-latour1991"/>
    <w:p>
      <w:pPr>
        <w:pStyle w:val="Bibliography"/>
      </w:pPr>
      <w:r>
        <w:rPr>
          <w:lang w:val="pt-BR"/>
        </w:rPr>
        <w:t xml:space="preserve">LATOUR, Bruno.</w:t>
      </w:r>
      <w:r>
        <w:rPr>
          <w:lang w:val="pt-BR"/>
        </w:rPr>
        <w:t xml:space="preserve"> </w:t>
      </w:r>
      <w:r>
        <w:rPr>
          <w:b/>
          <w:bCs/>
          <w:lang w:val="pt-BR"/>
        </w:rPr>
        <w:t xml:space="preserve">Nous n’avons jamais été modernes: essai d’anthropologie symétrique</w:t>
      </w:r>
      <w:r>
        <w:rPr>
          <w:lang w:val="pt-BR"/>
        </w:rPr>
        <w:t xml:space="preserve">. Paris: La Découverte, 1991.</w:t>
      </w:r>
    </w:p>
    <w:bookmarkEnd w:id="242"/>
    <w:bookmarkStart w:id="243" w:name="ref-latour1994"/>
    <w:p>
      <w:pPr>
        <w:pStyle w:val="Bibliography"/>
      </w:pPr>
      <w:r>
        <w:rPr>
          <w:lang w:val="pt-BR"/>
        </w:rPr>
        <w:t xml:space="preserve">LATOUR, Bruno.</w:t>
      </w:r>
      <w:r>
        <w:rPr>
          <w:lang w:val="pt-BR"/>
        </w:rPr>
        <w:t xml:space="preserve"> </w:t>
      </w:r>
      <w:r>
        <w:rPr>
          <w:b/>
          <w:bCs/>
          <w:lang w:val="pt-BR"/>
        </w:rPr>
        <w:t xml:space="preserve">Jamais Fomos Modernos: ensaio de antropologia simétrica</w:t>
      </w:r>
      <w:r>
        <w:rPr>
          <w:lang w:val="pt-BR"/>
        </w:rPr>
        <w:t xml:space="preserve">. Tradução: Carlos Irineu da Costa. Rio de Janeiro: Editora 34, 1994.</w:t>
      </w:r>
    </w:p>
    <w:bookmarkEnd w:id="243"/>
    <w:bookmarkStart w:id="244" w:name="ref-legendre1974"/>
    <w:p>
      <w:pPr>
        <w:pStyle w:val="Bibliography"/>
      </w:pPr>
      <w:r>
        <w:rPr>
          <w:lang w:val="pt-BR"/>
        </w:rPr>
        <w:t xml:space="preserve">LEGENDRE, Pierre.</w:t>
      </w:r>
      <w:r>
        <w:rPr>
          <w:lang w:val="pt-BR"/>
        </w:rPr>
        <w:t xml:space="preserve"> </w:t>
      </w:r>
      <w:r>
        <w:rPr>
          <w:b/>
          <w:bCs/>
          <w:lang w:val="pt-BR"/>
        </w:rPr>
        <w:t xml:space="preserve">L’Amour du censeur: essai sur l’ordre dogmatique</w:t>
      </w:r>
      <w:r>
        <w:rPr>
          <w:lang w:val="pt-BR"/>
        </w:rPr>
        <w:t xml:space="preserve">. Paris: Seuil, 1974.</w:t>
      </w:r>
    </w:p>
    <w:bookmarkEnd w:id="244"/>
    <w:bookmarkStart w:id="245" w:name="ref-legendre1994"/>
    <w:p>
      <w:pPr>
        <w:pStyle w:val="Bibliography"/>
      </w:pPr>
      <w:r>
        <w:rPr>
          <w:lang w:val="pt-BR"/>
        </w:rPr>
        <w:t xml:space="preserve">LEGENDRE, Pierre.</w:t>
      </w:r>
      <w:r>
        <w:rPr>
          <w:lang w:val="pt-BR"/>
        </w:rPr>
        <w:t xml:space="preserve"> </w:t>
      </w:r>
      <w:r>
        <w:rPr>
          <w:b/>
          <w:bCs/>
          <w:lang w:val="pt-BR"/>
        </w:rPr>
        <w:t xml:space="preserve">Dieu au miroir: étude sur l’institution des images</w:t>
      </w:r>
      <w:r>
        <w:rPr>
          <w:lang w:val="pt-BR"/>
        </w:rPr>
        <w:t xml:space="preserve">. Paris: Fayard, 1994.</w:t>
      </w:r>
    </w:p>
    <w:bookmarkEnd w:id="245"/>
    <w:bookmarkStart w:id="246" w:name="ref-limajunior2020"/>
    <w:p>
      <w:pPr>
        <w:pStyle w:val="Bibliography"/>
      </w:pPr>
      <w:r>
        <w:rPr>
          <w:lang w:val="pt-BR"/>
        </w:rPr>
        <w:t xml:space="preserve">LIMA JUNIOR, Carlos Rogério.</w:t>
      </w:r>
      <w:r>
        <w:rPr>
          <w:lang w:val="pt-BR"/>
        </w:rPr>
        <w:t xml:space="preserve"> </w:t>
      </w:r>
      <w:r>
        <w:rPr>
          <w:b/>
          <w:bCs/>
          <w:lang w:val="pt-BR"/>
        </w:rPr>
        <w:t xml:space="preserve">Marianne à brasileira: imagens republicanas e os dilemas do passado imperial</w:t>
      </w:r>
      <w:r>
        <w:rPr>
          <w:lang w:val="pt-BR"/>
        </w:rPr>
        <w:t xml:space="preserve">. tese de doutorado—São Paulo: Universidade de São Paulo, 2020.</w:t>
      </w:r>
    </w:p>
    <w:bookmarkEnd w:id="246"/>
    <w:bookmarkStart w:id="247" w:name="ref-manderson2018"/>
    <w:p>
      <w:pPr>
        <w:pStyle w:val="Bibliography"/>
      </w:pPr>
      <w:r>
        <w:rPr>
          <w:lang w:val="pt-BR"/>
        </w:rPr>
        <w:t xml:space="preserve">MANDERSON, Desmond (ORG.).</w:t>
      </w:r>
      <w:r>
        <w:rPr>
          <w:lang w:val="pt-BR"/>
        </w:rPr>
        <w:t xml:space="preserve"> </w:t>
      </w:r>
      <w:r>
        <w:rPr>
          <w:b/>
          <w:bCs/>
          <w:lang w:val="pt-BR"/>
        </w:rPr>
        <w:t xml:space="preserve">Law and the Visual: Representations, Jurisprudences, and Aesthetics</w:t>
      </w:r>
      <w:r>
        <w:rPr>
          <w:lang w:val="pt-BR"/>
        </w:rPr>
        <w:t xml:space="preserve">. Toronto: University of Toronto Press, 2018.</w:t>
      </w:r>
    </w:p>
    <w:bookmarkEnd w:id="247"/>
    <w:bookmarkStart w:id="249" w:name="ref-martinho2008"/>
    <w:p>
      <w:pPr>
        <w:pStyle w:val="Bibliography"/>
      </w:pPr>
      <w:r>
        <w:rPr>
          <w:lang w:val="pt-BR"/>
        </w:rPr>
        <w:t xml:space="preserve">MARTINHO, Marcos.</w:t>
      </w:r>
      <w:r>
        <w:rPr>
          <w:lang w:val="pt-BR"/>
        </w:rPr>
        <w:t xml:space="preserve"> </w:t>
      </w:r>
      <w:hyperlink r:id="rId248">
        <w:r>
          <w:rPr>
            <w:rStyle w:val="Hyperlink"/>
            <w:lang w:val="pt-BR"/>
          </w:rPr>
          <w:t xml:space="preserve">A definição de alegoria segundo os gramáticos e rétores gregos e latinos</w:t>
        </w:r>
      </w:hyperlink>
      <w:r>
        <w:rPr>
          <w:lang w:val="pt-BR"/>
        </w:rPr>
        <w:t xml:space="preserve">.</w:t>
      </w:r>
      <w:r>
        <w:rPr>
          <w:lang w:val="pt-BR"/>
        </w:rPr>
        <w:t xml:space="preserve"> </w:t>
      </w:r>
      <w:r>
        <w:rPr>
          <w:b/>
          <w:bCs/>
          <w:lang w:val="pt-BR"/>
        </w:rPr>
        <w:t xml:space="preserve">Classica: Revista Brasileira de Estudos Clássicos</w:t>
      </w:r>
      <w:r>
        <w:rPr>
          <w:lang w:val="pt-BR"/>
        </w:rPr>
        <w:t xml:space="preserve">, v. 21, n. 2, p. 252–264, 2008.</w:t>
      </w:r>
    </w:p>
    <w:bookmarkEnd w:id="249"/>
    <w:bookmarkStart w:id="250" w:name="ref-mazon2000"/>
    <w:p>
      <w:pPr>
        <w:pStyle w:val="Bibliography"/>
      </w:pPr>
      <w:r>
        <w:rPr>
          <w:lang w:val="pt-BR"/>
        </w:rPr>
        <w:t xml:space="preserve">MAZÓN, Patricia M. Germania Triumphant: The Niederwald National Monument and the Liberal Moment in Imperial Germany.</w:t>
      </w:r>
      <w:r>
        <w:rPr>
          <w:lang w:val="pt-BR"/>
        </w:rPr>
        <w:t xml:space="preserve"> </w:t>
      </w:r>
      <w:r>
        <w:rPr>
          <w:b/>
          <w:bCs/>
          <w:lang w:val="pt-BR"/>
        </w:rPr>
        <w:t xml:space="preserve">German History</w:t>
      </w:r>
      <w:r>
        <w:rPr>
          <w:lang w:val="pt-BR"/>
        </w:rPr>
        <w:t xml:space="preserve">, v. 18, n. 2, p. 162–192, 2000.</w:t>
      </w:r>
    </w:p>
    <w:bookmarkEnd w:id="250"/>
    <w:bookmarkStart w:id="252" w:name="ref-millat2003"/>
    <w:p>
      <w:pPr>
        <w:pStyle w:val="Bibliography"/>
      </w:pPr>
      <w:r>
        <w:rPr>
          <w:lang w:val="pt-BR"/>
        </w:rPr>
        <w:t xml:space="preserve">MILLAT, Gilbert.</w:t>
      </w:r>
      <w:r>
        <w:rPr>
          <w:lang w:val="pt-BR"/>
        </w:rPr>
        <w:t xml:space="preserve"> </w:t>
      </w:r>
      <w:hyperlink r:id="rId251">
        <w:r>
          <w:rPr>
            <w:rStyle w:val="Hyperlink"/>
            <w:lang w:val="pt-BR"/>
          </w:rPr>
          <w:t xml:space="preserve">Britannia: grandeur et infortune d’une allégorie nationale dans l’univers du cartoon britannique 1842–1999</w:t>
        </w:r>
      </w:hyperlink>
      <w:r>
        <w:rPr>
          <w:lang w:val="pt-BR"/>
        </w:rPr>
        <w:t xml:space="preserve">.</w:t>
      </w:r>
      <w:r>
        <w:rPr>
          <w:lang w:val="pt-BR"/>
        </w:rPr>
        <w:t xml:space="preserve"> </w:t>
      </w:r>
      <w:r>
        <w:rPr>
          <w:b/>
          <w:bCs/>
          <w:lang w:val="pt-BR"/>
        </w:rPr>
        <w:t xml:space="preserve">LISA / LISA e-journal</w:t>
      </w:r>
      <w:r>
        <w:rPr>
          <w:lang w:val="pt-BR"/>
        </w:rPr>
        <w:t xml:space="preserve">, 2003.</w:t>
      </w:r>
    </w:p>
    <w:bookmarkEnd w:id="252"/>
    <w:bookmarkStart w:id="253" w:name="ref-mirzoeff1999"/>
    <w:p>
      <w:pPr>
        <w:pStyle w:val="Bibliography"/>
      </w:pPr>
      <w:r>
        <w:rPr>
          <w:lang w:val="pt-BR"/>
        </w:rPr>
        <w:t xml:space="preserve">MIRZOEFF, Nicholas.</w:t>
      </w:r>
      <w:r>
        <w:rPr>
          <w:lang w:val="pt-BR"/>
        </w:rPr>
        <w:t xml:space="preserve"> </w:t>
      </w:r>
      <w:r>
        <w:rPr>
          <w:b/>
          <w:bCs/>
          <w:lang w:val="pt-BR"/>
        </w:rPr>
        <w:t xml:space="preserve">An Introduction to Visual Culture</w:t>
      </w:r>
      <w:r>
        <w:rPr>
          <w:lang w:val="pt-BR"/>
        </w:rPr>
        <w:t xml:space="preserve">. London: Routledge, 1999.</w:t>
      </w:r>
    </w:p>
    <w:bookmarkEnd w:id="253"/>
    <w:bookmarkStart w:id="254" w:name="ref-mitchell1994"/>
    <w:p>
      <w:pPr>
        <w:pStyle w:val="Bibliography"/>
      </w:pPr>
      <w:r>
        <w:rPr>
          <w:lang w:val="pt-BR"/>
        </w:rPr>
        <w:t xml:space="preserve">MITCHELL, W. J. T.</w:t>
      </w:r>
      <w:r>
        <w:rPr>
          <w:lang w:val="pt-BR"/>
        </w:rPr>
        <w:t xml:space="preserve"> </w:t>
      </w:r>
      <w:r>
        <w:rPr>
          <w:b/>
          <w:bCs/>
          <w:lang w:val="pt-BR"/>
        </w:rPr>
        <w:t xml:space="preserve">Picture Theory: Essays on Verbal and Visual Representation</w:t>
      </w:r>
      <w:r>
        <w:rPr>
          <w:lang w:val="pt-BR"/>
        </w:rPr>
        <w:t xml:space="preserve">. Chicago: University of Chicago Press, 1994.</w:t>
      </w:r>
    </w:p>
    <w:bookmarkEnd w:id="254"/>
    <w:bookmarkStart w:id="255" w:name="ref-mnookin1998"/>
    <w:p>
      <w:pPr>
        <w:pStyle w:val="Bibliography"/>
      </w:pPr>
      <w:r>
        <w:rPr>
          <w:lang w:val="pt-BR"/>
        </w:rPr>
        <w:t xml:space="preserve">MNOOKIN, Jennifer L. The Image of Truth: Photographic Evidence and the Power of Analogy.</w:t>
      </w:r>
      <w:r>
        <w:rPr>
          <w:lang w:val="pt-BR"/>
        </w:rPr>
        <w:t xml:space="preserve"> </w:t>
      </w:r>
      <w:r>
        <w:rPr>
          <w:b/>
          <w:bCs/>
          <w:lang w:val="pt-BR"/>
        </w:rPr>
        <w:t xml:space="preserve">Yale Journal of Law &amp; the Humanities</w:t>
      </w:r>
      <w:r>
        <w:rPr>
          <w:lang w:val="pt-BR"/>
        </w:rPr>
        <w:t xml:space="preserve">, v. 10, n. 1, 1998.</w:t>
      </w:r>
    </w:p>
    <w:bookmarkEnd w:id="255"/>
    <w:bookmarkStart w:id="256" w:name="ref-mondzain2002"/>
    <w:p>
      <w:pPr>
        <w:pStyle w:val="Bibliography"/>
      </w:pPr>
      <w:r>
        <w:rPr>
          <w:lang w:val="pt-BR"/>
        </w:rPr>
        <w:t xml:space="preserve">MONDZAIN, Marie-José.</w:t>
      </w:r>
      <w:r>
        <w:rPr>
          <w:lang w:val="pt-BR"/>
        </w:rPr>
        <w:t xml:space="preserve"> </w:t>
      </w:r>
      <w:r>
        <w:rPr>
          <w:b/>
          <w:bCs/>
          <w:lang w:val="pt-BR"/>
        </w:rPr>
        <w:t xml:space="preserve">Image, icône, économie: les sources byzantines de l’imaginaire contemporain</w:t>
      </w:r>
      <w:r>
        <w:rPr>
          <w:lang w:val="pt-BR"/>
        </w:rPr>
        <w:t xml:space="preserve">. Paris: Seuil, 2002.</w:t>
      </w:r>
    </w:p>
    <w:bookmarkEnd w:id="256"/>
    <w:bookmarkStart w:id="257" w:name="ref-mondzain2017"/>
    <w:p>
      <w:pPr>
        <w:pStyle w:val="Bibliography"/>
      </w:pPr>
      <w:r>
        <w:rPr>
          <w:lang w:val="pt-BR"/>
        </w:rPr>
        <w:t xml:space="preserve">MONDZAIN, Marie-José.</w:t>
      </w:r>
      <w:r>
        <w:rPr>
          <w:lang w:val="pt-BR"/>
        </w:rPr>
        <w:t xml:space="preserve"> </w:t>
      </w:r>
      <w:r>
        <w:rPr>
          <w:b/>
          <w:bCs/>
          <w:lang w:val="pt-BR"/>
        </w:rPr>
        <w:t xml:space="preserve">Confiscation: des mots, des images et du temps</w:t>
      </w:r>
      <w:r>
        <w:rPr>
          <w:lang w:val="pt-BR"/>
        </w:rPr>
        <w:t xml:space="preserve">. Paris: Les liens qui libèrent, 2017.</w:t>
      </w:r>
    </w:p>
    <w:bookmarkEnd w:id="257"/>
    <w:bookmarkStart w:id="259" w:name="ref-anon2023"/>
    <w:p>
      <w:pPr>
        <w:pStyle w:val="Bibliography"/>
      </w:pPr>
      <w:r>
        <w:rPr>
          <w:lang w:val="pt-BR"/>
        </w:rPr>
        <w:t xml:space="preserve">N.], [s.</w:t>
      </w:r>
      <w:r>
        <w:rPr>
          <w:lang w:val="pt-BR"/>
        </w:rPr>
        <w:t xml:space="preserve"> </w:t>
      </w:r>
      <w:hyperlink r:id="rId258">
        <w:r>
          <w:rPr>
            <w:rStyle w:val="Hyperlink"/>
            <w:b/>
            <w:bCs/>
            <w:lang w:val="pt-BR"/>
          </w:rPr>
          <w:t xml:space="preserve">Actas de las Jornadas de Historia sobre el Descubrimiento de América. Tomo V: Jornadas XV, XVI, XVII y XVIII (2019, 2020, 2021 y 2022)</w:t>
        </w:r>
      </w:hyperlink>
      <w:r>
        <w:rPr>
          <w:lang w:val="pt-BR"/>
        </w:rPr>
        <w:t xml:space="preserve">., 2023.</w:t>
      </w:r>
    </w:p>
    <w:bookmarkEnd w:id="259"/>
    <w:bookmarkStart w:id="261" w:name="ref-nascimento2022"/>
    <w:p>
      <w:pPr>
        <w:pStyle w:val="Bibliography"/>
      </w:pPr>
      <w:r>
        <w:rPr>
          <w:lang w:val="pt-BR"/>
        </w:rPr>
        <w:t xml:space="preserve">NASCIMENTO, Francisco de Assis de Sousa; BATISTA, Joel Marcos Brasil de Sousa.</w:t>
      </w:r>
      <w:r>
        <w:rPr>
          <w:lang w:val="pt-BR"/>
        </w:rPr>
        <w:t xml:space="preserve"> </w:t>
      </w:r>
      <w:hyperlink r:id="rId260">
        <w:r>
          <w:rPr>
            <w:rStyle w:val="Hyperlink"/>
            <w:lang w:val="pt-BR"/>
          </w:rPr>
          <w:t xml:space="preserve">Entre Marianne e Clotilde: a representação feminina nas representações da República brasileira (1889–1896)</w:t>
        </w:r>
      </w:hyperlink>
      <w:r>
        <w:rPr>
          <w:lang w:val="pt-BR"/>
        </w:rPr>
        <w:t xml:space="preserve">.</w:t>
      </w:r>
      <w:r>
        <w:rPr>
          <w:lang w:val="pt-BR"/>
        </w:rPr>
        <w:t xml:space="preserve"> </w:t>
      </w:r>
      <w:r>
        <w:rPr>
          <w:b/>
          <w:bCs/>
          <w:lang w:val="pt-BR"/>
        </w:rPr>
        <w:t xml:space="preserve">Revista de Estudos de Cultura</w:t>
      </w:r>
      <w:r>
        <w:rPr>
          <w:lang w:val="pt-BR"/>
        </w:rPr>
        <w:t xml:space="preserve">, v. 8, n. 21, p. 85–97, 2022.</w:t>
      </w:r>
    </w:p>
    <w:bookmarkEnd w:id="261"/>
    <w:bookmarkStart w:id="262" w:name="ref-nussbaum1995"/>
    <w:p>
      <w:pPr>
        <w:pStyle w:val="Bibliography"/>
      </w:pPr>
      <w:r>
        <w:rPr>
          <w:lang w:val="pt-BR"/>
        </w:rPr>
        <w:t xml:space="preserve">NUSSBAUM, Martha C.</w:t>
      </w:r>
      <w:r>
        <w:rPr>
          <w:lang w:val="pt-BR"/>
        </w:rPr>
        <w:t xml:space="preserve"> </w:t>
      </w:r>
      <w:r>
        <w:rPr>
          <w:b/>
          <w:bCs/>
          <w:lang w:val="pt-BR"/>
        </w:rPr>
        <w:t xml:space="preserve">Poetic Justice: The Literary Imagination and Public Life</w:t>
      </w:r>
      <w:r>
        <w:rPr>
          <w:lang w:val="pt-BR"/>
        </w:rPr>
        <w:t xml:space="preserve">. Boston: Beacon Press, 1995.</w:t>
      </w:r>
    </w:p>
    <w:bookmarkEnd w:id="262"/>
    <w:bookmarkStart w:id="263" w:name="ref-olivecrona2005"/>
    <w:p>
      <w:pPr>
        <w:pStyle w:val="Bibliography"/>
      </w:pPr>
      <w:r>
        <w:rPr>
          <w:lang w:val="pt-BR"/>
        </w:rPr>
        <w:t xml:space="preserve">OLIVECRONA, Karl.</w:t>
      </w:r>
      <w:r>
        <w:rPr>
          <w:lang w:val="pt-BR"/>
        </w:rPr>
        <w:t xml:space="preserve"> </w:t>
      </w:r>
      <w:r>
        <w:rPr>
          <w:b/>
          <w:bCs/>
          <w:lang w:val="pt-BR"/>
        </w:rPr>
        <w:t xml:space="preserve">Linguagem jurídica e realidade</w:t>
      </w:r>
      <w:r>
        <w:rPr>
          <w:lang w:val="pt-BR"/>
        </w:rPr>
        <w:t xml:space="preserve">. São Paulo: Quartier Latin, 2005.</w:t>
      </w:r>
    </w:p>
    <w:bookmarkEnd w:id="263"/>
    <w:bookmarkStart w:id="265" w:name="ref-oliveira2020"/>
    <w:p>
      <w:pPr>
        <w:pStyle w:val="Bibliography"/>
      </w:pPr>
      <w:r>
        <w:rPr>
          <w:lang w:val="pt-BR"/>
        </w:rPr>
        <w:t xml:space="preserve">OLIVEIRA, Ana.</w:t>
      </w:r>
      <w:r>
        <w:rPr>
          <w:lang w:val="pt-BR"/>
        </w:rPr>
        <w:t xml:space="preserve"> </w:t>
      </w:r>
      <w:hyperlink r:id="rId264">
        <w:r>
          <w:rPr>
            <w:rStyle w:val="Hyperlink"/>
            <w:lang w:val="pt-BR"/>
          </w:rPr>
          <w:t xml:space="preserve">Subject (in) Trouble: Humans, Robots, and Legal Imagination</w:t>
        </w:r>
      </w:hyperlink>
      <w:r>
        <w:rPr>
          <w:lang w:val="pt-BR"/>
        </w:rPr>
        <w:t xml:space="preserve">.</w:t>
      </w:r>
      <w:r>
        <w:rPr>
          <w:lang w:val="pt-BR"/>
        </w:rPr>
        <w:t xml:space="preserve"> </w:t>
      </w:r>
      <w:r>
        <w:rPr>
          <w:b/>
          <w:bCs/>
          <w:lang w:val="pt-BR"/>
        </w:rPr>
        <w:t xml:space="preserve">Laws</w:t>
      </w:r>
      <w:r>
        <w:rPr>
          <w:lang w:val="pt-BR"/>
        </w:rPr>
        <w:t xml:space="preserve">, v. 9, n. 2, p. 10, 2020.</w:t>
      </w:r>
    </w:p>
    <w:bookmarkEnd w:id="265"/>
    <w:bookmarkStart w:id="266" w:name="ref-panofsky1939"/>
    <w:p>
      <w:pPr>
        <w:pStyle w:val="Bibliography"/>
      </w:pPr>
      <w:r>
        <w:rPr>
          <w:lang w:val="pt-BR"/>
        </w:rPr>
        <w:t xml:space="preserve">PANOFSKY, Erwin.</w:t>
      </w:r>
      <w:r>
        <w:rPr>
          <w:lang w:val="pt-BR"/>
        </w:rPr>
        <w:t xml:space="preserve"> </w:t>
      </w:r>
      <w:r>
        <w:rPr>
          <w:b/>
          <w:bCs/>
          <w:lang w:val="pt-BR"/>
        </w:rPr>
        <w:t xml:space="preserve">Studies in Iconology: Humanistic Themes in the Art of the Renaissance</w:t>
      </w:r>
      <w:r>
        <w:rPr>
          <w:lang w:val="pt-BR"/>
        </w:rPr>
        <w:t xml:space="preserve">. New York: Oxford University Press, 1939.</w:t>
      </w:r>
    </w:p>
    <w:bookmarkEnd w:id="266"/>
    <w:bookmarkStart w:id="267" w:name="ref-panofsky1955"/>
    <w:p>
      <w:pPr>
        <w:pStyle w:val="Bibliography"/>
      </w:pPr>
      <w:r>
        <w:rPr>
          <w:lang w:val="pt-BR"/>
        </w:rPr>
        <w:t xml:space="preserve">PANOFSKY, Erwin.</w:t>
      </w:r>
      <w:r>
        <w:rPr>
          <w:lang w:val="pt-BR"/>
        </w:rPr>
        <w:t xml:space="preserve"> </w:t>
      </w:r>
      <w:r>
        <w:rPr>
          <w:b/>
          <w:bCs/>
          <w:lang w:val="pt-BR"/>
        </w:rPr>
        <w:t xml:space="preserve">Meaning in the Visual Arts</w:t>
      </w:r>
      <w:r>
        <w:rPr>
          <w:lang w:val="pt-BR"/>
        </w:rPr>
        <w:t xml:space="preserve">. Garden City, NY: Doubleday Anchor, 1955.</w:t>
      </w:r>
    </w:p>
    <w:bookmarkEnd w:id="267"/>
    <w:bookmarkStart w:id="268" w:name="ref-pateman1988"/>
    <w:p>
      <w:pPr>
        <w:pStyle w:val="Bibliography"/>
      </w:pPr>
      <w:r>
        <w:rPr>
          <w:lang w:val="pt-BR"/>
        </w:rPr>
        <w:t xml:space="preserve">PATEMAN, Carole.</w:t>
      </w:r>
      <w:r>
        <w:rPr>
          <w:lang w:val="pt-BR"/>
        </w:rPr>
        <w:t xml:space="preserve"> </w:t>
      </w:r>
      <w:r>
        <w:rPr>
          <w:b/>
          <w:bCs/>
          <w:lang w:val="pt-BR"/>
        </w:rPr>
        <w:t xml:space="preserve">The Sexual Contract</w:t>
      </w:r>
      <w:r>
        <w:rPr>
          <w:lang w:val="pt-BR"/>
        </w:rPr>
        <w:t xml:space="preserve">. Stanford: Stanford University Press, 1988.</w:t>
      </w:r>
    </w:p>
    <w:bookmarkEnd w:id="268"/>
    <w:bookmarkStart w:id="269" w:name="ref-pateman1993"/>
    <w:p>
      <w:pPr>
        <w:pStyle w:val="Bibliography"/>
      </w:pPr>
      <w:r>
        <w:rPr>
          <w:lang w:val="pt-BR"/>
        </w:rPr>
        <w:t xml:space="preserve">PATEMAN, Carole.</w:t>
      </w:r>
      <w:r>
        <w:rPr>
          <w:lang w:val="pt-BR"/>
        </w:rPr>
        <w:t xml:space="preserve"> </w:t>
      </w:r>
      <w:r>
        <w:rPr>
          <w:b/>
          <w:bCs/>
          <w:lang w:val="pt-BR"/>
        </w:rPr>
        <w:t xml:space="preserve">O contrato sexual</w:t>
      </w:r>
      <w:r>
        <w:rPr>
          <w:lang w:val="pt-BR"/>
        </w:rPr>
        <w:t xml:space="preserve">. Tradução: Marta Avancini. Rio de Janeiro: Paz e Terra, 1993.</w:t>
      </w:r>
    </w:p>
    <w:bookmarkEnd w:id="269"/>
    <w:bookmarkStart w:id="270" w:name="ref-patemanmills2007"/>
    <w:p>
      <w:pPr>
        <w:pStyle w:val="Bibliography"/>
      </w:pPr>
      <w:r>
        <w:rPr>
          <w:lang w:val="pt-BR"/>
        </w:rPr>
        <w:t xml:space="preserve">PATEMAN, Carole; MILLS, Charles W.</w:t>
      </w:r>
      <w:r>
        <w:rPr>
          <w:lang w:val="pt-BR"/>
        </w:rPr>
        <w:t xml:space="preserve"> </w:t>
      </w:r>
      <w:r>
        <w:rPr>
          <w:b/>
          <w:bCs/>
          <w:lang w:val="pt-BR"/>
        </w:rPr>
        <w:t xml:space="preserve">Contract and Domination</w:t>
      </w:r>
      <w:r>
        <w:rPr>
          <w:lang w:val="pt-BR"/>
        </w:rPr>
        <w:t xml:space="preserve">. Cambridge: Polity Press, 2007.</w:t>
      </w:r>
    </w:p>
    <w:bookmarkEnd w:id="270"/>
    <w:bookmarkStart w:id="272" w:name="ref-renz2023"/>
    <w:p>
      <w:pPr>
        <w:pStyle w:val="Bibliography"/>
      </w:pPr>
      <w:r>
        <w:rPr>
          <w:lang w:val="pt-BR"/>
        </w:rPr>
        <w:t xml:space="preserve">RENZ, Flora.</w:t>
      </w:r>
      <w:r>
        <w:rPr>
          <w:lang w:val="pt-BR"/>
        </w:rPr>
        <w:t xml:space="preserve"> </w:t>
      </w:r>
      <w:hyperlink r:id="rId271">
        <w:r>
          <w:rPr>
            <w:rStyle w:val="Hyperlink"/>
            <w:lang w:val="pt-BR"/>
          </w:rPr>
          <w:t xml:space="preserve">The Boundaries of Legal Personhood: Disability, Gender and the Cyborg</w:t>
        </w:r>
      </w:hyperlink>
      <w:r>
        <w:rPr>
          <w:lang w:val="pt-BR"/>
        </w:rPr>
        <w:t xml:space="preserve">.</w:t>
      </w:r>
      <w:r>
        <w:rPr>
          <w:lang w:val="pt-BR"/>
        </w:rPr>
        <w:t xml:space="preserve"> </w:t>
      </w:r>
      <w:r>
        <w:rPr>
          <w:b/>
          <w:bCs/>
          <w:lang w:val="pt-BR"/>
        </w:rPr>
        <w:t xml:space="preserve">Law and Critique</w:t>
      </w:r>
      <w:r>
        <w:rPr>
          <w:lang w:val="pt-BR"/>
        </w:rPr>
        <w:t xml:space="preserve">, 2023.</w:t>
      </w:r>
    </w:p>
    <w:bookmarkEnd w:id="272"/>
    <w:bookmarkStart w:id="273" w:name="ref-resnikcurtis2011"/>
    <w:p>
      <w:pPr>
        <w:pStyle w:val="Bibliography"/>
      </w:pPr>
      <w:r>
        <w:rPr>
          <w:lang w:val="pt-BR"/>
        </w:rPr>
        <w:t xml:space="preserve">RESNIK, Judith; CURTIS, Dennis E.</w:t>
      </w:r>
      <w:r>
        <w:rPr>
          <w:lang w:val="pt-BR"/>
        </w:rPr>
        <w:t xml:space="preserve"> </w:t>
      </w:r>
      <w:r>
        <w:rPr>
          <w:b/>
          <w:bCs/>
          <w:lang w:val="pt-BR"/>
        </w:rPr>
        <w:t xml:space="preserve">Representing Justice: Invention, Controversy, and Rights in City-States and Democratic Courtrooms</w:t>
      </w:r>
      <w:r>
        <w:rPr>
          <w:lang w:val="pt-BR"/>
        </w:rPr>
        <w:t xml:space="preserve">. New Haven: Yale University Press, 2011.</w:t>
      </w:r>
    </w:p>
    <w:bookmarkEnd w:id="273"/>
    <w:bookmarkStart w:id="274" w:name="ref-rich1980"/>
    <w:p>
      <w:pPr>
        <w:pStyle w:val="Bibliography"/>
      </w:pPr>
      <w:r>
        <w:rPr>
          <w:lang w:val="pt-BR"/>
        </w:rPr>
        <w:t xml:space="preserve">RICH, Adrienne. Compulsory Heterosexuality and Lesbian Existence.</w:t>
      </w:r>
      <w:r>
        <w:rPr>
          <w:lang w:val="pt-BR"/>
        </w:rPr>
        <w:t xml:space="preserve"> </w:t>
      </w:r>
      <w:r>
        <w:rPr>
          <w:b/>
          <w:bCs/>
          <w:lang w:val="pt-BR"/>
        </w:rPr>
        <w:t xml:space="preserve">Signs</w:t>
      </w:r>
      <w:r>
        <w:rPr>
          <w:lang w:val="pt-BR"/>
        </w:rPr>
        <w:t xml:space="preserve">, v. 5, n. 4, p. 631–660, 1980.</w:t>
      </w:r>
    </w:p>
    <w:bookmarkEnd w:id="274"/>
    <w:bookmarkStart w:id="275" w:name="ref-richardson2007"/>
    <w:p>
      <w:pPr>
        <w:pStyle w:val="Bibliography"/>
      </w:pPr>
      <w:r>
        <w:rPr>
          <w:lang w:val="pt-BR"/>
        </w:rPr>
        <w:t xml:space="preserve">RICHARDSON, Janice.</w:t>
      </w:r>
      <w:r>
        <w:rPr>
          <w:lang w:val="pt-BR"/>
        </w:rPr>
        <w:t xml:space="preserve"> </w:t>
      </w:r>
      <w:r>
        <w:rPr>
          <w:b/>
          <w:bCs/>
          <w:lang w:val="pt-BR"/>
        </w:rPr>
        <w:t xml:space="preserve">Selves, Persons, Individuals: Philosophical Perspectives on Women and Legal Obligations</w:t>
      </w:r>
      <w:r>
        <w:rPr>
          <w:lang w:val="pt-BR"/>
        </w:rPr>
        <w:t xml:space="preserve">. Aldershot: Ashgate, 2007.</w:t>
      </w:r>
    </w:p>
    <w:bookmarkEnd w:id="275"/>
    <w:bookmarkStart w:id="276" w:name="ref-richardson2009"/>
    <w:p>
      <w:pPr>
        <w:pStyle w:val="Bibliography"/>
      </w:pPr>
      <w:r>
        <w:rPr>
          <w:lang w:val="pt-BR"/>
        </w:rPr>
        <w:t xml:space="preserve">RICHARDSON, Janice.</w:t>
      </w:r>
      <w:r>
        <w:rPr>
          <w:lang w:val="pt-BR"/>
        </w:rPr>
        <w:t xml:space="preserve"> </w:t>
      </w:r>
      <w:r>
        <w:rPr>
          <w:b/>
          <w:bCs/>
          <w:lang w:val="pt-BR"/>
        </w:rPr>
        <w:t xml:space="preserve">The Classic Social Contractarians: Critical Perspectives from Contemporary Feminist Philosophy and Law</w:t>
      </w:r>
      <w:r>
        <w:rPr>
          <w:lang w:val="pt-BR"/>
        </w:rPr>
        <w:t xml:space="preserve">. Farnham: Ashgate, 2009.</w:t>
      </w:r>
    </w:p>
    <w:bookmarkEnd w:id="276"/>
    <w:bookmarkStart w:id="278" w:name="ref-roele2025"/>
    <w:p>
      <w:pPr>
        <w:pStyle w:val="Bibliography"/>
      </w:pPr>
      <w:r>
        <w:rPr>
          <w:lang w:val="pt-BR"/>
        </w:rPr>
        <w:t xml:space="preserve">ROELE, Isobel.</w:t>
      </w:r>
      <w:r>
        <w:rPr>
          <w:lang w:val="pt-BR"/>
        </w:rPr>
        <w:t xml:space="preserve"> </w:t>
      </w:r>
      <w:r>
        <w:rPr>
          <w:b/>
          <w:bCs/>
          <w:lang w:val="pt-BR"/>
        </w:rPr>
        <w:t xml:space="preserve">Encounters with Justice</w:t>
      </w:r>
      <w:r>
        <w:rPr>
          <w:lang w:val="pt-BR"/>
        </w:rPr>
        <w:t xml:space="preserve">. Frontiers of Socio-Legal Studies, Centre for Socio-Legal Studies, University of Oxford, 29 jan. 2025, 2025. Disponível em: &lt;</w:t>
      </w:r>
      <w:hyperlink r:id="rId277">
        <w:r>
          <w:rPr>
            <w:rStyle w:val="Hyperlink"/>
            <w:lang w:val="pt-BR"/>
          </w:rPr>
          <w:t xml:space="preserve">https://frontiers.csls.ox.ac.uk/encounters-with-justice/</w:t>
        </w:r>
      </w:hyperlink>
      <w:r>
        <w:rPr>
          <w:lang w:val="pt-BR"/>
        </w:rPr>
        <w:t xml:space="preserve">&gt;</w:t>
      </w:r>
    </w:p>
    <w:bookmarkEnd w:id="278"/>
    <w:bookmarkStart w:id="279" w:name="ref-ruffinelli2011"/>
    <w:p>
      <w:pPr>
        <w:pStyle w:val="Bibliography"/>
      </w:pPr>
      <w:r>
        <w:rPr>
          <w:lang w:val="pt-BR"/>
        </w:rPr>
        <w:t xml:space="preserve">RUFFINELLI, Jorge; ROCHA, João Cezar de Castro (ORGS.).</w:t>
      </w:r>
      <w:r>
        <w:rPr>
          <w:lang w:val="pt-BR"/>
        </w:rPr>
        <w:t xml:space="preserve"> </w:t>
      </w:r>
      <w:r>
        <w:rPr>
          <w:b/>
          <w:bCs/>
          <w:lang w:val="pt-BR"/>
        </w:rPr>
        <w:t xml:space="preserve">Antropofagia hoje?: Oswald de Andrade em cena</w:t>
      </w:r>
      <w:r>
        <w:rPr>
          <w:lang w:val="pt-BR"/>
        </w:rPr>
        <w:t xml:space="preserve">. São Paulo: E Realizações, 2011.</w:t>
      </w:r>
    </w:p>
    <w:bookmarkEnd w:id="279"/>
    <w:bookmarkStart w:id="280" w:name="ref-russell2020"/>
    <w:p>
      <w:pPr>
        <w:pStyle w:val="Bibliography"/>
      </w:pPr>
      <w:r>
        <w:rPr>
          <w:lang w:val="pt-BR"/>
        </w:rPr>
        <w:t xml:space="preserve">RUSSELL, Legacy.</w:t>
      </w:r>
      <w:r>
        <w:rPr>
          <w:lang w:val="pt-BR"/>
        </w:rPr>
        <w:t xml:space="preserve"> </w:t>
      </w:r>
      <w:r>
        <w:rPr>
          <w:b/>
          <w:bCs/>
          <w:lang w:val="pt-BR"/>
        </w:rPr>
        <w:t xml:space="preserve">Glitch Feminism: A Manifesto</w:t>
      </w:r>
      <w:r>
        <w:rPr>
          <w:lang w:val="pt-BR"/>
        </w:rPr>
        <w:t xml:space="preserve">. Brooklyn: Verso, 2020.</w:t>
      </w:r>
    </w:p>
    <w:bookmarkEnd w:id="280"/>
    <w:bookmarkStart w:id="282" w:name="ref-schor1992"/>
    <w:p>
      <w:pPr>
        <w:pStyle w:val="Bibliography"/>
      </w:pPr>
      <w:r>
        <w:rPr>
          <w:lang w:val="pt-BR"/>
        </w:rPr>
        <w:t xml:space="preserve">SCHOR, Naomi.</w:t>
      </w:r>
      <w:r>
        <w:rPr>
          <w:lang w:val="pt-BR"/>
        </w:rPr>
        <w:t xml:space="preserve"> </w:t>
      </w:r>
      <w:hyperlink r:id="rId281">
        <w:r>
          <w:rPr>
            <w:rStyle w:val="Hyperlink"/>
            <w:b/>
            <w:bCs/>
            <w:lang w:val="pt-BR"/>
          </w:rPr>
          <w:t xml:space="preserve">Triste Amérique: Atala and the Postrevolutionary Construction of Woman</w:t>
        </w:r>
      </w:hyperlink>
      <w:r>
        <w:rPr>
          <w:lang w:val="pt-BR"/>
        </w:rPr>
        <w:t xml:space="preserve">., 1992.</w:t>
      </w:r>
    </w:p>
    <w:bookmarkEnd w:id="282"/>
    <w:bookmarkStart w:id="283" w:name="ref-scott1988"/>
    <w:p>
      <w:pPr>
        <w:pStyle w:val="Bibliography"/>
      </w:pPr>
      <w:r>
        <w:rPr>
          <w:lang w:val="pt-BR"/>
        </w:rPr>
        <w:t xml:space="preserve">SCOTT, Joan Wallach.</w:t>
      </w:r>
      <w:r>
        <w:rPr>
          <w:lang w:val="pt-BR"/>
        </w:rPr>
        <w:t xml:space="preserve"> </w:t>
      </w:r>
      <w:r>
        <w:rPr>
          <w:b/>
          <w:bCs/>
          <w:lang w:val="pt-BR"/>
        </w:rPr>
        <w:t xml:space="preserve">Gender and the Politics of History</w:t>
      </w:r>
      <w:r>
        <w:rPr>
          <w:lang w:val="pt-BR"/>
        </w:rPr>
        <w:t xml:space="preserve">. New York: Columbia University Press, 1988.</w:t>
      </w:r>
    </w:p>
    <w:bookmarkEnd w:id="283"/>
    <w:bookmarkStart w:id="284" w:name="ref-scott1996"/>
    <w:p>
      <w:pPr>
        <w:pStyle w:val="Bibliography"/>
      </w:pPr>
      <w:r>
        <w:rPr>
          <w:lang w:val="pt-BR"/>
        </w:rPr>
        <w:t xml:space="preserve">SCOTT, Joan Wallach.</w:t>
      </w:r>
      <w:r>
        <w:rPr>
          <w:lang w:val="pt-BR"/>
        </w:rPr>
        <w:t xml:space="preserve"> </w:t>
      </w:r>
      <w:r>
        <w:rPr>
          <w:b/>
          <w:bCs/>
          <w:lang w:val="pt-BR"/>
        </w:rPr>
        <w:t xml:space="preserve">Only Paradoxes to Offer: French Feminists and the Rights of Man</w:t>
      </w:r>
      <w:r>
        <w:rPr>
          <w:lang w:val="pt-BR"/>
        </w:rPr>
        <w:t xml:space="preserve">. Cambridge, MA: Harvard University Press, 1996.</w:t>
      </w:r>
    </w:p>
    <w:bookmarkEnd w:id="284"/>
    <w:bookmarkStart w:id="285" w:name="ref-smith2009"/>
    <w:p>
      <w:pPr>
        <w:pStyle w:val="Bibliography"/>
      </w:pPr>
      <w:r>
        <w:rPr>
          <w:lang w:val="pt-BR"/>
        </w:rPr>
        <w:t xml:space="preserve">SMITH, Nicole R.</w:t>
      </w:r>
      <w:r>
        <w:rPr>
          <w:lang w:val="pt-BR"/>
        </w:rPr>
        <w:t xml:space="preserve"> </w:t>
      </w:r>
      <w:r>
        <w:rPr>
          <w:b/>
          <w:bCs/>
          <w:lang w:val="pt-BR"/>
        </w:rPr>
        <w:t xml:space="preserve">Wangechi Mutu: Feminist Collage and the Cyborg</w:t>
      </w:r>
      <w:r>
        <w:rPr>
          <w:lang w:val="pt-BR"/>
        </w:rPr>
        <w:t xml:space="preserve">. mathesis—Atlanta: Georgia State University, 2009.</w:t>
      </w:r>
    </w:p>
    <w:bookmarkEnd w:id="285"/>
    <w:bookmarkStart w:id="286" w:name="ref-batista2022"/>
    <w:p>
      <w:pPr>
        <w:pStyle w:val="Bibliography"/>
      </w:pPr>
      <w:r>
        <w:rPr>
          <w:lang w:val="pt-BR"/>
        </w:rPr>
        <w:t xml:space="preserve">SOUSA NASCIMENTO JOEL MARCOS BRASIL DE SOUSA BATISTA, Francisco De Assis de.</w:t>
      </w:r>
      <w:r>
        <w:rPr>
          <w:lang w:val="pt-BR"/>
        </w:rPr>
        <w:t xml:space="preserve"> </w:t>
      </w:r>
      <w:hyperlink r:id="rId260">
        <w:r>
          <w:rPr>
            <w:rStyle w:val="Hyperlink"/>
            <w:lang w:val="pt-BR"/>
          </w:rPr>
          <w:t xml:space="preserve">Entre marianne e clotilde</w:t>
        </w:r>
      </w:hyperlink>
      <w:r>
        <w:rPr>
          <w:lang w:val="pt-BR"/>
        </w:rPr>
        <w:t xml:space="preserve">.</w:t>
      </w:r>
      <w:r>
        <w:rPr>
          <w:lang w:val="pt-BR"/>
        </w:rPr>
        <w:t xml:space="preserve"> </w:t>
      </w:r>
      <w:r>
        <w:rPr>
          <w:b/>
          <w:bCs/>
          <w:lang w:val="pt-BR"/>
        </w:rPr>
        <w:t xml:space="preserve">Revista de Estudos de Cultura</w:t>
      </w:r>
      <w:r>
        <w:rPr>
          <w:lang w:val="pt-BR"/>
        </w:rPr>
        <w:t xml:space="preserve">, 2022.</w:t>
      </w:r>
    </w:p>
    <w:bookmarkEnd w:id="286"/>
    <w:bookmarkStart w:id="287" w:name="ref-thompson2018"/>
    <w:p>
      <w:pPr>
        <w:pStyle w:val="Bibliography"/>
      </w:pPr>
      <w:r>
        <w:rPr>
          <w:lang w:val="pt-BR"/>
        </w:rPr>
        <w:t xml:space="preserve">THOMPSON, Debra; HAYES, Matthew; NEWMAN, Emily. Intersectional Contract Theory.</w:t>
      </w:r>
      <w:r>
        <w:rPr>
          <w:lang w:val="pt-BR"/>
        </w:rPr>
        <w:t xml:space="preserve"> </w:t>
      </w:r>
      <w:r>
        <w:rPr>
          <w:b/>
          <w:bCs/>
          <w:lang w:val="pt-BR"/>
        </w:rPr>
        <w:t xml:space="preserve">Hypatia</w:t>
      </w:r>
      <w:r>
        <w:rPr>
          <w:lang w:val="pt-BR"/>
        </w:rPr>
        <w:t xml:space="preserve">, 2018.</w:t>
      </w:r>
    </w:p>
    <w:bookmarkEnd w:id="287"/>
    <w:bookmarkStart w:id="289" w:name="ref-viljanen2017"/>
    <w:p>
      <w:pPr>
        <w:pStyle w:val="Bibliography"/>
      </w:pPr>
      <w:r>
        <w:rPr>
          <w:lang w:val="pt-BR"/>
        </w:rPr>
        <w:t xml:space="preserve">VILJANEN, Mika.</w:t>
      </w:r>
      <w:r>
        <w:rPr>
          <w:lang w:val="pt-BR"/>
        </w:rPr>
        <w:t xml:space="preserve"> </w:t>
      </w:r>
      <w:hyperlink r:id="rId288">
        <w:r>
          <w:rPr>
            <w:rStyle w:val="Hyperlink"/>
            <w:lang w:val="pt-BR"/>
          </w:rPr>
          <w:t xml:space="preserve">A Cyborg Turn in Law?</w:t>
        </w:r>
      </w:hyperlink>
      <w:r>
        <w:rPr>
          <w:lang w:val="pt-BR"/>
        </w:rPr>
        <w:t xml:space="preserve"> </w:t>
      </w:r>
      <w:r>
        <w:rPr>
          <w:b/>
          <w:bCs/>
          <w:lang w:val="pt-BR"/>
        </w:rPr>
        <w:t xml:space="preserve">German Law Journal</w:t>
      </w:r>
      <w:r>
        <w:rPr>
          <w:lang w:val="pt-BR"/>
        </w:rPr>
        <w:t xml:space="preserve">, v. 18, n. 5, 2017.</w:t>
      </w:r>
    </w:p>
    <w:bookmarkEnd w:id="289"/>
    <w:bookmarkStart w:id="290" w:name="ref-viveiros2015"/>
    <w:p>
      <w:pPr>
        <w:pStyle w:val="Bibliography"/>
      </w:pPr>
      <w:r>
        <w:rPr>
          <w:lang w:val="pt-BR"/>
        </w:rPr>
        <w:t xml:space="preserve">VIVEIROS DE CASTRO, Eduardo.</w:t>
      </w:r>
      <w:r>
        <w:rPr>
          <w:lang w:val="pt-BR"/>
        </w:rPr>
        <w:t xml:space="preserve"> </w:t>
      </w:r>
      <w:r>
        <w:rPr>
          <w:b/>
          <w:bCs/>
          <w:lang w:val="pt-BR"/>
        </w:rPr>
        <w:t xml:space="preserve">Metafísicas canibais: elementos para uma antropologia pós-estrutural</w:t>
      </w:r>
      <w:r>
        <w:rPr>
          <w:lang w:val="pt-BR"/>
        </w:rPr>
        <w:t xml:space="preserve">. Tradução: Oiara Bonet. São Paulo: Ubu Editora, 2015.</w:t>
      </w:r>
    </w:p>
    <w:bookmarkEnd w:id="290"/>
    <w:bookmarkStart w:id="291" w:name="ref-vandewaal1973"/>
    <w:p>
      <w:pPr>
        <w:pStyle w:val="Bibliography"/>
      </w:pPr>
      <w:r>
        <w:rPr>
          <w:lang w:val="pt-BR"/>
        </w:rPr>
        <w:t xml:space="preserve">WAAL, Henri van de.</w:t>
      </w:r>
      <w:r>
        <w:rPr>
          <w:lang w:val="pt-BR"/>
        </w:rPr>
        <w:t xml:space="preserve"> </w:t>
      </w:r>
      <w:r>
        <w:rPr>
          <w:b/>
          <w:bCs/>
          <w:lang w:val="pt-BR"/>
        </w:rPr>
        <w:t xml:space="preserve">Iconclass: An Iconographic Classification System</w:t>
      </w:r>
      <w:r>
        <w:rPr>
          <w:lang w:val="pt-BR"/>
        </w:rPr>
        <w:t xml:space="preserve">. Amsterdam: North-Holland, 1973.</w:t>
      </w:r>
    </w:p>
    <w:bookmarkEnd w:id="291"/>
    <w:bookmarkStart w:id="292" w:name="ref-vandewaal1985"/>
    <w:p>
      <w:pPr>
        <w:pStyle w:val="Bibliography"/>
      </w:pPr>
      <w:r>
        <w:rPr>
          <w:lang w:val="pt-BR"/>
        </w:rPr>
        <w:t xml:space="preserve">WAAL, Henri van de.</w:t>
      </w:r>
      <w:r>
        <w:rPr>
          <w:lang w:val="pt-BR"/>
        </w:rPr>
        <w:t xml:space="preserve"> </w:t>
      </w:r>
      <w:r>
        <w:rPr>
          <w:b/>
          <w:bCs/>
          <w:lang w:val="pt-BR"/>
        </w:rPr>
        <w:t xml:space="preserve">Iconclass: An Iconographic Classification System</w:t>
      </w:r>
      <w:r>
        <w:rPr>
          <w:lang w:val="pt-BR"/>
        </w:rPr>
        <w:t xml:space="preserve">. Amsterdam: North-Holland, 1985.</w:t>
      </w:r>
    </w:p>
    <w:bookmarkEnd w:id="292"/>
    <w:bookmarkStart w:id="293" w:name="ref-warburg2000"/>
    <w:p>
      <w:pPr>
        <w:pStyle w:val="Bibliography"/>
      </w:pPr>
      <w:r>
        <w:rPr>
          <w:lang w:val="pt-BR"/>
        </w:rPr>
        <w:t xml:space="preserve">WARBURG, Aby.</w:t>
      </w:r>
      <w:r>
        <w:rPr>
          <w:lang w:val="pt-BR"/>
        </w:rPr>
        <w:t xml:space="preserve"> </w:t>
      </w:r>
      <w:r>
        <w:rPr>
          <w:b/>
          <w:bCs/>
          <w:lang w:val="pt-BR"/>
        </w:rPr>
        <w:t xml:space="preserve">Der Bilderatlas Mnemosyne</w:t>
      </w:r>
      <w:r>
        <w:rPr>
          <w:lang w:val="pt-BR"/>
        </w:rPr>
        <w:t xml:space="preserve">. Berlin: Akademie Verlag, 2000.</w:t>
      </w:r>
    </w:p>
    <w:bookmarkEnd w:id="293"/>
    <w:bookmarkStart w:id="294" w:name="ref-warner1985"/>
    <w:p>
      <w:pPr>
        <w:pStyle w:val="Bibliography"/>
      </w:pPr>
      <w:r>
        <w:rPr>
          <w:lang w:val="pt-BR"/>
        </w:rPr>
        <w:t xml:space="preserve">WARNER, Marina.</w:t>
      </w:r>
      <w:r>
        <w:rPr>
          <w:lang w:val="pt-BR"/>
        </w:rPr>
        <w:t xml:space="preserve"> </w:t>
      </w:r>
      <w:r>
        <w:rPr>
          <w:b/>
          <w:bCs/>
          <w:lang w:val="pt-BR"/>
        </w:rPr>
        <w:t xml:space="preserve">Monuments and Maidens: The Allegory of the Female Form</w:t>
      </w:r>
      <w:r>
        <w:rPr>
          <w:lang w:val="pt-BR"/>
        </w:rPr>
        <w:t xml:space="preserve">. London: Weidenfeld &amp; Nicolson, 1985.</w:t>
      </w:r>
    </w:p>
    <w:bookmarkEnd w:id="294"/>
    <w:bookmarkEnd w:id="295"/>
    <w:bookmarkEnd w:id="296"/>
    <w:bookmarkEnd w:id="2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3">
    <w:p>
      <w:pPr>
        <w:pStyle w:val="FootnoteText"/>
      </w:pPr>
      <w:r>
        <w:rPr>
          <w:rStyle w:val="FootnoteReference"/>
        </w:rPr>
        <w:footnoteRef/>
      </w:r>
      <w:r>
        <w:rPr>
          <w:lang w:val="pt-BR"/>
        </w:rPr>
        <w:t xml:space="preserve"> </w:t>
      </w:r>
      <w:r>
        <w:rPr>
          <w:lang w:val="pt-BR"/>
        </w:rPr>
        <w:t xml:space="preserve">Revisão de 2026-07-08: os cinco registros</w:t>
      </w:r>
      <w:r>
        <w:rPr>
          <w:lang w:val="pt-BR"/>
        </w:rPr>
        <w:t xml:space="preserve"> </w:t>
      </w:r>
      <w:r>
        <w:rPr>
          <w:rStyle w:val="VerbatimChar"/>
          <w:lang w:val="pt-BR"/>
        </w:rPr>
        <w:t xml:space="preserve">PENDING_REVIEW</w:t>
      </w:r>
      <w:r>
        <w:rPr>
          <w:lang w:val="pt-BR"/>
        </w:rPr>
        <w:t xml:space="preserve"> </w:t>
      </w:r>
      <w:r>
        <w:rPr>
          <w:lang w:val="pt-BR"/>
        </w:rPr>
        <w:t xml:space="preserve">usados neste</w:t>
      </w:r>
      <w:r>
        <w:rPr>
          <w:lang w:val="pt-BR"/>
        </w:rPr>
        <w:t xml:space="preserve"> </w:t>
      </w:r>
      <w:r>
        <w:rPr>
          <w:lang w:val="pt-BR"/>
        </w:rPr>
        <w:t xml:space="preserve">capítulo (</w:t>
      </w:r>
      <w:r>
        <w:rPr>
          <w:rStyle w:val="VerbatimChar"/>
          <w:lang w:val="pt-BR"/>
        </w:rPr>
        <w:t xml:space="preserve">4e0ca57a</w:t>
      </w:r>
      <w:r>
        <w:rPr>
          <w:lang w:val="pt-BR"/>
        </w:rPr>
        <w:t xml:space="preserve">/FR-SEM-SELO-1903,</w:t>
      </w:r>
      <w:r>
        <w:rPr>
          <w:lang w:val="pt-BR"/>
        </w:rPr>
        <w:t xml:space="preserve"> </w:t>
      </w:r>
      <w:r>
        <w:rPr>
          <w:rStyle w:val="VerbatimChar"/>
          <w:lang w:val="pt-BR"/>
        </w:rPr>
        <w:t xml:space="preserve">34be13f9</w:t>
      </w:r>
      <w:r>
        <w:rPr>
          <w:lang w:val="pt-BR"/>
        </w:rPr>
        <w:t xml:space="preserve">/FR-PIAST-1885,</w:t>
      </w:r>
      <w:r>
        <w:rPr>
          <w:lang w:val="pt-BR"/>
        </w:rPr>
        <w:t xml:space="preserve"> </w:t>
      </w:r>
      <w:r>
        <w:rPr>
          <w:rStyle w:val="VerbatimChar"/>
          <w:lang w:val="pt-BR"/>
        </w:rPr>
        <w:t xml:space="preserve">097d7804</w:t>
      </w:r>
      <w:r>
        <w:rPr>
          <w:lang w:val="pt-BR"/>
        </w:rPr>
        <w:t xml:space="preserve">/UK-PENNY-1860,</w:t>
      </w:r>
      <w:r>
        <w:rPr>
          <w:lang w:val="pt-BR"/>
        </w:rPr>
        <w:t xml:space="preserve"> </w:t>
      </w:r>
      <w:r>
        <w:rPr>
          <w:rStyle w:val="VerbatimChar"/>
          <w:lang w:val="pt-BR"/>
        </w:rPr>
        <w:t xml:space="preserve">38461286</w:t>
      </w:r>
      <w:r>
        <w:rPr>
          <w:lang w:val="pt-BR"/>
        </w:rPr>
        <w:t xml:space="preserve">/UK-TRADE-1895 e</w:t>
      </w:r>
      <w:r>
        <w:rPr>
          <w:lang w:val="pt-BR"/>
        </w:rPr>
        <w:t xml:space="preserve"> </w:t>
      </w:r>
      <w:r>
        <w:rPr>
          <w:rStyle w:val="VerbatimChar"/>
          <w:lang w:val="pt-BR"/>
        </w:rPr>
        <w:t xml:space="preserve">47e90ddf</w:t>
      </w:r>
      <w:r>
        <w:rPr>
          <w:lang w:val="pt-BR"/>
        </w:rPr>
        <w:t xml:space="preserve">/BE-IND-1880) foram reconferidos em</w:t>
      </w:r>
      <w:r>
        <w:rPr>
          <w:lang w:val="pt-BR"/>
        </w:rPr>
        <w:t xml:space="preserve"> </w:t>
      </w:r>
      <w:r>
        <w:rPr>
          <w:rStyle w:val="VerbatimChar"/>
          <w:lang w:val="pt-BR"/>
        </w:rPr>
        <w:t xml:space="preserve">data/processed/records.jsonl</w:t>
      </w:r>
      <w:r>
        <w:rPr>
          <w:lang w:val="pt-BR"/>
        </w:rPr>
        <w:t xml:space="preserve"> </w:t>
      </w:r>
      <w:r>
        <w:rPr>
          <w:lang w:val="pt-BR"/>
        </w:rPr>
        <w:t xml:space="preserve">e nas notas correspondentes de</w:t>
      </w:r>
      <w:r>
        <w:rPr>
          <w:lang w:val="pt-BR"/>
        </w:rPr>
        <w:t xml:space="preserve"> </w:t>
      </w:r>
      <w:r>
        <w:rPr>
          <w:rStyle w:val="VerbatimChar"/>
          <w:lang w:val="pt-BR"/>
        </w:rPr>
        <w:t xml:space="preserve">vault/candidatos/</w:t>
      </w:r>
      <w:r>
        <w:rPr>
          <w:lang w:val="pt-BR"/>
        </w:rPr>
        <w:t xml:space="preserve">: há título,</w:t>
      </w:r>
      <w:r>
        <w:rPr>
          <w:lang w:val="pt-BR"/>
        </w:rPr>
        <w:t xml:space="preserve"> </w:t>
      </w:r>
      <w:r>
        <w:rPr>
          <w:lang w:val="pt-BR"/>
        </w:rPr>
        <w:t xml:space="preserve">suporte, motivo, data, URL e citação ABNT rastreáveis. Os campos de endurecimento continuam marcados</w:t>
      </w:r>
      <w:r>
        <w:rPr>
          <w:lang w:val="pt-BR"/>
        </w:rPr>
        <w:t xml:space="preserve"> </w:t>
      </w:r>
      <w:r>
        <w:rPr>
          <w:lang w:val="pt-BR"/>
        </w:rPr>
        <w:t xml:space="preserve">como</w:t>
      </w:r>
      <w:r>
        <w:rPr>
          <w:lang w:val="pt-BR"/>
        </w:rPr>
        <w:t xml:space="preserve"> </w:t>
      </w:r>
      <w:r>
        <w:rPr>
          <w:rStyle w:val="VerbatimChar"/>
          <w:lang w:val="pt-BR"/>
        </w:rPr>
        <w:t xml:space="preserve">PENDING_REVIEW</w:t>
      </w:r>
      <w:r>
        <w:rPr>
          <w:lang w:val="pt-BR"/>
        </w:rPr>
        <w:t xml:space="preserve"> </w:t>
      </w:r>
      <w:r>
        <w:rPr>
          <w:lang w:val="pt-BR"/>
        </w:rPr>
        <w:t xml:space="preserve">e, portanto, não são usados como codificação validada para release ou</w:t>
      </w:r>
      <w:r>
        <w:rPr>
          <w:lang w:val="pt-BR"/>
        </w:rPr>
        <w:t xml:space="preserve"> </w:t>
      </w:r>
      <w:r>
        <w:rPr>
          <w:lang w:val="pt-BR"/>
        </w:rPr>
        <w:t xml:space="preserve">qualificação.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1" Target="https://doi.org/10.1007/s10978-023-09350-9" TargetMode="External" /><Relationship Type="http://schemas.openxmlformats.org/officeDocument/2006/relationships/hyperlink" Id="rId288" Target="https://doi.org/10.1017/S2071832200022331" TargetMode="External" /><Relationship Type="http://schemas.openxmlformats.org/officeDocument/2006/relationships/hyperlink" Id="rId197" Target="https://doi.org/10.1057/9781137436436_10" TargetMode="External" /><Relationship Type="http://schemas.openxmlformats.org/officeDocument/2006/relationships/hyperlink" Id="rId238" Target="https://doi.org/10.1080/14608944.2013.829430" TargetMode="External" /><Relationship Type="http://schemas.openxmlformats.org/officeDocument/2006/relationships/hyperlink" Id="rId281" Target="https://doi.org/10.1093/oso/9780195068863.003.0008" TargetMode="External" /><Relationship Type="http://schemas.openxmlformats.org/officeDocument/2006/relationships/hyperlink" Id="rId224" Target="https://doi.org/10.1163/24684309-12340001" TargetMode="External" /><Relationship Type="http://schemas.openxmlformats.org/officeDocument/2006/relationships/hyperlink" Id="rId207" Target="https://doi.org/10.1353/EIR.1998.0007" TargetMode="External" /><Relationship Type="http://schemas.openxmlformats.org/officeDocument/2006/relationships/hyperlink" Id="rId248" Target="https://doi.org/10.14195/2176-6436_21-2_6" TargetMode="External" /><Relationship Type="http://schemas.openxmlformats.org/officeDocument/2006/relationships/hyperlink" Id="rId260" Target="https://doi.org/10.32748/revec.v8i21.18508" TargetMode="External" /><Relationship Type="http://schemas.openxmlformats.org/officeDocument/2006/relationships/hyperlink" Id="rId227" Target="https://doi.org/10.3366/edinburgh/9781474495004.003.0007" TargetMode="External" /><Relationship Type="http://schemas.openxmlformats.org/officeDocument/2006/relationships/hyperlink" Id="rId264" Target="https://doi.org/10.3390/laws9020010" TargetMode="External" /><Relationship Type="http://schemas.openxmlformats.org/officeDocument/2006/relationships/hyperlink" Id="rId217" Target="https://doi.org/10.4000/alsace.1697" TargetMode="External" /><Relationship Type="http://schemas.openxmlformats.org/officeDocument/2006/relationships/hyperlink" Id="rId251" Target="https://doi.org/10.4000/lisa.3109" TargetMode="External" /><Relationship Type="http://schemas.openxmlformats.org/officeDocument/2006/relationships/hyperlink" Id="rId204" Target="https://doi.org/10.5020/2317-2150.2022.10675" TargetMode="External" /><Relationship Type="http://schemas.openxmlformats.org/officeDocument/2006/relationships/hyperlink" Id="rId199" Target="https://doi.org/10.5210/fm.v28i7.13245" TargetMode="External" /><Relationship Type="http://schemas.openxmlformats.org/officeDocument/2006/relationships/hyperlink" Id="rId215" Target="https://doi.org/10.5433/2237-9126.2007v1n1p12" TargetMode="External" /><Relationship Type="http://schemas.openxmlformats.org/officeDocument/2006/relationships/hyperlink" Id="rId258" Target="https://doi.org/10.56451/10334/7892" TargetMode="External" /><Relationship Type="http://schemas.openxmlformats.org/officeDocument/2006/relationships/hyperlink" Id="rId277" Target="https://frontiers.csls.ox.ac.uk/encounters-with-justice/" TargetMode="External" /></Relationships>
</file>

<file path=word/_rels/footnotes.xml.rels><?xml version="1.0" encoding="UTF-8"?><Relationships xmlns="http://schemas.openxmlformats.org/package/2006/relationships"><Relationship Type="http://schemas.openxmlformats.org/officeDocument/2006/relationships/hyperlink" Id="rId271" Target="https://doi.org/10.1007/s10978-023-09350-9" TargetMode="External" /><Relationship Type="http://schemas.openxmlformats.org/officeDocument/2006/relationships/hyperlink" Id="rId288" Target="https://doi.org/10.1017/S2071832200022331" TargetMode="External" /><Relationship Type="http://schemas.openxmlformats.org/officeDocument/2006/relationships/hyperlink" Id="rId197" Target="https://doi.org/10.1057/9781137436436_10" TargetMode="External" /><Relationship Type="http://schemas.openxmlformats.org/officeDocument/2006/relationships/hyperlink" Id="rId238" Target="https://doi.org/10.1080/14608944.2013.829430" TargetMode="External" /><Relationship Type="http://schemas.openxmlformats.org/officeDocument/2006/relationships/hyperlink" Id="rId281" Target="https://doi.org/10.1093/oso/9780195068863.003.0008" TargetMode="External" /><Relationship Type="http://schemas.openxmlformats.org/officeDocument/2006/relationships/hyperlink" Id="rId224" Target="https://doi.org/10.1163/24684309-12340001" TargetMode="External" /><Relationship Type="http://schemas.openxmlformats.org/officeDocument/2006/relationships/hyperlink" Id="rId207" Target="https://doi.org/10.1353/EIR.1998.0007" TargetMode="External" /><Relationship Type="http://schemas.openxmlformats.org/officeDocument/2006/relationships/hyperlink" Id="rId248" Target="https://doi.org/10.14195/2176-6436_21-2_6" TargetMode="External" /><Relationship Type="http://schemas.openxmlformats.org/officeDocument/2006/relationships/hyperlink" Id="rId260" Target="https://doi.org/10.32748/revec.v8i21.18508" TargetMode="External" /><Relationship Type="http://schemas.openxmlformats.org/officeDocument/2006/relationships/hyperlink" Id="rId227" Target="https://doi.org/10.3366/edinburgh/9781474495004.003.0007" TargetMode="External" /><Relationship Type="http://schemas.openxmlformats.org/officeDocument/2006/relationships/hyperlink" Id="rId264" Target="https://doi.org/10.3390/laws9020010" TargetMode="External" /><Relationship Type="http://schemas.openxmlformats.org/officeDocument/2006/relationships/hyperlink" Id="rId217" Target="https://doi.org/10.4000/alsace.1697" TargetMode="External" /><Relationship Type="http://schemas.openxmlformats.org/officeDocument/2006/relationships/hyperlink" Id="rId251" Target="https://doi.org/10.4000/lisa.3109" TargetMode="External" /><Relationship Type="http://schemas.openxmlformats.org/officeDocument/2006/relationships/hyperlink" Id="rId204" Target="https://doi.org/10.5020/2317-2150.2022.10675" TargetMode="External" /><Relationship Type="http://schemas.openxmlformats.org/officeDocument/2006/relationships/hyperlink" Id="rId199" Target="https://doi.org/10.5210/fm.v28i7.13245" TargetMode="External" /><Relationship Type="http://schemas.openxmlformats.org/officeDocument/2006/relationships/hyperlink" Id="rId215" Target="https://doi.org/10.5433/2237-9126.2007v1n1p12" TargetMode="External" /><Relationship Type="http://schemas.openxmlformats.org/officeDocument/2006/relationships/hyperlink" Id="rId258" Target="https://doi.org/10.56451/10334/7892" TargetMode="External" /><Relationship Type="http://schemas.openxmlformats.org/officeDocument/2006/relationships/hyperlink" Id="rId277" Target="https://frontiers.csls.ox.ac.uk/encounters-with-just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Iconocracia: Alegoria Feminina na História da Cultura Jurídica (Séculos XIX–XX)</dc:title>
  <dc:creator/>
  <dc:language>pt-BR</dc:language>
  <cp:keywords/>
  <dcterms:created xsi:type="dcterms:W3CDTF">2026-09-22T11:57:13Z</dcterms:created>
  <dcterms:modified xsi:type="dcterms:W3CDTF">2026-09-22T11:57:13Z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apitulo">
    <vt:lpwstr>10</vt:lpwstr>
  </property>
  <property fmtid="{D5CDD505-2E9C-101B-9397-08002B2CF9AE}" pid="4" name="citacoes">
    <vt:lpwstr>0</vt:lpwstr>
  </property>
  <property fmtid="{D5CDD505-2E9C-101B-9397-08002B2CF9AE}" pid="5" name="csl">
    <vt:lpwstr>abnt.csl</vt:lpwstr>
  </property>
  <property fmtid="{D5CDD505-2E9C-101B-9397-08002B2CF9AE}" pid="6" name="nocite">
    <vt:lpwstr>@*</vt:lpwstr>
  </property>
  <property fmtid="{D5CDD505-2E9C-101B-9397-08002B2CF9AE}" pid="7" name="palavras">
    <vt:lpwstr>0</vt:lpwstr>
  </property>
  <property fmtid="{D5CDD505-2E9C-101B-9397-08002B2CF9AE}" pid="8" name="pandoc">
    <vt:lpwstr/>
  </property>
  <property fmtid="{D5CDD505-2E9C-101B-9397-08002B2CF9AE}" pid="9" name="parte">
    <vt:lpwstr>Conclusão</vt:lpwstr>
  </property>
  <property fmtid="{D5CDD505-2E9C-101B-9397-08002B2CF9AE}" pid="10" name="status">
    <vt:lpwstr>esqueleto</vt:lpwstr>
  </property>
  <property fmtid="{D5CDD505-2E9C-101B-9397-08002B2CF9AE}" pid="11" name="titulo">
    <vt:lpwstr>Conclusão</vt:lpwstr>
  </property>
  <property fmtid="{D5CDD505-2E9C-101B-9397-08002B2CF9AE}" pid="12" name="updated">
    <vt:lpwstr>2026-03-23</vt:lpwstr>
  </property>
</Properties>
</file>