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b/>
          <w:i w:val="0"/>
        </w:rPr>
        <w:t xml:space="preserve">COMO SE INVENTA UMA BRUXA: o </w:t>
      </w:r>
      <w:r>
        <w:rPr>
          <w:b/>
          <w:i/>
        </w:rPr>
        <w:t>Malleus Maleficarum</w:t>
      </w:r>
      <w:r>
        <w:rPr>
          <w:b/>
          <w:i w:val="0"/>
        </w:rPr>
        <w:t>, Maria Gonçalves Cajada e a historicidade da categoria jurídico-penal de bruxaria</w:t>
      </w:r>
    </w:p>
    <w:p>
      <w:pPr>
        <w:spacing w:after="360"/>
        <w:jc w:val="right"/>
      </w:pPr>
      <w:r>
        <w:rPr>
          <w:b w:val="0"/>
        </w:rPr>
        <w:t>Ana Vanzin*</w:t>
      </w:r>
    </w:p>
    <w:p>
      <w:pPr>
        <w:spacing w:line="240" w:lineRule="auto" w:after="120"/>
      </w:pPr>
      <w:r>
        <w:rPr>
          <w:b/>
        </w:rPr>
        <w:t xml:space="preserve">Resumo: </w:t>
      </w:r>
      <w:r>
        <w:rPr>
          <w:i w:val="0"/>
        </w:rPr>
        <w:t xml:space="preserve">Este short paper examina a construção da bruxaria como categoria jurídico-penal a partir do </w:t>
      </w:r>
      <w:r>
        <w:rPr>
          <w:i/>
        </w:rPr>
        <w:t>Malleus Maleficarum</w:t>
      </w:r>
      <w:r>
        <w:rPr>
          <w:i w:val="0"/>
        </w:rPr>
        <w:t xml:space="preserve"> (1487) e de sua deformação no espaço colonial luso-atlântico, tomando como estudo de caso o processo inquisitorial de Maria Gonçalves Cajada, conhecida como “Arde-lhe-o-Rabo”, na Primeira Visitação do Santo Ofício à Bahia (1591-1593). O argumento central é que a bruxaria não deve ser tratada como tipo penal estável, mas como categoria histórica compósita: no </w:t>
      </w:r>
      <w:r>
        <w:rPr>
          <w:i/>
        </w:rPr>
        <w:t>Malleus</w:t>
      </w:r>
      <w:r>
        <w:rPr>
          <w:i w:val="0"/>
        </w:rPr>
        <w:t>, Heinrich Institoris reúne tradições antes parcialmente autônomas (</w:t>
      </w:r>
      <w:r>
        <w:rPr>
          <w:i/>
        </w:rPr>
        <w:t>maleficium</w:t>
      </w:r>
      <w:r>
        <w:rPr>
          <w:i w:val="0"/>
        </w:rPr>
        <w:t>, heresia, demonolatria, pacto diabólico e figuras femininas noturnas) num modelo totalizante de criminalização. Quando esse modelo encontra a experiência colonial, porém, ele não se reproduz de modo mecânico. No caso Cajada, elementos do repertório europeu coexistem com práticas comerciais, redes femininas, autodefesa processual, degredo e deslocamento atlântico. A partir do diálogo com Sbriccoli, Meccarelli e Hespanha, sustenta-se que o caso revela resíduos de justiça negociada dentro da justiça hegemônica e permite compreender o processo inquisitorial como arquivo de tradução, mais do que como simples aplicação de doutrina. O tribunal duvida das próprias acusações, registra que “tudo são embustes e enganos”, mas pune. É precisamente nessa tensão que se observa a historicidade do penal.</w:t>
      </w:r>
    </w:p>
    <w:p>
      <w:pPr>
        <w:spacing w:line="240" w:lineRule="auto" w:after="120"/>
      </w:pPr>
      <w:r>
        <w:rPr>
          <w:b/>
        </w:rPr>
        <w:t xml:space="preserve">Palavras-chave: </w:t>
      </w:r>
      <w:r>
        <w:rPr>
          <w:i w:val="0"/>
        </w:rPr>
        <w:t xml:space="preserve">História do direito penal; Inquisição; bruxaria; </w:t>
      </w:r>
      <w:r>
        <w:rPr>
          <w:i/>
        </w:rPr>
        <w:t>Malleus Maleficarum</w:t>
      </w:r>
      <w:r>
        <w:rPr>
          <w:i w:val="0"/>
        </w:rPr>
        <w:t>; Maria Gonçalves Cajada.</w:t>
      </w:r>
    </w:p>
    <w:p>
      <w:pPr>
        <w:spacing w:line="240" w:lineRule="auto" w:after="0"/>
      </w:pPr>
      <w:r>
        <w:rPr>
          <w:sz w:val="20"/>
        </w:rPr>
        <w:t>* Doutoranda no Programa de Pós-Graduação em Direito da Universidade Federal de Santa Catarina (PPGD/UFSC). Short paper apresentado na disciplina DIR410346, História do Direito Penal e da Justiça Criminal (2026.1).</w:t>
      </w:r>
    </w:p>
    <w:p>
      <w:pPr>
        <w:keepNext/>
        <w:spacing w:before="360" w:after="240"/>
        <w:jc w:val="left"/>
      </w:pPr>
      <w:r>
        <w:rPr>
          <w:b/>
          <w:i w:val="0"/>
        </w:rPr>
        <w:t>1 INTRODUÇÃO</w:t>
      </w:r>
    </w:p>
    <w:p>
      <w:pPr>
        <w:ind w:firstLine="709"/>
      </w:pPr>
      <w:r>
        <w:rPr>
          <w:i w:val="0"/>
        </w:rPr>
        <w:t>A pergunta que organiza este trabalho é simples apenas na aparência: como se inventa uma bruxa? A resposta não está apenas na história das crenças, nem somente na história religiosa. Para uma disciplina de História do Direito Penal e da Justiça Criminal, a questão precisa ser formulada de outro modo: como uma figura social, teológica e moralmente suspeita se torna uma categoria jurídico-penal reconhecível? Que operações doutrinárias, processuais e institucionais permitem reunir práticas distintas sob um mesmo nome? E o que acontece quando essa categoria atravessa o Atlântico e encontra uma realidade colonial que não cabe perfeitamente no modelo europeu?</w:t>
      </w:r>
    </w:p>
    <w:p>
      <w:pPr>
        <w:ind w:firstLine="709"/>
      </w:pPr>
      <w:r>
        <w:rPr>
          <w:i w:val="0"/>
        </w:rPr>
        <w:t xml:space="preserve">O </w:t>
      </w:r>
      <w:r>
        <w:rPr>
          <w:i/>
        </w:rPr>
        <w:t>Malleus Maleficarum</w:t>
      </w:r>
      <w:r>
        <w:rPr>
          <w:i w:val="0"/>
        </w:rPr>
        <w:t xml:space="preserve">, publicado em 1487 e associado sobretudo a Heinrich Institoris, costuma aparecer como símbolo maior da perseguição às bruxas. Mas sua relevância para a história do direito penal não está somente em seu conteúdo misógino ou demonológico. O ponto decisivo é que o </w:t>
      </w:r>
      <w:r>
        <w:rPr>
          <w:i/>
        </w:rPr>
        <w:t>Malleus</w:t>
      </w:r>
      <w:r>
        <w:rPr>
          <w:i w:val="0"/>
        </w:rPr>
        <w:t xml:space="preserve"> realiza uma operação de unificação: práticas e tradições antes relativamente separáveis (dano mágico, heresia, pacto diabólico, demonolatria, saberes populares sobre mulheres noturnas) são apresentadas como manifestações de um único crime totalizante (BROEDEL, 2003). A “bruxa” passa a funcionar como figura compósita. Qualquer elemento parcial pode contaminar o todo. O indício deixa de ser apenas prova de um ato e passa a sugerir uma identidade criminosa.</w:t>
      </w:r>
    </w:p>
    <w:p>
      <w:pPr>
        <w:ind w:firstLine="709"/>
      </w:pPr>
      <w:r>
        <w:rPr>
          <w:i w:val="0"/>
        </w:rPr>
        <w:t>Esse mecanismo importa porque o direito penal moderno não nasce apenas de códigos, leis e princípios abstratos. Ele nasce também de formas históricas de nomear sujeitos perigosos. A categoria penal não descreve simplesmente o real: ela o organiza, hierarquiza e torna processável. A bruxaria, nesse sentido, é laboratório especialmente forte para observar a passagem entre pluralidade de práticas, tradução doutrinária e construção de um sujeito penal.</w:t>
      </w:r>
    </w:p>
    <w:p>
      <w:pPr>
        <w:ind w:firstLine="709"/>
      </w:pPr>
      <w:r>
        <w:rPr>
          <w:i w:val="0"/>
        </w:rPr>
        <w:t xml:space="preserve">O estudo de caso de Maria Gonçalves Cajada, processada na Primeira Visitação do Santo Ofício à Bahia, permite deslocar a análise. O problema não é perguntar se o </w:t>
      </w:r>
      <w:r>
        <w:rPr>
          <w:i/>
        </w:rPr>
        <w:t>Malleus</w:t>
      </w:r>
      <w:r>
        <w:rPr>
          <w:i w:val="0"/>
        </w:rPr>
        <w:t xml:space="preserve"> “influenciou” diretamente a Inquisição portuguesa no Brasil, pois Portugal possuía seus próprios regimentos e formas institucionais. O problema é outro: como categorias europeias de criminalização circularam, foram traduzidas e se deformaram na colônia? Cajada aparece nos autos como feiticeira famosa, reincidente, viajante forçada por penas de degredo, denunciada por mulheres e capaz de negociar, em sua confissão, os limites entre feitiçaria, embuste, serviço remunerado e pacto demoníaco (ANTT, processo nº 10748; ARAÚJO, 2016).</w:t>
      </w:r>
    </w:p>
    <w:p>
      <w:pPr>
        <w:ind w:firstLine="709"/>
      </w:pPr>
      <w:r>
        <w:rPr>
          <w:i w:val="0"/>
        </w:rPr>
        <w:t xml:space="preserve">O argumento desenvolvido aqui é que o caso Cajada mostra a instabilidade da bruxaria como categoria jurídico-penal. No </w:t>
      </w:r>
      <w:r>
        <w:rPr>
          <w:i/>
        </w:rPr>
        <w:t>Malleus</w:t>
      </w:r>
      <w:r>
        <w:rPr>
          <w:i w:val="0"/>
        </w:rPr>
        <w:t>, a bruxa é uma construção compósita. Na Bahia, essa construção não desaparece, mas se desfaz parcialmente: alguns elementos permanecem, outros faltam, e outros ainda emergem do contexto colonial. Ao final, o tribunal registra dúvida sobre a substância das acusações, ao anotar que “Parece que tudo são embustes e enganos as culpas desta ré” (ANTT, processo nº 10748), e mesmo assim pune. Essa contradição não é detalhe; ela é o núcleo historiográfico do problema.</w:t>
      </w:r>
    </w:p>
    <w:p>
      <w:pPr>
        <w:ind w:firstLine="709"/>
      </w:pPr>
      <w:r>
        <w:rPr>
          <w:i w:val="0"/>
        </w:rPr>
        <w:t xml:space="preserve">Convém explicitar, desde já, os contornos metodológicos do trabalho. O tema geral é a historicidade das categorias jurídico-penais, isto é, o modo como o direito penal fabrica, estabiliza e transforma os nomes com que criminaliza. O objeto específico é a bruxaria como tipo compósito, observada em dois pontos de um circuito: a sistematização doutrinária do </w:t>
      </w:r>
      <w:r>
        <w:rPr>
          <w:i/>
        </w:rPr>
        <w:t>Malleus Maleficarum</w:t>
      </w:r>
      <w:r>
        <w:rPr>
          <w:i w:val="0"/>
        </w:rPr>
        <w:t xml:space="preserve"> (1487) e sua deformação na Primeira Visitação do Santo Ofício à Bahia (1591-1593). O problema pode ser enunciado numa pergunta dupla: como uma figura social e teologicamente suspeita se converte em categoria penal processável, e o que acontece com essa categoria quando circula para o espaço colonial? A hipótese sustentada é a de que a bruxaria não constitui tipo penal estável: é categoria compósita, montada doutrinariamente e parcialmente desmontada na tradução colonial, e o caso Cajada torna essa instabilidade visível porque o tribunal pune mesmo registrando dúvida.</w:t>
      </w:r>
    </w:p>
    <w:p>
      <w:pPr>
        <w:ind w:firstLine="709"/>
      </w:pPr>
      <w:r>
        <w:rPr>
          <w:i w:val="0"/>
        </w:rPr>
        <w:t>Quanto às fontes e ao método, o trabalho apoia-se no processo nº 10748 da Inquisição de Lisboa e no livro de Denunciações da Bahia (ANTT, liv. 784) como fontes primárias, lidos por meio das edições documentais de Capistrano de Abreu (1925; 1935) e Vainfas (1997) e do estudo de Araújo (2016). O método é o estudo de caso qualitativo com contraexemplos (Scheuberin, Guiomar, Catarina), articulado a dois campos historiográficos: a história da justiça criminal, com Sbriccoli (2011), Meccarelli (2018) e Hespanha (1994), e a historiografia da bruxaria e da feitiçaria colonial, com Broedel (2003) e Souza (1986).</w:t>
      </w:r>
    </w:p>
    <w:p>
      <w:pPr>
        <w:keepNext/>
        <w:spacing w:before="360" w:after="240"/>
        <w:jc w:val="left"/>
      </w:pPr>
      <w:r>
        <w:rPr>
          <w:b/>
          <w:i w:val="0"/>
        </w:rPr>
        <w:t xml:space="preserve">2 O </w:t>
      </w:r>
      <w:r>
        <w:rPr>
          <w:b/>
          <w:i/>
        </w:rPr>
        <w:t>MALLEUS</w:t>
      </w:r>
      <w:r>
        <w:rPr>
          <w:b/>
          <w:i w:val="0"/>
        </w:rPr>
        <w:t xml:space="preserve"> E A FABRICAÇÃO DO TIPO COMPÓSITO</w:t>
      </w:r>
    </w:p>
    <w:p>
      <w:pPr>
        <w:ind w:firstLine="709"/>
      </w:pPr>
      <w:r>
        <w:rPr>
          <w:i w:val="0"/>
        </w:rPr>
        <w:t xml:space="preserve">Antes do </w:t>
      </w:r>
      <w:r>
        <w:rPr>
          <w:i/>
        </w:rPr>
        <w:t>Malleus Maleficarum</w:t>
      </w:r>
      <w:r>
        <w:rPr>
          <w:i w:val="0"/>
        </w:rPr>
        <w:t xml:space="preserve">, a bruxaria não existia como categoria penal unificada nos termos que se tornariam mais reconhecíveis nos séculos seguintes. Havia repertórios distintos. O </w:t>
      </w:r>
      <w:r>
        <w:rPr>
          <w:i/>
        </w:rPr>
        <w:t>maleficium</w:t>
      </w:r>
      <w:r>
        <w:rPr>
          <w:i w:val="0"/>
        </w:rPr>
        <w:t xml:space="preserve"> designava dano mágico concreto; a heresia remetia ao desvio doutrinário; a demonolatria envolvia adoração ou relação com o demônio; o pacto diabólico conferia estrutura contratual ao vínculo com o mal; as tradições sobre </w:t>
      </w:r>
      <w:r>
        <w:rPr>
          <w:i/>
        </w:rPr>
        <w:t>lamiae</w:t>
      </w:r>
      <w:r>
        <w:rPr>
          <w:i w:val="0"/>
        </w:rPr>
        <w:t xml:space="preserve">, </w:t>
      </w:r>
      <w:r>
        <w:rPr>
          <w:i/>
        </w:rPr>
        <w:t>strigae</w:t>
      </w:r>
      <w:r>
        <w:rPr>
          <w:i w:val="0"/>
        </w:rPr>
        <w:t xml:space="preserve"> e mulheres noturnas pertenciam a camadas populares e eruditas diversas. O gesto do </w:t>
      </w:r>
      <w:r>
        <w:rPr>
          <w:i/>
        </w:rPr>
        <w:t>Malleus</w:t>
      </w:r>
      <w:r>
        <w:rPr>
          <w:i w:val="0"/>
        </w:rPr>
        <w:t xml:space="preserve"> é reunir essas tradições e tratá-las como faces de um mesmo fenômeno.</w:t>
      </w:r>
    </w:p>
    <w:p>
      <w:pPr>
        <w:ind w:firstLine="709"/>
      </w:pPr>
      <w:r>
        <w:rPr>
          <w:i w:val="0"/>
        </w:rPr>
        <w:t>Essa fusão tem efeito penal. Se a bruxaria é um tipo compósito, então o processo não precisa demonstrar de modo estrito cada elemento separadamente. A presença de um sinal pode ativar a suspeita do conjunto. O dano mágico deixa de ser apenas dano; torna-se indício de pacto. A sexualidade feminina deixa de ser apenas pecado moral; torna-se prova de vulnerabilidade demoníaca. O saber ritual deixa de ser prática ambígua; torna-se evidência de heresia. A consequência é a ampliação da zona de criminalização.</w:t>
      </w:r>
    </w:p>
    <w:p>
      <w:pPr>
        <w:ind w:firstLine="709"/>
      </w:pPr>
      <w:r>
        <w:rPr>
          <w:i w:val="0"/>
        </w:rPr>
        <w:t xml:space="preserve">Broedel (2003) observa que o </w:t>
      </w:r>
      <w:r>
        <w:rPr>
          <w:i/>
        </w:rPr>
        <w:t>Malleus</w:t>
      </w:r>
      <w:r>
        <w:rPr>
          <w:i w:val="0"/>
        </w:rPr>
        <w:t xml:space="preserve"> deve ser compreendido como construção intelectual específica, não como simples espelho de crenças populares. Seu objetivo é estabilizar uma imagem de bruxaria capaz de sustentar perseguição. Para a história do direito penal, isso significa que o tratado opera como tecnologia de classificação. Ele organiza materiais dispersos e oferece aos juízes uma gramática de suspeição.</w:t>
      </w:r>
    </w:p>
    <w:p>
      <w:pPr>
        <w:ind w:firstLine="709"/>
      </w:pPr>
      <w:r>
        <w:rPr>
          <w:i w:val="0"/>
        </w:rPr>
        <w:t>A origem processual do livro torna essa leitura ainda mais forte. O episódio de Innsbruck, em 1485, envolvendo Helena Scheuberin, revela uma derrota institucional. Institoris tenta sustentar acusações de bruxaria por meio de interrogatórios centrados na vida sexual da ré. Os comissários ligados ao bispo de Brixen contestam a condução, admitem defesa e anulam o processo por vícios (BROEDEL, 2003). Há, portanto, uma colisão entre epistemologias judiciais: de um lado, um inquisidor que quer provar o crime pela identidade moral e sexual da ré; de outro, autoridades que ainda exigem formas de prova e limites processuais mais estreitos.</w:t>
      </w:r>
    </w:p>
    <w:p>
      <w:pPr>
        <w:ind w:firstLine="709"/>
      </w:pPr>
      <w:r>
        <w:rPr>
          <w:i w:val="0"/>
        </w:rPr>
        <w:t xml:space="preserve">O </w:t>
      </w:r>
      <w:r>
        <w:rPr>
          <w:i/>
        </w:rPr>
        <w:t>Malleus</w:t>
      </w:r>
      <w:r>
        <w:rPr>
          <w:i w:val="0"/>
        </w:rPr>
        <w:t xml:space="preserve"> pode ser lido como resposta doutrinária a essa derrota. Institoris transforma o fracasso processual em sistema. Se o tribunal não aceitou sua definição de bruxa, ele escreve uma obra para tornar essa definição plausível, circulável e juridicamente operacional. Essa origem importa porque afasta a imagem do tratado como simples manual de crenças. Ele é também intervenção na cultura processual: tenta produzir o objeto que o processo anterior não conseguiu estabilizar.</w:t>
      </w:r>
    </w:p>
    <w:p>
      <w:pPr>
        <w:ind w:firstLine="709"/>
      </w:pPr>
      <w:r>
        <w:rPr>
          <w:i w:val="0"/>
        </w:rPr>
        <w:t xml:space="preserve">É nesse ponto que Sbriccoli (2011) ajuda a formular o problema em chave penal. A justiça criminal hegemônica se constitui quando a persecução se publiciza, o aparato se fortalece e a punição deixa de depender exclusivamente da composição entre partes. O </w:t>
      </w:r>
      <w:r>
        <w:rPr>
          <w:i/>
        </w:rPr>
        <w:t>Malleus</w:t>
      </w:r>
      <w:r>
        <w:rPr>
          <w:i w:val="0"/>
        </w:rPr>
        <w:t xml:space="preserve"> participa desse movimento ao oferecer um saber especializado para a repressão. Mas o caso de Innsbruck mostra que a hegemonia não é plena: há resistências locais, disputas de jurisdição e limites processuais. A bruxaria nasce, portanto, no interior de um campo jurídico instável.</w:t>
      </w:r>
    </w:p>
    <w:p>
      <w:pPr>
        <w:keepNext/>
        <w:spacing w:before="360" w:after="240"/>
        <w:jc w:val="left"/>
      </w:pPr>
      <w:r>
        <w:rPr>
          <w:b/>
          <w:i w:val="0"/>
        </w:rPr>
        <w:t>3 CIRCULAÇÃO ATLÂNTICA E DESLOCAMENTO COLONIAL</w:t>
      </w:r>
    </w:p>
    <w:p>
      <w:pPr>
        <w:ind w:firstLine="709"/>
      </w:pPr>
      <w:r>
        <w:rPr>
          <w:i w:val="0"/>
        </w:rPr>
        <w:t xml:space="preserve">Ao chegar ao mundo português e colonial, a categoria “bruxaria” não viaja em linha reta. É necessário evitar a noção simplista de influência direta. Portugal não aplicava o </w:t>
      </w:r>
      <w:r>
        <w:rPr>
          <w:i/>
        </w:rPr>
        <w:t>Malleus</w:t>
      </w:r>
      <w:r>
        <w:rPr>
          <w:i w:val="0"/>
        </w:rPr>
        <w:t xml:space="preserve"> como código. A Inquisição portuguesa operava com regimentos próprios, com práticas institucionais específicas e com uma articulação particular entre tribunal, visitações, denúncias, confissões e remessa de autos a Lisboa (SOUZA, 1986). No Brasil colonial, a situação era ainda mais mediada: não havia tribunal permanente do Santo Ofício; a repressão dependia de visitações, redes locais de denúncia e deslocamento dos processos.</w:t>
      </w:r>
    </w:p>
    <w:p>
      <w:pPr>
        <w:ind w:firstLine="709"/>
      </w:pPr>
      <w:r>
        <w:rPr>
          <w:i w:val="0"/>
        </w:rPr>
        <w:t>A Primeira Visitação do Santo Ofício à Bahia, iniciada em 1591 sob Heitor Furtado de Mendonça, cria um ambiente processual singular. O Tempo de Graça estimula confissões voluntárias e oferece penas mais brandas a quem se apresenta (VAINFAS, 1997). Esse mecanismo, ao mesmo tempo repressivo e negociador, produz um arquivo de enorme valor. As pessoas confessam, denunciam, ajustam narrativas, minimizam culpas, transferem responsabilidades e tentam calibrar o risco. O resultado não é apenas punição; é produção documental.</w:t>
      </w:r>
    </w:p>
    <w:p>
      <w:pPr>
        <w:ind w:firstLine="709"/>
      </w:pPr>
      <w:r>
        <w:rPr>
          <w:i w:val="0"/>
        </w:rPr>
        <w:t>Aqui a leitura de Meccarelli (2018) é útil. A passagem entre formas ordinárias e extraordinárias de justiça não deve ser compreendida como substituição simples. A legalidade pré-estatal e plural convive com técnicas extraordinárias, que absorvem práticas anteriores e as reorganizam. Na colônia, o procedimento inquisitorial não elimina a negociação; ele a captura. A confissão voluntária, a denúncia de vizinhos, a fama pública e as estratégias de autodefesa compõem uma zona intermediária entre aparato e comunidade.</w:t>
      </w:r>
    </w:p>
    <w:p>
      <w:pPr>
        <w:ind w:firstLine="709"/>
      </w:pPr>
      <w:r>
        <w:rPr>
          <w:i w:val="0"/>
        </w:rPr>
        <w:t>Hespanha (1994) também ajuda a evitar anacronismos. A ordem penal do Antigo Regime não deve ser lida a partir do modelo codificado posterior. A distância entre norma, discurso e efetividade era constitutiva. A punição podia ser espetacular, mas muitas vezes era seletiva, negociada, simbólica, deslocadora. O degredo, nesse contexto, não é pena menor no sentido moderno; é tecnologia de circulação forçada, gestão de corpos e territórios, forma de afastar sem eliminar.</w:t>
      </w:r>
    </w:p>
    <w:p>
      <w:pPr>
        <w:ind w:firstLine="709"/>
      </w:pPr>
      <w:r>
        <w:rPr>
          <w:i w:val="0"/>
        </w:rPr>
        <w:t xml:space="preserve">O caso Cajada se localiza exatamente nesse cruzamento. Ele envolve uma mulher portuguesa, cristã-velha, já punida antes, deslocada por degredo, instalada na Bahia e acusada de práticas que os denunciantes interpretam como feitiçaria. Ao mesmo tempo, sua trajetória não corresponde à figura europeia totalizante do </w:t>
      </w:r>
      <w:r>
        <w:rPr>
          <w:i/>
        </w:rPr>
        <w:t>Malleus</w:t>
      </w:r>
      <w:r>
        <w:rPr>
          <w:i w:val="0"/>
        </w:rPr>
        <w:t>. Não há sabá coletivo estruturado; não há comunidade demoníaca; não há, nos mesmos termos, pacto sexual com o diabo. Há, sim, reputação, serviços mágicos, conflito entre mulheres, ameaça de dano, teatralidade ritual, inversão litúrgica e reivindicação simbólica de autoridade.</w:t>
      </w:r>
    </w:p>
    <w:p>
      <w:pPr>
        <w:keepNext/>
        <w:spacing w:before="360" w:after="240"/>
        <w:jc w:val="left"/>
      </w:pPr>
      <w:r>
        <w:rPr>
          <w:b/>
          <w:i w:val="0"/>
        </w:rPr>
        <w:t>4 MARIA GONÇALVES CAJADA: A BRUXA QUE NÃO CABE NO MOLDE</w:t>
      </w:r>
    </w:p>
    <w:p>
      <w:pPr>
        <w:ind w:firstLine="709"/>
      </w:pPr>
      <w:r>
        <w:rPr>
          <w:i w:val="0"/>
        </w:rPr>
        <w:t>Maria Gonçalves Cajada, conhecida como “Arde-lhe-o-Rabo”, era natural de Estremoz e casada com Gaspar Pinto, marinheiro. Quando aparece no contexto da Visitação baiana, já traz uma biografia penal marcada por degredo e reincidência. Fora condenada por incêndio de casas e agressão a juiz, degredada para Pernambuco e submetida a penitência pública. Depois, viveu na Bahia por mais de dez anos, sem domicílio fixo, circulando em redes locais de fama e suspeita (ARAÚJO, 2016; SOUZA, 1986).</w:t>
      </w:r>
    </w:p>
    <w:p>
      <w:pPr>
        <w:ind w:firstLine="709"/>
      </w:pPr>
      <w:r>
        <w:rPr>
          <w:i w:val="0"/>
        </w:rPr>
        <w:t>O processo nº 10748 da Inquisição de Lisboa registra denúncias apresentadas por mulheres. Esse detalhe importa. A construção da ré não vem apenas de um aparato masculino que impõe de cima uma categoria. Ela emerge também de conflitos, medos e rivalidades no interior de redes femininas. A fama de Cajada circula antes do processo; o tribunal a recolhe, traduz e reorganiza.</w:t>
      </w:r>
    </w:p>
    <w:p>
      <w:pPr>
        <w:ind w:firstLine="709"/>
      </w:pPr>
      <w:r>
        <w:rPr>
          <w:i w:val="0"/>
        </w:rPr>
        <w:t xml:space="preserve">As acusações cobrem repertórios diversos. Segundo os autos, Cajada conversaria com demônios na mata, caminharia descabelada em direção à lua, manipularia objetos, enterraria botijas, traçaria o Sinal de Salomão, utilizaria palavras da missa invertidas e prestaria serviços mágicos remunerados, como amansar maridos ou prejudicar inimigos (ANTT, processo nº 10748). Alguns desses elementos caberiam no repertório europeu de demonolatria e </w:t>
      </w:r>
      <w:r>
        <w:rPr>
          <w:i/>
        </w:rPr>
        <w:t>maleficium</w:t>
      </w:r>
      <w:r>
        <w:rPr>
          <w:i w:val="0"/>
        </w:rPr>
        <w:t>. Outros já indicam deslocamentos coloniais importantes.</w:t>
      </w:r>
    </w:p>
    <w:p>
      <w:pPr>
        <w:ind w:firstLine="709"/>
      </w:pPr>
      <w:r>
        <w:rPr>
          <w:i w:val="0"/>
        </w:rPr>
        <w:t>Dois elementos são especialmente reveladores. O primeiro é a reivindicação simbólica de autoridade eclesiástica: “se o bispo tinha mitra também ela tinha mitra; se o bispo pregava do púlpito ela pregava de cadeira” (ANTT, processo nº 10748). Esse gesto não é simplesmente pacto demoníaco. É paródia de jurisdição, teatro de poder, inversão de autoridade. O segundo é a feitiçaria como serviço: Cajada cobra, promete resultados, oferece soluções mágicas para problemas domésticos e sociais. A bruxa aqui não é apenas serva do demônio; é profissional da mediação ritual.</w:t>
      </w:r>
    </w:p>
    <w:p>
      <w:pPr>
        <w:ind w:firstLine="709"/>
      </w:pPr>
      <w:r>
        <w:rPr>
          <w:i w:val="0"/>
        </w:rPr>
        <w:t xml:space="preserve">É por isso que o caso de Cajada ilumina a deformação do tipo. O </w:t>
      </w:r>
      <w:r>
        <w:rPr>
          <w:i/>
        </w:rPr>
        <w:t>Malleus</w:t>
      </w:r>
      <w:r>
        <w:rPr>
          <w:i w:val="0"/>
        </w:rPr>
        <w:t xml:space="preserve"> constrói uma bruxa essencialmente totalizante: mulher, demoníaca, sexualmente suspeita, herege e perigosa. Cajada, nos autos, aparece como figura mais ambígua: perigosa, sim, mas também charlatã; demoníaca, talvez, mas também prestadora de serviços; herege, talvez, mas também atriz de uma economia de reputação.</w:t>
      </w:r>
    </w:p>
    <w:p>
      <w:pPr>
        <w:ind w:firstLine="709"/>
      </w:pPr>
      <w:r>
        <w:rPr>
          <w:i w:val="0"/>
        </w:rPr>
        <w:t>Sua confissão torna essa ambiguidade ainda mais clara. Ela não nega tudo. Ao contrário: seleciona o que admite. Afirma que seus feitiços não funcionaram, negando o dano efetivo. Diz que tudo era engano para ganhar dinheiro e alimentos, rebaixando a acusação de pacto demoníaco para embuste. Explica que pós mágicos eram fígados de galinha torrados e que supostos ossos de enforcados eram dentes de cavalo-marinho. Nega falar com diabos. Ao mesmo tempo, contradiz-se quando admite que certas performances serviam para convencer as pessoas de seu poder.</w:t>
      </w:r>
    </w:p>
    <w:p>
      <w:pPr>
        <w:ind w:firstLine="709"/>
      </w:pPr>
      <w:r>
        <w:rPr>
          <w:i w:val="0"/>
        </w:rPr>
        <w:t>Essa confissão deve ser lida como estratégia processual. Cajada tenta deslocar sua culpa das categorias mais graves para categorias menos destrutivas. Não quer ser lida como herege demoníaca; prefere ser lida como enganadora. Em termos penais, negocia a tipificação. Esse gesto revela que a ré compreende, ainda que intuitivamente, quais narrativas agravam e quais atenuam sua posição.</w:t>
      </w:r>
    </w:p>
    <w:p>
      <w:pPr>
        <w:ind w:firstLine="709"/>
      </w:pPr>
      <w:r>
        <w:rPr>
          <w:i w:val="0"/>
        </w:rPr>
        <w:t>A sentença confirma a ambiguidade. Presa em janeiro de 1593, recebe penitência pública descalça, vela, mitra, jejuns, custas e degredo para Portugal. É isenta de açoites por doença. O tribunal pune, mas registra dúvida: “Parece que tudo são embustes e enganos as culpas desta ré” (ANTT, processo nº 10748). Essa frase é extraordinária porque mostra que o aparato penal não precisa acreditar plenamente na categoria que mobiliza para operar. A dúvida não paralisa a punição. Ao contrário: o processo termina com sanção.</w:t>
      </w:r>
    </w:p>
    <w:p>
      <w:pPr>
        <w:keepNext/>
        <w:spacing w:before="360" w:after="240"/>
        <w:jc w:val="left"/>
      </w:pPr>
      <w:r>
        <w:rPr>
          <w:b/>
          <w:i w:val="0"/>
        </w:rPr>
        <w:t>5 CONTRAEXEMPLOS: SCHEUBERIN, GUIOMAR E CATARINA</w:t>
      </w:r>
    </w:p>
    <w:p>
      <w:pPr>
        <w:ind w:firstLine="709"/>
      </w:pPr>
      <w:r>
        <w:rPr>
          <w:i w:val="0"/>
        </w:rPr>
        <w:t>O caso Cajada ganha força quando comparado a três figuras de contraste. Helena Scheuberin, em Innsbruck, mostra a bruxaria como tipo ainda em disputa. Para Institoris, sua sexualidade e sua conduta moral eram centrais para provar a bruxaria. Para os comissários do bispo, o processo não se sustentava nesses termos. A anulação revela que a categoria não estava estabilizada nem mesmo no centro europeu (BROEDEL, 2003).</w:t>
      </w:r>
    </w:p>
    <w:p>
      <w:pPr>
        <w:ind w:firstLine="709"/>
      </w:pPr>
      <w:r>
        <w:rPr>
          <w:i w:val="0"/>
        </w:rPr>
        <w:t xml:space="preserve">Guiomar de Oliveira, na Bahia de 1591, representa outro polo. Ela confessa ter dado ao marido pó de osso de finado misturado ao vinho para que fossem bem-casados (VAINFAS, 1997). Não há demônio, sabá, pacto ou sistema demonológico elaborado. Há magia amorosa doméstica. Sua situação sugere que muitas práticas coloniais classificadas no entorno da feitiçaria não se aproximavam do modelo do </w:t>
      </w:r>
      <w:r>
        <w:rPr>
          <w:i/>
        </w:rPr>
        <w:t>Malleus</w:t>
      </w:r>
      <w:r>
        <w:rPr>
          <w:i w:val="0"/>
        </w:rPr>
        <w:t>. Eram práticas de cuidado, conflito conjugal, desejo e controle doméstico, não necessariamente adesão a uma comunidade diabólica.</w:t>
      </w:r>
    </w:p>
    <w:p>
      <w:pPr>
        <w:ind w:firstLine="709"/>
      </w:pPr>
      <w:r>
        <w:rPr>
          <w:i w:val="0"/>
        </w:rPr>
        <w:t>Catarina Quaresma, convocada a denunciar Cajada, introduz uma terceira dimensão: a recusa ou hesitação testemunhal. Conhece a fama, mas não afirma ter visto mal; lembra relações de hospedagem e convivência (ANTT, liv. 784). Sua voz mostra que a demonização não era consensual. A fama não equivalia a prova. Mesmo dentro do processo, há fissuras.</w:t>
      </w:r>
    </w:p>
    <w:p>
      <w:pPr>
        <w:ind w:firstLine="709"/>
      </w:pPr>
      <w:r>
        <w:rPr>
          <w:i w:val="0"/>
        </w:rPr>
        <w:t xml:space="preserve">Esses três contrastes ajudam a compreender Cajada como figura de limiar. Ela é mais próxima do repertório europeu do que Guiomar, mas menos ajustada ao tipo totalizante do que a bruxa imaginada pelo </w:t>
      </w:r>
      <w:r>
        <w:rPr>
          <w:i/>
        </w:rPr>
        <w:t>Malleus</w:t>
      </w:r>
      <w:r>
        <w:rPr>
          <w:i w:val="0"/>
        </w:rPr>
        <w:t>. É mais processável do que Catarina admite, mas menos demoníaca do que algumas denúncias sugerem. Sua importância está precisamente nessa posição intermediária.</w:t>
      </w:r>
    </w:p>
    <w:p>
      <w:pPr>
        <w:keepNext/>
        <w:spacing w:before="360" w:after="240"/>
        <w:jc w:val="left"/>
      </w:pPr>
      <w:r>
        <w:rPr>
          <w:b/>
          <w:i w:val="0"/>
        </w:rPr>
        <w:t>6 JUSTIÇA HEGEMÔNICA, NEGOCIAÇÃO E ARQUIVO</w:t>
      </w:r>
    </w:p>
    <w:p>
      <w:pPr>
        <w:ind w:firstLine="709"/>
      </w:pPr>
      <w:r>
        <w:rPr>
          <w:i w:val="0"/>
        </w:rPr>
        <w:t>Sbriccoli (2011) descreve a passagem da justiça negociada para a justiça hegemônica como um movimento de publicização da ação penal, afirmação do aparato e deslocamento da composição privada. A Inquisição parece, à primeira vista, exemplo forte de justiça hegemônica: tribunal especializado, persecução de ofício, lógica de verdade, interrogatório, confissão e pena pública. Mas os casos analisados mostram que a hegemonia nunca é pura.</w:t>
      </w:r>
    </w:p>
    <w:p>
      <w:pPr>
        <w:ind w:firstLine="709"/>
      </w:pPr>
      <w:r>
        <w:rPr>
          <w:i w:val="0"/>
        </w:rPr>
        <w:t>Em Innsbruck, o bispo local limita o inquisidor papal. Há defesa, há disputa processual e há anulação. Na Bahia, a ausência de tribunal permanente torna a repressão dependente de redes locais, visitações e denúncias. O Tempo de Graça cria incentivo à autodenúncia. Cajada, por sua vez, negocia a confissão e tenta calibrar a própria culpa. O tribunal duvida, mas pune. A justiça hegemônica carrega resíduos de negociação em seu interior.</w:t>
      </w:r>
    </w:p>
    <w:p>
      <w:pPr>
        <w:ind w:firstLine="709"/>
      </w:pPr>
      <w:r>
        <w:rPr>
          <w:i w:val="0"/>
        </w:rPr>
        <w:t>Isso não significa suavizar a violência institucional. A negociação ocorre dentro de assimetrias intensas. Cajada não controla o processo; tenta sobreviver nele. Mas a existência de estratégias não pode ser ignorada. O arquivo inquisitorial não é simples transcrição da vontade do tribunal. É resultado de uma disputa narrativa entre denunciantes, ré, escribas, juízes e categorias disponíveis.</w:t>
      </w:r>
    </w:p>
    <w:p>
      <w:pPr>
        <w:ind w:firstLine="709"/>
      </w:pPr>
      <w:r>
        <w:rPr>
          <w:i w:val="0"/>
        </w:rPr>
        <w:t>Daí a utilidade de pensar o inquisidor como tradutor involuntário. Ao tentar reprimir práticas, o processo registra fragmentos daquilo que pretende condenar. Mas registra sempre traduzindo. As práticas de Cajada chegam ao arquivo filtradas por vocabulário cristão, demonológico e penal. O que lemos não é a feitiçaria “em si”; é a feitiçaria transformada em objeto processual.</w:t>
      </w:r>
    </w:p>
    <w:p>
      <w:pPr>
        <w:ind w:firstLine="709"/>
      </w:pPr>
      <w:r>
        <w:rPr>
          <w:i w:val="0"/>
        </w:rPr>
        <w:t>Esse ponto é metodologicamente importante para o short paper. A história do direito penal não deve tomar a categoria penal como dado. Precisa perguntar como ela foi produzida, por quem, com que efeitos, sob quais resistências e com que perdas de tradução. A bruxaria é exemplo extremo, mas não excepcional: muitos tipos penais históricos funcionam por condensação de medos sociais, moralidades e técnicas processuais.</w:t>
      </w:r>
    </w:p>
    <w:p>
      <w:pPr>
        <w:keepNext/>
        <w:spacing w:before="360" w:after="240"/>
        <w:jc w:val="left"/>
      </w:pPr>
      <w:r>
        <w:rPr>
          <w:b/>
          <w:i w:val="0"/>
        </w:rPr>
        <w:t>7 DEGREDO E CIRCULAÇÃO FORÇADA</w:t>
      </w:r>
    </w:p>
    <w:p>
      <w:pPr>
        <w:ind w:firstLine="709"/>
      </w:pPr>
      <w:r>
        <w:rPr>
          <w:i w:val="0"/>
        </w:rPr>
        <w:t>Outro eixo do caso é o degredo. A trajetória de Cajada é marcada por deslocamentos: Estremoz, Pernambuco, Bahia, Portugal. A pena não funciona apenas como sofrimento individual; opera como mecanismo de circulação forçada. O corpo punido é removido, deslocado e reinscrito em outro território.</w:t>
      </w:r>
    </w:p>
    <w:p>
      <w:pPr>
        <w:ind w:firstLine="709"/>
      </w:pPr>
      <w:r>
        <w:rPr>
          <w:i w:val="0"/>
        </w:rPr>
        <w:t>Essa lógica é central para compreender o penal colonial. A pena não é apenas prisão ou morte. Muitas vezes é deslocamento, exposição pública, penitência, marca simbólica, afastamento da comunidade e redistribuição espacial (HESPANHA, 1994). No caso de Cajada, a reincidência não interrompe o ciclo: ela acumula punições e deslocamentos. O degredo não elimina o problema; transporta-o.</w:t>
      </w:r>
    </w:p>
    <w:p>
      <w:pPr>
        <w:ind w:firstLine="709"/>
      </w:pPr>
      <w:r>
        <w:rPr>
          <w:i w:val="0"/>
        </w:rPr>
        <w:t>Comparada a Luzia Pinta, processada no século XVIII por práticas associadas ao calundu, a diferença também é significativa (SOUZA, 1986). A categoria de feitiçaria se transforma com a racialização das práticas religiosas afro-brasileiras. O sujeito penal muda. Se Cajada ainda aparece como portuguesa cristã-velha no limiar entre repertórios europeus e coloniais, os processos posteriores deslocam a suspeição para africanos, afrodescendentes, libertos e escravizados. O vetor de gênero permanece, mas é atravessado pelo vetor racial.</w:t>
      </w:r>
    </w:p>
    <w:p>
      <w:pPr>
        <w:ind w:firstLine="709"/>
      </w:pPr>
      <w:r>
        <w:rPr>
          <w:i w:val="0"/>
        </w:rPr>
        <w:t>Esse deslocamento reforça a tese da historicidade do tipo. “Bruxaria” não significa a mesma coisa em 1487, 1591, 1685 ou 1739. A palavra pode permanecer, mas seu campo de aplicação se altera. O estudo de caso, portanto, não é apenas ilustração; é prova da instabilidade categorial.</w:t>
      </w:r>
    </w:p>
    <w:p>
      <w:pPr>
        <w:keepNext/>
        <w:spacing w:before="360" w:after="240"/>
        <w:jc w:val="left"/>
      </w:pPr>
      <w:r>
        <w:rPr>
          <w:b/>
          <w:i w:val="0"/>
        </w:rPr>
        <w:t>8 CONSIDERAÇÕES FINAIS</w:t>
      </w:r>
    </w:p>
    <w:p>
      <w:pPr>
        <w:ind w:firstLine="709"/>
      </w:pPr>
      <w:r>
        <w:rPr>
          <w:i w:val="0"/>
        </w:rPr>
        <w:t xml:space="preserve">O </w:t>
      </w:r>
      <w:r>
        <w:rPr>
          <w:i/>
        </w:rPr>
        <w:t>Malleus Maleficarum</w:t>
      </w:r>
      <w:r>
        <w:rPr>
          <w:i w:val="0"/>
        </w:rPr>
        <w:t xml:space="preserve"> inventa a bruxa ao reunir tradições distintas num tipo compósito e ao oferecer uma gramática processual para transformar suspeitas em persecução. Mas essa invenção não se mantém intacta quando circula. Na Bahia inquisitorial, o modelo europeu encontra práticas mágicas domésticas, serviços remunerados, redes femininas, degredo, ausência de tribunal permanente e formas coloniais de negociação.</w:t>
      </w:r>
    </w:p>
    <w:p>
      <w:pPr>
        <w:ind w:firstLine="709"/>
      </w:pPr>
      <w:r>
        <w:rPr>
          <w:i w:val="0"/>
        </w:rPr>
        <w:t>Maria Gonçalves Cajada é importante porque ocupa o limiar. Ela parece, por alguns elementos, aproximar-se do repertório demonológico europeu: há demônios, inversão litúrgica, sinais e ameaças. Mas também escapa dele: não há sabá estruturado, pacto sexual ou comunidade diabólica; há serviço, fama, teatralidade, embuste e autodefesa. O tribunal percebe a inadequação e mesmo assim pune.</w:t>
      </w:r>
    </w:p>
    <w:p>
      <w:pPr>
        <w:ind w:firstLine="709"/>
      </w:pPr>
      <w:r>
        <w:rPr>
          <w:i w:val="0"/>
        </w:rPr>
        <w:t>Para a história do direito penal, a conclusão é clara: categorias criminais não são naturais. São produtos históricos, resultantes de disputas entre doutrina, prova, jurisdição e narrativa. A bruxaria, como tipo penal, não nasceu pronta; foi fabricada. E, ao circular, foi deformada. O caso Cajada permite ver a fabricação e a deformação ao mesmo tempo.</w:t>
      </w:r>
    </w:p>
    <w:p>
      <w:pPr>
        <w:ind w:firstLine="709"/>
      </w:pPr>
      <w:r>
        <w:rPr>
          <w:i w:val="0"/>
        </w:rPr>
        <w:t xml:space="preserve">O ganho historiográfico está em recusar duas leituras fáceis. A primeira seria tratar o </w:t>
      </w:r>
      <w:r>
        <w:rPr>
          <w:i/>
        </w:rPr>
        <w:t>Malleus</w:t>
      </w:r>
      <w:r>
        <w:rPr>
          <w:i w:val="0"/>
        </w:rPr>
        <w:t xml:space="preserve"> como causa direta de tudo que se chama feitiçaria no mundo colonial. A segunda seria separar completamente Europa e colônia, como se as categorias não circulassem. Entre influência mecânica e diferença absoluta, há tradução. É nesse espaço que o processo penal produz seus sujeitos.</w:t>
      </w:r>
    </w:p>
    <w:p>
      <w:pPr>
        <w:ind w:firstLine="709"/>
      </w:pPr>
      <w:r>
        <w:rPr>
          <w:i w:val="0"/>
        </w:rPr>
        <w:t>Por isso, a frase final do tribunal, “Parece que tudo são embustes e enganos as culpas desta ré” (ANTT, processo nº 10748), não enfraquece o caso. Ela o torna mais forte. Mostra que a punição não depende sempre de certeza robusta; depende também da disponibilidade institucional de uma categoria capaz de absorver a dúvida. Até quando duvidam, punem. E é nessa distância entre dúvida e punição que a história do direito penal se torna visível.</w:t>
      </w:r>
    </w:p>
    <w:p>
      <w:pPr>
        <w:keepNext/>
        <w:spacing w:before="360" w:after="240"/>
        <w:jc w:val="center"/>
      </w:pPr>
      <w:r>
        <w:rPr>
          <w:b/>
        </w:rPr>
        <w:t>REFERÊNCIAS</w:t>
      </w:r>
    </w:p>
    <w:p>
      <w:pPr>
        <w:spacing w:line="240" w:lineRule="auto" w:after="240"/>
        <w:jc w:val="left"/>
      </w:pPr>
      <w:r>
        <w:rPr>
          <w:i w:val="0"/>
        </w:rPr>
        <w:t xml:space="preserve">ARAÚJO, Gilmara Cruz de. </w:t>
      </w:r>
      <w:r>
        <w:rPr>
          <w:i/>
        </w:rPr>
        <w:t>Artes mágicas na Bahia quinhentista</w:t>
      </w:r>
      <w:r>
        <w:rPr>
          <w:i w:val="0"/>
        </w:rPr>
        <w:t>: o caso de Maria Gonçalves Cajada. 2016. Dissertação (Mestrado em História) — Universidade Federal de Sergipe, São Cristóvão, 2016.</w:t>
      </w:r>
    </w:p>
    <w:p>
      <w:pPr>
        <w:spacing w:line="240" w:lineRule="auto" w:after="240"/>
        <w:jc w:val="left"/>
      </w:pPr>
      <w:r>
        <w:rPr>
          <w:i w:val="0"/>
        </w:rPr>
        <w:t xml:space="preserve">BROEDEL, Hans Peter. </w:t>
      </w:r>
      <w:r>
        <w:rPr>
          <w:i/>
        </w:rPr>
        <w:t>The Malleus Maleficarum and the construction of witchcraft</w:t>
      </w:r>
      <w:r>
        <w:rPr>
          <w:i w:val="0"/>
        </w:rPr>
        <w:t>: theology and popular belief. Manchester: Manchester University Press, 2003.</w:t>
      </w:r>
    </w:p>
    <w:p>
      <w:pPr>
        <w:spacing w:line="240" w:lineRule="auto" w:after="240"/>
        <w:jc w:val="left"/>
      </w:pPr>
      <w:r>
        <w:rPr>
          <w:i w:val="0"/>
        </w:rPr>
        <w:t xml:space="preserve">EYMERICH, Nicolau. </w:t>
      </w:r>
      <w:r>
        <w:rPr>
          <w:i/>
        </w:rPr>
        <w:t>Manual dos inquisidores</w:t>
      </w:r>
      <w:r>
        <w:rPr>
          <w:i w:val="0"/>
        </w:rPr>
        <w:t>. Comentários de Francisco de la Peña. Rio de Janeiro: Rosa dos Tempos; Brasília: Fundação Universidade de Brasília, 1993.</w:t>
      </w:r>
    </w:p>
    <w:p>
      <w:pPr>
        <w:spacing w:line="240" w:lineRule="auto" w:after="240"/>
        <w:jc w:val="left"/>
      </w:pPr>
      <w:r>
        <w:rPr>
          <w:i w:val="0"/>
        </w:rPr>
        <w:t xml:space="preserve">HESPANHA, António Manuel. </w:t>
      </w:r>
      <w:r>
        <w:rPr>
          <w:i/>
        </w:rPr>
        <w:t>As vésperas do Leviathan</w:t>
      </w:r>
      <w:r>
        <w:rPr>
          <w:i w:val="0"/>
        </w:rPr>
        <w:t>: instituições e poder político, Portugal, século XVII. Coimbra: Almedina, 1994.</w:t>
      </w:r>
    </w:p>
    <w:p>
      <w:pPr>
        <w:spacing w:line="240" w:lineRule="auto" w:after="240"/>
        <w:jc w:val="left"/>
      </w:pPr>
      <w:r>
        <w:rPr>
          <w:i w:val="0"/>
        </w:rPr>
        <w:t xml:space="preserve">MECCARELLI, Massimo. Criminal law before a State monopoly. </w:t>
      </w:r>
      <w:r>
        <w:rPr>
          <w:i/>
        </w:rPr>
        <w:t>In</w:t>
      </w:r>
      <w:r>
        <w:rPr>
          <w:i w:val="0"/>
        </w:rPr>
        <w:t xml:space="preserve">: PIHLAJAMÄKI, Heikki; DUBBER, Markus D.; GODFREY, Mark (org.). </w:t>
      </w:r>
      <w:r>
        <w:rPr>
          <w:i/>
        </w:rPr>
        <w:t>The Oxford Handbook of European Legal History</w:t>
      </w:r>
      <w:r>
        <w:rPr>
          <w:i w:val="0"/>
        </w:rPr>
        <w:t>. Oxford: Oxford University Press, 2018.</w:t>
      </w:r>
    </w:p>
    <w:p>
      <w:pPr>
        <w:spacing w:line="240" w:lineRule="auto" w:after="240"/>
        <w:jc w:val="left"/>
      </w:pPr>
      <w:r>
        <w:rPr>
          <w:i w:val="0"/>
        </w:rPr>
        <w:t xml:space="preserve">SBRICCOLI, Mario. Justiça criminal. </w:t>
      </w:r>
      <w:r>
        <w:rPr>
          <w:i/>
        </w:rPr>
        <w:t>Discursos Sediciosos</w:t>
      </w:r>
      <w:r>
        <w:rPr>
          <w:i w:val="0"/>
        </w:rPr>
        <w:t>, Rio de Janeiro, n. 17/18, p. 459-504, 2011.</w:t>
      </w:r>
    </w:p>
    <w:p>
      <w:pPr>
        <w:spacing w:line="240" w:lineRule="auto" w:after="240"/>
        <w:jc w:val="left"/>
      </w:pPr>
      <w:r>
        <w:rPr>
          <w:i w:val="0"/>
        </w:rPr>
        <w:t xml:space="preserve">SOUZA, Laura de Mello e. </w:t>
      </w:r>
      <w:r>
        <w:rPr>
          <w:i/>
        </w:rPr>
        <w:t>O diabo e a Terra de Santa Cruz</w:t>
      </w:r>
      <w:r>
        <w:rPr>
          <w:i w:val="0"/>
        </w:rPr>
        <w:t>: feitiçaria e religiosidade popular no Brasil colonial. São Paulo: Companhia das Letras, 1986.</w:t>
      </w:r>
    </w:p>
    <w:p>
      <w:pPr>
        <w:spacing w:line="240" w:lineRule="auto" w:after="240"/>
        <w:jc w:val="left"/>
      </w:pPr>
      <w:r>
        <w:rPr>
          <w:i w:val="0"/>
        </w:rPr>
        <w:t xml:space="preserve">VAINFAS, Ronaldo (org.). </w:t>
      </w:r>
      <w:r>
        <w:rPr>
          <w:i/>
        </w:rPr>
        <w:t>Confissões da Bahia</w:t>
      </w:r>
      <w:r>
        <w:rPr>
          <w:i w:val="0"/>
        </w:rPr>
        <w:t>: Santo Ofício da Inquisição de Lisboa. São Paulo: Companhia das Letras, 1997.</w:t>
      </w:r>
    </w:p>
    <w:p>
      <w:pPr>
        <w:keepNext/>
        <w:spacing w:before="360" w:after="240"/>
        <w:jc w:val="center"/>
      </w:pPr>
      <w:r>
        <w:rPr>
          <w:b/>
        </w:rPr>
        <w:t>FONTES PRIMÁRIAS E EDIÇÕES DOCUMENTAIS</w:t>
      </w:r>
    </w:p>
    <w:p>
      <w:pPr>
        <w:spacing w:line="240" w:lineRule="auto" w:after="240"/>
        <w:jc w:val="left"/>
      </w:pPr>
      <w:r>
        <w:rPr>
          <w:i w:val="0"/>
        </w:rPr>
        <w:t xml:space="preserve">ABREU, João Capistrano de (ed.). </w:t>
      </w:r>
      <w:r>
        <w:rPr>
          <w:i/>
        </w:rPr>
        <w:t>Confissões da Bahia, 1591-92</w:t>
      </w:r>
      <w:r>
        <w:rPr>
          <w:i w:val="0"/>
        </w:rPr>
        <w:t>. Rio de Janeiro: Briguiet, 1935.</w:t>
      </w:r>
    </w:p>
    <w:p>
      <w:pPr>
        <w:spacing w:line="240" w:lineRule="auto" w:after="240"/>
        <w:jc w:val="left"/>
      </w:pPr>
      <w:r>
        <w:rPr>
          <w:i w:val="0"/>
        </w:rPr>
        <w:t xml:space="preserve">ABREU, João Capistrano de (ed.). </w:t>
      </w:r>
      <w:r>
        <w:rPr>
          <w:i/>
        </w:rPr>
        <w:t>Denunciações da Bahia, 1591-1593</w:t>
      </w:r>
      <w:r>
        <w:rPr>
          <w:i w:val="0"/>
        </w:rPr>
        <w:t>. São Paulo: Paulo Prado, 1925.</w:t>
      </w:r>
    </w:p>
    <w:p>
      <w:pPr>
        <w:spacing w:line="240" w:lineRule="auto" w:after="240"/>
        <w:jc w:val="left"/>
      </w:pPr>
      <w:r>
        <w:rPr>
          <w:i w:val="0"/>
        </w:rPr>
        <w:t>ARQUIVO NACIONAL DA TORRE DO TOMBO (ANTT). Inquisição de Lisboa, liv. 784, Denunciações da Bahia. Cota: PT-TT-TSO-IL-038-0784.</w:t>
      </w:r>
    </w:p>
    <w:p>
      <w:pPr>
        <w:spacing w:line="240" w:lineRule="auto" w:after="240"/>
        <w:jc w:val="left"/>
      </w:pPr>
      <w:r>
        <w:rPr>
          <w:i w:val="0"/>
        </w:rPr>
        <w:t>ARQUIVO NACIONAL DA TORRE DO TOMBO (ANTT). Inquisição de Lisboa, processo nº 10748, Maria Gonçalves Cajada. Disponível em: https://digitarq.arquivos.pt. Acesso em: 5 jul. 2026.</w:t>
      </w:r>
    </w:p>
    <w:p>
      <w:pPr>
        <w:spacing w:before="240"/>
        <w:jc w:val="center"/>
      </w:pPr>
      <w:r>
        <w:t>Florianópolis, 30 de junho de 2026</w:t>
      </w:r>
    </w:p>
    <w:sectPr w:rsidR="00FC693F" w:rsidRPr="0006063C" w:rsidSect="00034616">
      <w:footerReference w:type="default" r:id="rId9"/>
      <w:pgSz w:w="11906" w:h="16838"/>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20"/>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