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500"/>
        <w:jc w:val="center"/>
      </w:pPr>
      <w:r>
        <w:rPr>
          <w:rFonts w:ascii="Georgia" w:cs="Georgia" w:eastAsia="Georgia" w:hAnsi="Georgia"/>
          <w:b/>
          <w:bCs/>
          <w:color w:val="16324F"/>
          <w:sz w:val="54"/>
          <w:szCs w:val="54"/>
        </w:rPr>
        <w:t xml:space="preserve">ICONOCRACIA × VISÃO COMPUTACIONAL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0072B2"/>
          <w:sz w:val="31"/>
          <w:szCs w:val="31"/>
        </w:rPr>
        <w:t xml:space="preserve">Dataset, redes neurais, auditoria de integridade e plano experimental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Dossiê integrado · INE410159 / TRV410001 · 2026.2</w:t>
            </w:r>
          </w:p>
        </w:tc>
      </w:tr>
    </w:tbl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D2A33"/>
          <w:sz w:val="24"/>
          <w:szCs w:val="24"/>
        </w:rPr>
        <w:t xml:space="preserve">Ana Vitória Vanzin Mendes</w:t>
      </w:r>
    </w:p>
    <w:p>
      <w:pPr>
        <w:spacing w:after="80"/>
        <w:jc w:val="center"/>
      </w:pPr>
      <w:r>
        <w:rPr>
          <w:rFonts w:ascii="Arial" w:cs="Arial" w:eastAsia="Arial" w:hAnsi="Arial"/>
          <w:color w:val="586771"/>
          <w:sz w:val="20"/>
          <w:szCs w:val="20"/>
        </w:rPr>
        <w:t xml:space="preserve">PPGD/UFSC · ICONOCRACIA — Alegoria Feminina na História da Cultura Jurídica</w:t>
      </w:r>
    </w:p>
    <w:p>
      <w:pPr>
        <w:spacing w:after="500"/>
        <w:jc w:val="center"/>
      </w:pPr>
      <w:r>
        <w:rPr>
          <w:rFonts w:ascii="Arial" w:cs="Arial" w:eastAsia="Arial" w:hAnsi="Arial"/>
          <w:color w:val="586771"/>
          <w:sz w:val="19"/>
          <w:szCs w:val="19"/>
        </w:rPr>
        <w:t xml:space="preserve">Versão consolidada em 14 de agosto de 2026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866"/>
      </w:tblGrid>
      <w:tr>
        <w:tc>
          <w:tcPr>
            <w:tcW w:type="dxa" w:w="9866"/>
            <w:tcBorders>
              <w:top w:val="single" w:color="C8D1D6" w:sz="4"/>
              <w:left w:val="single" w:color="E69F00" w:sz="18"/>
              <w:bottom w:val="single" w:color="C8D1D6" w:sz="4"/>
              <w:right w:val="single" w:color="C8D1D6" w:sz="4"/>
            </w:tcBorders>
            <w:shd w:fill="FFF2D7" w:val="clear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E69F00"/>
                <w:sz w:val="22"/>
                <w:szCs w:val="22"/>
              </w:rPr>
              <w:t xml:space="preserve">STATUS DESTA VERSÃO</w:t>
            </w:r>
          </w:p>
          <w:p>
            <w:pPr>
              <w:pStyle w:val="Body"/>
              <w:spacing w:after="0"/>
            </w:pPr>
            <w:r>
              <w:rPr>
                <w:rFonts w:ascii="Arial" w:cs="Arial" w:eastAsia="Arial" w:hAnsi="Arial"/>
                <w:color w:val="1D2A33"/>
                <w:sz w:val="21"/>
                <w:szCs w:val="21"/>
              </w:rPr>
              <w:t xml:space="preserve">O freeze público está íntegro como pacote de metadados. A coorte visual ainda precisa ser materializada, auditada e congelada antes de qualquer treino ou avaliação.</w:t>
            </w:r>
          </w:p>
        </w:tc>
      </w:tr>
    </w:tbl>
    <w:p>
      <w:pPr>
        <w:spacing w:before="700"/>
        <w:jc w:val="center"/>
      </w:pPr>
      <w:hyperlink w:history="1" r:id="rId2dv0py0efy8yukahqw0mk">
        <w:r>
          <w:rPr>
            <w:rStyle w:val="Hyperlink"/>
          </w:rPr>
          <w:t xml:space="preserve">Dataset público no Hugging Face</w:t>
        </w:r>
      </w:hyperlink>
    </w:p>
    <w:p>
      <w:r>
        <w:br w:type="page"/>
      </w:r>
    </w:p>
    <w:p>
      <w:pPr>
        <w:pStyle w:val="Title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Sumário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900"/>
        <w:gridCol w:w="8000"/>
        <w:gridCol w:w="966"/>
      </w:tblGrid>
      <w:tr>
        <w:trPr>
          <w:cantSplit/>
          <w:tblHeader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—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Resumo executivo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Problema de pesquisa e contribuição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Encaixe na disciplina de Visão Computacional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O que está sendo construído — e o que não está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4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Freeze, publicação e identidade técnica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5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Auditoria de integridade: quatro perguntas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6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Imagens: disponibilidade não é materialização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7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Indicadores: completude formal versus validade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8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Correções em relação ao pitch inicial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9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Pipeline experimental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10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Avaliação e prevenção de vazamento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11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Cronograma e entregas da disciplina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12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Responsabilidades da equipe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13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Melhoria do workflow de agentes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14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Guardrails epistemológicos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15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Decisões a validar com os professores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16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Primeiro sprint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—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Conclusão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—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Fontes e referências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A–B</w:t>
            </w:r>
          </w:p>
        </w:tc>
        <w:tc>
          <w:tcPr>
            <w:tcW w:type="dxa" w:w="8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Apêndices</w:t>
            </w:r>
          </w:p>
        </w:tc>
        <w:tc>
          <w:tcPr>
            <w:tcW w:type="dxa" w:w="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14–15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Resumo executivo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866"/>
      </w:tblGrid>
      <w:tr>
        <w:tc>
          <w:tcPr>
            <w:tcW w:type="dxa" w:w="9866"/>
            <w:tcBorders>
              <w:top w:val="single" w:color="C8D1D6" w:sz="4"/>
              <w:left w:val="single" w:color="009E73" w:sz="18"/>
              <w:bottom w:val="single" w:color="C8D1D6" w:sz="4"/>
              <w:right w:val="single" w:color="C8D1D6" w:sz="4"/>
            </w:tcBorders>
            <w:shd w:fill="E8F5F0" w:val="clear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9E73"/>
                <w:sz w:val="22"/>
                <w:szCs w:val="22"/>
              </w:rPr>
              <w:t xml:space="preserve">RESPOSTA CURTA</w:t>
            </w:r>
          </w:p>
          <w:p>
            <w:pPr>
              <w:pStyle w:val="Body"/>
              <w:spacing w:after="0"/>
            </w:pPr>
            <w:r>
              <w:rPr>
                <w:rFonts w:ascii="Arial" w:cs="Arial" w:eastAsia="Arial" w:hAnsi="Arial"/>
                <w:color w:val="1D2A33"/>
                <w:sz w:val="21"/>
                <w:szCs w:val="21"/>
              </w:rPr>
              <w:t xml:space="preserve">Não se está criando uma grande rede neural do zero. A contribuição original é o corpus e seu conhecimento de domínio; o trabalho da disciplina construirá uma coorte visual verificável e comparará métodos clássicos, uma CNN pré-treinada e, como extensão, um transformador visual.</w:t>
            </w:r>
          </w:p>
        </w:tc>
      </w:tr>
    </w:tbl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projeto propõe um sistema de recuperação de imagens por conteúdo (CBIR) para selecionar comparanda no corpus ICONOCRACIA. Dada uma alegoria como consulta, o sistema devolverá as imagens visualmente mais próximas, com identificador, metadados, método e distância. O produto final será um atlas computacional de vizinhanças visuais, acompanhado de avaliação técnica e interpretação histórico-iconográfica.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A disciplina exige uma solução prática para um problema real de Visão Computacional. O projeto se encaixa porque combina aquisição e controle de dados, processamento clássico, aprendizado profundo, avaliação, análise de erros e explicitação das limitações. O material do Moodle não exige arquitetura neural original nem treinamento integral a partir de pesos aleatórios.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2350"/>
        <w:gridCol w:w="3000"/>
        <w:gridCol w:w="4516"/>
      </w:tblGrid>
      <w:tr>
        <w:trPr>
          <w:cantSplit/>
          <w:tblHeader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auditado</w:t>
            </w:r>
          </w:p>
        </w:tc>
        <w:tc>
          <w:tcPr>
            <w:tcW w:type="dxa" w:w="45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Conclusão permitida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Pacote publicado</w:t>
            </w:r>
          </w:p>
        </w:tc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7 arquivos do release; checksums válidos</w:t>
            </w:r>
          </w:p>
        </w:tc>
        <w:tc>
          <w:tcPr>
            <w:tcW w:type="dxa" w:w="45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Freeze de metadados íntegro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Registros</w:t>
            </w:r>
          </w:p>
        </w:tc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335/335 válidos e IDs únicos</w:t>
            </w:r>
          </w:p>
        </w:tc>
        <w:tc>
          <w:tcPr>
            <w:tcW w:type="dxa" w:w="45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Universo catalográfico fixado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Imagens no release</w:t>
            </w:r>
          </w:p>
        </w:tc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0 binários</w:t>
            </w:r>
          </w:p>
        </w:tc>
        <w:tc>
          <w:tcPr>
            <w:tcW w:type="dxa" w:w="45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Não é dataset visual autocontido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Ledger de codificação</w:t>
            </w:r>
          </w:p>
        </w:tc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286/335 linhas</w:t>
            </w:r>
          </w:p>
        </w:tc>
        <w:tc>
          <w:tcPr>
            <w:tcW w:type="dxa" w:w="45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Cobertura parcial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Indicadores</w:t>
            </w:r>
          </w:p>
        </w:tc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10 campos em 335/335; 106 vetores zerados</w:t>
            </w:r>
          </w:p>
        </w:tc>
        <w:tc>
          <w:tcPr>
            <w:tcW w:type="dxa" w:w="45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Presença formal não equivale a medição confiável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Coorte de ML</w:t>
            </w:r>
          </w:p>
        </w:tc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sem manifesto/split congelados</w:t>
            </w:r>
          </w:p>
        </w:tc>
        <w:tc>
          <w:tcPr>
            <w:tcW w:type="dxa" w:w="45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Ainda não pronta para treino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1. Problema de pesquisa e contribuição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1.1 A tese e sua tradução computacional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A tese ICONOCRACIA investiga como alegorias femininas participam da produção visual da autoridade jurídica. Seu recorte central são os séculos XIX–XX; imagens anteriores podem funcionar como antecedentes comparativos, mas não autorizam ampliar silenciosamente o recorte para “cinco séculos”. O interesse não é somente identificar venda, balança ou espada, mas compreender como corpo, postura, suporte, repetição e inscrição institucional organizam a visualidade do Direito.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Visão Computacional não substitui essa interpretação. Ela permite construir descrições formais, comparar imagens, recuperar vizinhos, testar sensibilidade a atributos e localizar atalhos visuais. O semantic gap — a distância entre padrão computacional e sentido histórico — torna-se parte do método, não um defeito a ser ocultado.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3300"/>
        <w:gridCol w:w="2900"/>
        <w:gridCol w:w="3666"/>
      </w:tblGrid>
      <w:tr>
        <w:trPr>
          <w:cantSplit/>
          <w:tblHeader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 histórico-jurídica</w:t>
            </w:r>
          </w:p>
        </w:tc>
        <w:tc>
          <w:tcPr>
            <w:tcW w:type="dxa" w:w="2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 computacional</w:t>
            </w:r>
          </w:p>
        </w:tc>
        <w:tc>
          <w:tcPr>
            <w:tcW w:type="dxa" w:w="3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Quais imagens compartilham formas e composições?</w:t>
            </w:r>
          </w:p>
        </w:tc>
        <w:tc>
          <w:tcPr>
            <w:tcW w:type="dxa" w:w="2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Embeddings, distância e CBIR</w:t>
            </w:r>
          </w:p>
        </w:tc>
        <w:tc>
          <w:tcPr>
            <w:tcW w:type="dxa" w:w="3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Proximidade não prova influência histórica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Quais atributos são visualmente detectáveis?</w:t>
            </w:r>
          </w:p>
        </w:tc>
        <w:tc>
          <w:tcPr>
            <w:tcW w:type="dxa" w:w="2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Classificação ou diagnóstico de atributos</w:t>
            </w:r>
          </w:p>
        </w:tc>
        <w:tc>
          <w:tcPr>
            <w:tcW w:type="dxa" w:w="3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Rótulos precisam de proveniência e adjudicação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Há famílias formais não previstas pelo codebook?</w:t>
            </w:r>
          </w:p>
        </w:tc>
        <w:tc>
          <w:tcPr>
            <w:tcW w:type="dxa" w:w="2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Clustering e projeção de embeddings</w:t>
            </w:r>
          </w:p>
        </w:tc>
        <w:tc>
          <w:tcPr>
            <w:tcW w:type="dxa" w:w="3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Clusters podem refletir suporte, papel ou acervo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Como separar figura, fundo e moldura?</w:t>
            </w:r>
          </w:p>
        </w:tc>
        <w:tc>
          <w:tcPr>
            <w:tcW w:type="dxa" w:w="2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Segmentação e ablação de pré-processamento</w:t>
            </w:r>
          </w:p>
        </w:tc>
        <w:tc>
          <w:tcPr>
            <w:tcW w:type="dxa" w:w="3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Máscaras/prompts e revisão humana continuam necessários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1.2 A pergunta experimental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left w:type="dxa" w:w="280"/>
          <w:bottom w:type="dxa" w:w="130"/>
          <w:right w:type="dxa" w:w="280"/>
        </w:tblCellMar>
      </w:tblPr>
      <w:tblGrid>
        <w:gridCol w:w="9866"/>
      </w:tblGrid>
      <w:tr>
        <w:tc>
          <w:tcPr>
            <w:tcW w:type="dxa" w:w="9866"/>
            <w:tcBorders>
              <w:top w:val="single" w:color="C8D1D6" w:sz="4"/>
              <w:left w:val="single" w:color="E69F00" w:sz="16"/>
              <w:bottom w:val="single" w:color="C8D1D6" w:sz="4"/>
              <w:right w:val="single" w:color="C8D1D6" w:sz="4"/>
            </w:tcBorders>
            <w:shd w:fill="FFF2D7" w:val="clear"/>
          </w:tcPr>
          <w:p>
            <w:pPr>
              <w:pStyle w:val="Quote"/>
            </w:pPr>
            <w:r>
              <w:rPr>
                <w:rFonts w:ascii="Arial" w:cs="Arial" w:eastAsia="Arial" w:hAnsi="Arial"/>
                <w:i/>
                <w:iCs/>
                <w:color w:val="16324F"/>
                <w:sz w:val="22"/>
                <w:szCs w:val="22"/>
              </w:rPr>
              <w:t xml:space="preserve">Qual representação computacional produz vizinhanças visualmente coerentes e historicamente úteis no corpus ICONOCRACIA: descritores clássicos, embeddings de CNNs ou embeddings de transformadores visuais?</w:t>
            </w:r>
          </w:p>
        </w:tc>
      </w:tr>
    </w:tbl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A hipótese não é que a CNN necessariamente “vença”. O resultado relevante é identificar quais características cada representação privilegia, em que situações surgem erros e quando a vizinhança proposta é útil para comparação especializada.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2. Encaixe na disciplina de Visão Computacional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Moodle define como objetivo geral oferecer uma visão das técnicas de análise e reconhecimento de imagens, dos métodos básicos à Inteligência Artificial. Entre os objetivos específicos está realizar um trabalho prático que resolva um problema de mundo real. O material enfatiza que não existe um modelo genérico capaz de perceber qualquer imagem: soluções práticas encadeiam técnicas específicas e devem reconhecer seus limites.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1700"/>
        <w:gridCol w:w="4200"/>
        <w:gridCol w:w="3966"/>
      </w:tblGrid>
      <w:tr>
        <w:trPr>
          <w:cantSplit/>
          <w:tblHeader/>
        </w:trPr>
        <w:tc>
          <w:tcPr>
            <w:tcW w:type="dxa" w:w="17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Eixo do curso</w:t>
            </w:r>
          </w:p>
        </w:tc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Conteúdos</w:t>
            </w:r>
          </w:p>
        </w:tc>
        <w:tc>
          <w:tcPr>
            <w:tcW w:type="dxa" w:w="3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Aplicação no projeto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Módulo 1</w:t>
            </w:r>
          </w:p>
        </w:tc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Histogramas, distâncias, k-NN, convolução, morfologia, bordas, segmentação, HOG, SIFT, SURF, ORB, Hough e Gabor</w:t>
            </w:r>
          </w:p>
        </w:tc>
        <w:tc>
          <w:tcPr>
            <w:tcW w:type="dxa" w:w="3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Baselines interpretáveis, pré-processamento e busca inicial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Módulo 2</w:t>
            </w:r>
          </w:p>
        </w:tc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ANNs, CNNs, ResNet, EfficientNet, transfer learning, YOLO, Detectron2, U-Net, ViTs, SAM, DINOv2, DETR e CLIP</w:t>
            </w:r>
          </w:p>
        </w:tc>
        <w:tc>
          <w:tcPr>
            <w:tcW w:type="dxa" w:w="3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Embeddings pré-treinados; classificação auxiliar apenas se viável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866"/>
      </w:tblGrid>
      <w:tr>
        <w:tc>
          <w:tcPr>
            <w:tcW w:type="dxa" w:w="9866"/>
            <w:tcBorders>
              <w:top w:val="single" w:color="C8D1D6" w:sz="4"/>
              <w:left w:val="single" w:color="0072B2" w:sz="18"/>
              <w:bottom w:val="single" w:color="C8D1D6" w:sz="4"/>
              <w:right w:val="single" w:color="C8D1D6" w:sz="4"/>
            </w:tcBorders>
            <w:shd w:fill="E8F3F8" w:val="clear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072B2"/>
                <w:sz w:val="22"/>
                <w:szCs w:val="22"/>
              </w:rPr>
              <w:t xml:space="preserve">IMPLICAÇÃO PEDAGÓGICA</w:t>
            </w:r>
          </w:p>
          <w:p>
            <w:pPr>
              <w:pStyle w:val="Body"/>
              <w:spacing w:after="0"/>
            </w:pPr>
            <w:r>
              <w:rPr>
                <w:rFonts w:ascii="Arial" w:cs="Arial" w:eastAsia="Arial" w:hAnsi="Arial"/>
                <w:color w:val="1D2A33"/>
                <w:sz w:val="21"/>
                <w:szCs w:val="21"/>
              </w:rPr>
              <w:t xml:space="preserve">Usar uma CNN pré-treinada não é fugir da disciplina. É aplicar aprendizado por transferência a um corpus pequeno, comparando-o com métodos clássicos e documentando por que uma rede profunda treinada do zero tende a sobreajustar.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3. O que está sendo construído — e o que não está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3.1 Três camadas distintas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D2A33"/>
          <w:sz w:val="21"/>
          <w:szCs w:val="21"/>
        </w:rPr>
        <w:t xml:space="preserve">Corpus de pesquisa. </w:t>
      </w:r>
      <w:r>
        <w:rPr>
          <w:rFonts w:ascii="Arial" w:cs="Arial" w:eastAsia="Arial" w:hAnsi="Arial"/>
          <w:color w:val="1D2A33"/>
          <w:sz w:val="21"/>
          <w:szCs w:val="21"/>
        </w:rPr>
        <w:t xml:space="preserve">É a contribuição original de Ana: seleção, catalogação, proveniência, codebook e interpretação jurídico-histórica.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D2A33"/>
          <w:sz w:val="21"/>
          <w:szCs w:val="21"/>
        </w:rPr>
        <w:t xml:space="preserve">Coorte visual experimental. </w:t>
      </w:r>
      <w:r>
        <w:rPr>
          <w:rFonts w:ascii="Arial" w:cs="Arial" w:eastAsia="Arial" w:hAnsi="Arial"/>
          <w:color w:val="1D2A33"/>
          <w:sz w:val="21"/>
          <w:szCs w:val="21"/>
        </w:rPr>
        <w:t xml:space="preserve">Será derivada do freeze após recuperar bytes, verificar imagens, resolver IDs, direitos, duplicatas e rótulos.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D2A33"/>
          <w:sz w:val="21"/>
          <w:szCs w:val="21"/>
        </w:rPr>
        <w:t xml:space="preserve">Modelos e avaliação. </w:t>
      </w:r>
      <w:r>
        <w:rPr>
          <w:rFonts w:ascii="Arial" w:cs="Arial" w:eastAsia="Arial" w:hAnsi="Arial"/>
          <w:color w:val="1D2A33"/>
          <w:sz w:val="21"/>
          <w:szCs w:val="21"/>
        </w:rPr>
        <w:t xml:space="preserve">A disciplina comparará representações sobre a mesma coorte, com consultas, galeria e protocolo de avaliação fixos.</w:t>
      </w:r>
    </w:p>
    <w:p>
      <w:pPr>
        <w:spacing w:after="100" w:before="260"/>
        <w:jc w:val="center"/>
      </w:pPr>
      <w:r>
        <w:drawing>
          <wp:inline distT="0" distB="0" distL="0" distR="0">
            <wp:extent cx="6191250" cy="3486150"/>
            <wp:effectExtent t="0" r="0" b="0" l="0"/>
            <wp:docPr id="1" name="Pipeline ICONOCRACIA-CV" descr="Fluxo do freeze de metadados à coorte visual, rótulos, split, modelos e avaliação" title="Pipeline ICONOCRACIA-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cs="Arial" w:eastAsia="Arial" w:hAnsi="Arial"/>
          <w:i/>
          <w:iCs/>
          <w:color w:val="586771"/>
          <w:sz w:val="17"/>
          <w:szCs w:val="17"/>
        </w:rPr>
        <w:t xml:space="preserve">Figura 1 — Pipeline proposto e gates de evidência. Fonte: elaboração própria, 2026.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3.2 Resposta à pergunta “estou fazendo uma rede neural do zero?”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Não, no sentido técnico de projetar e treinar uma arquitetura profunda inédita. O núcleo do trabalho é construir um problema computacional reproduzível sobre um corpus próprio. ResNet50 ou EfficientNet-B0 serão usadas inicialmente como extratoras congeladas. Uma CNN pequena, com duas ou três etapas convolucionais e pesos aleatórios, poderá aparecer apenas como controle pedagógico para observar variância e sobreajuste.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3.3 Escopo que não será prometido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YOLO como tarefa central, porque o corpus não possui caixas delimitadoras consolidadas.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Segmentação supervisionada completa, porque não existem máscaras por pixel para a coorte.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Aplicação web ou API de produção antes do notebook e da avaliação funcionarem.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Uma métrica única de “endurecimento” como alvo probatório.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Interpretação iconológica automática ou equivalência entre CNN e o terceiro nível de Panofsky.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4. Freeze, publicação e identidade técnica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universo do semestre foi fixado no release ICONOCRACIA-CV-2026-08-12. O corpus vivo pode continuar crescendo; resultados do curso devem sempre apontar para a tag imutável, não apenas para main. Em 14 de agosto de 2026, a tag continuava resolvendo para o commit remoto 1ed83d28693ae52a59da8cefef909eb9739c4ece, com acesso público e sem gate.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3000"/>
        <w:gridCol w:w="6866"/>
      </w:tblGrid>
      <w:tr>
        <w:trPr>
          <w:cantSplit/>
          <w:tblHeader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Release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ICONOCRACIA-CV-2026-08-12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Commit-fonte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0f80b6b11e95a32312a2697344f27255dbf7ef78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Commit remoto da tag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1ed83d28693ae52a59da8cefef909eb9739c4ece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Registros canônicos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335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Ledger separado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286 linhas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Licença dos metadados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CC BY 4.0; imagens permanecem sob direitos das instituições-fonte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URL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hyperlink w:history="1" r:id="rIdocvldt0fhtk6xmpksrzzr">
              <w:r>
                <w:rPr>
                  <w:rStyle w:val="Hyperlink"/>
                </w:rPr>
                <w:t xml:space="preserve">huggingface.co/datasets/warholana/iconocracy-corpus</w:t>
              </w:r>
            </w:hyperlink>
          </w:p>
        </w:tc>
      </w:tr>
    </w:tbl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4.1 Hashes do freeze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2350"/>
        <w:gridCol w:w="1450"/>
        <w:gridCol w:w="6066"/>
      </w:tblGrid>
      <w:tr>
        <w:trPr>
          <w:cantSplit/>
          <w:tblHeader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4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60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SHA-256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records.jsonl</w:t>
            </w:r>
          </w:p>
        </w:tc>
        <w:tc>
          <w:tcPr>
            <w:tcW w:type="dxa" w:w="14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335 linhas</w:t>
            </w:r>
          </w:p>
        </w:tc>
        <w:tc>
          <w:tcPr>
            <w:tcW w:type="dxa" w:w="60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93bce22629da9655cb1f61ba192d86ae837cf9a6544ce4e2f7c77bd72c87a558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corpus-data.json</w:t>
            </w:r>
          </w:p>
        </w:tc>
        <w:tc>
          <w:tcPr>
            <w:tcW w:type="dxa" w:w="14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335 itens</w:t>
            </w:r>
          </w:p>
        </w:tc>
        <w:tc>
          <w:tcPr>
            <w:tcW w:type="dxa" w:w="60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e822c5c5d20d332228384638fafcc41e80e6d3cb1030858a4e855e8c772aa7a4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purification.jsonl</w:t>
            </w:r>
          </w:p>
        </w:tc>
        <w:tc>
          <w:tcPr>
            <w:tcW w:type="dxa" w:w="14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286 linhas</w:t>
            </w:r>
          </w:p>
        </w:tc>
        <w:tc>
          <w:tcPr>
            <w:tcW w:type="dxa" w:w="60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2ceac28e974b31a59c33415f5225744aff2ea779d09e2be4882e16f8fe2b58d2</w:t>
            </w:r>
          </w:p>
        </w:tc>
      </w:tr>
    </w:tbl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Os checksums e os schemas aprovam identidade e estrutura dos arquivos. Eles não comprovam presença de imagens nem confiabilidade substantiva dos rótulos.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4.2 Infraestrutura operacional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release foi publicado no Hugging Face e validado por comparação remota byte a byte. O ambiente local também possui o servidor MCP hf-mcp-server habilitado com OAuth, útil para operações futuras no Hub. Essa integração é uma ferramenta administrativa; não altera o nível de evidência do dataset.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5. Auditoria de integridade: quatro perguntas diferentes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2100"/>
        <w:gridCol w:w="3800"/>
        <w:gridCol w:w="3966"/>
      </w:tblGrid>
      <w:tr>
        <w:trPr>
          <w:cantSplit/>
          <w:tblHeader/>
        </w:trPr>
        <w:tc>
          <w:tcPr>
            <w:tcW w:type="dxa" w:w="2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integridade</w:t>
            </w:r>
          </w:p>
        </w:tc>
        <w:tc>
          <w:tcPr>
            <w:tcW w:type="dxa" w:w="38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3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De pacote</w:t>
            </w:r>
          </w:p>
        </w:tc>
        <w:tc>
          <w:tcPr>
            <w:tcW w:type="dxa" w:w="38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Os bytes publicados correspondem ao freeze?</w:t>
            </w:r>
          </w:p>
        </w:tc>
        <w:tc>
          <w:tcPr>
            <w:tcW w:type="dxa" w:w="3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Sim: checksums e comparação remota aprovados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Estrutural</w:t>
            </w:r>
          </w:p>
        </w:tc>
        <w:tc>
          <w:tcPr>
            <w:tcW w:type="dxa" w:w="38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Os arquivos obedecem ao schema e às contagens?</w:t>
            </w:r>
          </w:p>
        </w:tc>
        <w:tc>
          <w:tcPr>
            <w:tcW w:type="dxa" w:w="3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Sim: 335/335 master records e 286/286 linhas do ledger válidos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Visual</w:t>
            </w:r>
          </w:p>
        </w:tc>
        <w:tc>
          <w:tcPr>
            <w:tcW w:type="dxa" w:w="38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As imagens estão materializadas e verificadas?</w:t>
            </w:r>
          </w:p>
        </w:tc>
        <w:tc>
          <w:tcPr>
            <w:tcW w:type="dxa" w:w="3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Não: o release contém zero binários de imagem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Semântica</w:t>
            </w:r>
          </w:p>
        </w:tc>
        <w:tc>
          <w:tcPr>
            <w:tcW w:type="dxa" w:w="38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Os dez indicadores são rótulos confiáveis em todos os itens?</w:t>
            </w:r>
          </w:p>
        </w:tc>
        <w:tc>
          <w:tcPr>
            <w:tcW w:type="dxa" w:w="3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Não: falsos zeros, proveniências provisórias e baixa adjudicação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Experimental</w:t>
            </w:r>
          </w:p>
        </w:tc>
        <w:tc>
          <w:tcPr>
            <w:tcW w:type="dxa" w:w="38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Há manifesto, grupos e splits congelados?</w:t>
            </w:r>
          </w:p>
        </w:tc>
        <w:tc>
          <w:tcPr>
            <w:tcW w:type="dxa" w:w="3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Não: vision-v1 ainda será construído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866"/>
      </w:tblGrid>
      <w:tr>
        <w:tc>
          <w:tcPr>
            <w:tcW w:type="dxa" w:w="9866"/>
            <w:tcBorders>
              <w:top w:val="single" w:color="C8D1D6" w:sz="4"/>
              <w:left w:val="single" w:color="D55E00" w:sz="18"/>
              <w:bottom w:val="single" w:color="C8D1D6" w:sz="4"/>
              <w:right w:val="single" w:color="C8D1D6" w:sz="4"/>
            </w:tcBorders>
            <w:shd w:fill="FBEAE4" w:val="clear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D55E00"/>
                <w:sz w:val="22"/>
                <w:szCs w:val="22"/>
              </w:rPr>
              <w:t xml:space="preserve">FORMULAÇÃO CORRETA</w:t>
            </w:r>
          </w:p>
          <w:p>
            <w:pPr>
              <w:pStyle w:val="Body"/>
              <w:spacing w:after="0"/>
            </w:pPr>
            <w:r>
              <w:rPr>
                <w:rFonts w:ascii="Arial" w:cs="Arial" w:eastAsia="Arial" w:hAnsi="Arial"/>
                <w:color w:val="1D2A33"/>
                <w:sz w:val="21"/>
                <w:szCs w:val="21"/>
              </w:rPr>
              <w:t xml:space="preserve">O release é íntegro como snapshot de metadados e anotações em seu estado atual. Ele ainda não é um dataset visual autocontido nem uma coorte supervisionada pronta.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6. Imagens: disponibilidade não é materialização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pacote público contém JSON, JSONL, documentação e checksums, mas nenhum arquivo JPG, PNG, TIFF ou equivalente. Os 335 registros possuem URLs catalográficas; a maior parte aponta para páginas de acervo ou serviços, não para um byte visual garantido. No export auditado, somente 12 URLs parecem arquivos de imagem pela extensão.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3300"/>
        <w:gridCol w:w="1100"/>
        <w:gridCol w:w="5466"/>
      </w:tblGrid>
      <w:tr>
        <w:trPr>
          <w:cantSplit/>
          <w:tblHeader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 visual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5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Binários no release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0</w:t>
            </w:r>
          </w:p>
        </w:tc>
        <w:tc>
          <w:tcPr>
            <w:tcW w:type="dxa" w:w="5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Não há imagens treináveis no Hugging Face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URLs catalográficas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335</w:t>
            </w:r>
          </w:p>
        </w:tc>
        <w:tc>
          <w:tcPr>
            <w:tcW w:type="dxa" w:w="5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Referências à fonte; não garantem download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thumbnail_registry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165</w:t>
            </w:r>
          </w:p>
        </w:tc>
        <w:tc>
          <w:tcPr>
            <w:tcW w:type="dxa" w:w="5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122 URLs de miniatura; registro não incluído no freeze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drive-manifest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172</w:t>
            </w:r>
          </w:p>
        </w:tc>
        <w:tc>
          <w:tcPr>
            <w:tcW w:type="dxa" w:w="5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Todas as drive_url ainda usam PLACEHOLDER_FOLDER_ID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gallery local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16</w:t>
            </w:r>
          </w:p>
        </w:tc>
        <w:tc>
          <w:tcPr>
            <w:tcW w:type="dxa" w:w="5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Amostra ilustrativa; não é coorte completa nem manifesto experimental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Pool preliminar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92</w:t>
            </w:r>
          </w:p>
        </w:tc>
        <w:tc>
          <w:tcPr>
            <w:tcW w:type="dxa" w:w="5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Candidatos com filtros de escopo, URL e proveniência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Núcleo estável estimado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≈70</w:t>
            </w:r>
          </w:p>
        </w:tc>
        <w:tc>
          <w:tcPr>
            <w:tcW w:type="dxa" w:w="5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Ainda requer download e inspeção dos bytes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Diretamente verificados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31</w:t>
            </w:r>
          </w:p>
        </w:tc>
        <w:tc>
          <w:tcPr>
            <w:tcW w:type="dxa" w:w="5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Base mais forte, ainda não congelada como vision-v1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6.1 Contrato mínimo de uma imagem elegível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binário abre e o MIME real é de imagem.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conteúdo corresponde ao objeto catalogado, e não a uma página HTML, PDF, logo ou erro.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menor lado possui pelo menos 224 pixels, salvo exceção documentada.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SHA-256, hash perceptual, dimensões, formato e modo de cor foram calculados.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Fonte, custódia, licença e condições de redistribuição foram registradas.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Duplicatas, recortes, frente/verso e itens de uma mesma série receberam um grupo indivisível.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7. Indicadores: completude formal versus validade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Os dez indicadores ordinais aparecem em 335/335 master records, sempre em escala 0–3. Essa completude é estrutural. Ela não significa que 3.350 valores tenham sido observados visualmente com a mesma qualidade.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4200"/>
        <w:gridCol w:w="1100"/>
        <w:gridCol w:w="4566"/>
      </w:tblGrid>
      <w:tr>
        <w:trPr>
          <w:cantSplit/>
          <w:tblHeader/>
        </w:trPr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45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Master records com os 10 campos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335</w:t>
            </w:r>
          </w:p>
        </w:tc>
        <w:tc>
          <w:tcPr>
            <w:tcW w:type="dxa" w:w="45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Estruturalmente completos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Linhas em purification.jsonl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286</w:t>
            </w:r>
          </w:p>
        </w:tc>
        <w:tc>
          <w:tcPr>
            <w:tcW w:type="dxa" w:w="45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49 registros sem linha no ledger separado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Vetores totalmente zerados nos master records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106</w:t>
            </w:r>
          </w:p>
        </w:tc>
        <w:tc>
          <w:tcPr>
            <w:tcW w:type="dxa" w:w="45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86 vault-import; 19 migration; 1 ana a inspecionar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Vetores com ao menos um valor &gt; 0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229</w:t>
            </w:r>
          </w:p>
        </w:tc>
        <w:tc>
          <w:tcPr>
            <w:tcW w:type="dxa" w:w="45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Não equivale automaticamente a alta confiança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Proveniências frágeis/provisórias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159</w:t>
            </w:r>
          </w:p>
        </w:tc>
        <w:tc>
          <w:tcPr>
            <w:tcW w:type="dxa" w:w="45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86 vault-import; 43 hermes-auto; 19 migration; 11 batch-tentative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Registros com confidence_score/adjudication_status</w:t>
            </w:r>
          </w:p>
        </w:tc>
        <w:tc>
          <w:tcPr>
            <w:tcW w:type="dxa" w:w="1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26</w:t>
            </w:r>
          </w:p>
        </w:tc>
        <w:tc>
          <w:tcPr>
            <w:tcW w:type="dxa" w:w="45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Todos single; sem adjudicação efetiva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866"/>
      </w:tblGrid>
      <w:tr>
        <w:tc>
          <w:tcPr>
            <w:tcW w:type="dxa" w:w="9866"/>
            <w:tcBorders>
              <w:top w:val="single" w:color="C8D1D6" w:sz="4"/>
              <w:left w:val="single" w:color="E69F00" w:sz="18"/>
              <w:bottom w:val="single" w:color="C8D1D6" w:sz="4"/>
              <w:right w:val="single" w:color="C8D1D6" w:sz="4"/>
            </w:tcBorders>
            <w:shd w:fill="FFF2D7" w:val="clear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E69F00"/>
                <w:sz w:val="22"/>
                <w:szCs w:val="22"/>
              </w:rPr>
              <w:t xml:space="preserve">REGRA SUPERVISIONADA</w:t>
            </w:r>
          </w:p>
          <w:p>
            <w:pPr>
              <w:pStyle w:val="Body"/>
              <w:spacing w:after="0"/>
            </w:pPr>
            <w:r>
              <w:rPr>
                <w:rFonts w:ascii="Arial" w:cs="Arial" w:eastAsia="Arial" w:hAnsi="Arial"/>
                <w:color w:val="1D2A33"/>
                <w:sz w:val="21"/>
                <w:szCs w:val="21"/>
              </w:rPr>
              <w:t xml:space="preserve">Zero de preenchimento não é classe negativa. Um rótulo só poderá entrar em treino ou avaliação supervisionada quando sua proveniência, relação com a imagem e status de adjudicação forem explícitos.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7.1 Os dez indicadores do codebook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3400"/>
        <w:gridCol w:w="6466"/>
      </w:tblGrid>
      <w:tr>
        <w:trPr>
          <w:cantSplit/>
          <w:tblHeader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operacional abreviada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Desincorporação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Perda de corporalidade concreta em direção à forma abstrata ou ausente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Rigidez postural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Frontalidade, simetria, imobilidade e hieratismo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Dessexualização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Supressão de marcadores de sexualidade e erotismo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Uniformização facial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Perda de individualidade facial em direção à máscara tipificada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Heraldização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Autonomização emblemática de atributos como espada, balança, fasces ou barrete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Enquadramento arquitetônico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Absorção da figura por nicho, frontão, medalhão, selo ou edifício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Apagamento narrativo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Supressão de cena, ação e personagens em favor da figura isolada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Monocromatização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Redução material da paleta em direção ao monocromático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Serialidade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Reprodução em série, de tiragem limitada à circulação massiva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Inscrição estatal</w:t>
            </w:r>
          </w:p>
        </w:tc>
        <w:tc>
          <w:tcPr>
            <w:tcW w:type="dxa" w:w="6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Vinculação ao aparato jurídico-estatal ou conversão no próprio dispositivo</w:t>
            </w:r>
          </w:p>
        </w:tc>
      </w:tr>
    </w:tbl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A escala 0–3 deve permanecer ordinal e separada por indicador. O campo composto legado </w:t>
      </w:r>
      <w:r>
        <w:rPr>
          <w:rFonts w:ascii="Menlo" w:cs="Menlo" w:eastAsia="Menlo" w:hAnsi="Menlo"/>
          <w:color w:val="1D2A33"/>
          <w:sz w:val="18"/>
          <w:szCs w:val="18"/>
        </w:rPr>
        <w:t xml:space="preserve">mean_endurecimento</w:t>
      </w:r>
      <w:r>
        <w:rPr>
          <w:rFonts w:ascii="Arial" w:cs="Arial" w:eastAsia="Arial" w:hAnsi="Arial"/>
          <w:color w:val="1D2A33"/>
          <w:sz w:val="21"/>
          <w:szCs w:val="21"/>
        </w:rPr>
        <w:t xml:space="preserve"> não será alvo supervisionado nem prova de trajetória histórica.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8. Correções em relação ao pitch inicial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4150"/>
        <w:gridCol w:w="5716"/>
      </w:tblGrid>
      <w:tr>
        <w:trPr>
          <w:cantSplit/>
          <w:tblHeader/>
        </w:trPr>
        <w:tc>
          <w:tcPr>
            <w:tcW w:type="dxa" w:w="41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Formulação a evitar</w:t>
            </w:r>
          </w:p>
        </w:tc>
        <w:tc>
          <w:tcPr>
            <w:tcW w:type="dxa" w:w="57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Formulação defensável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“Temos 335 imagens curadas.”</w:t>
            </w:r>
          </w:p>
        </w:tc>
        <w:tc>
          <w:tcPr>
            <w:tcW w:type="dxa" w:w="57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“Temos 335 registros canônicos e construiremos uma coorte visual auditada.”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“O freeze contém todas as imagens.”</w:t>
            </w:r>
          </w:p>
        </w:tc>
        <w:tc>
          <w:tcPr>
            <w:tcW w:type="dxa" w:w="57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“O freeze preserva metadados e anotações; os binários formam uma camada separada.”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“Ground truth de graça.”</w:t>
            </w:r>
          </w:p>
        </w:tc>
        <w:tc>
          <w:tcPr>
            <w:tcW w:type="dxa" w:w="57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“Referência especializada com proveniência, incerteza e adjudicação necessárias.”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“Os indicadores estão completos e corretos.”</w:t>
            </w:r>
          </w:p>
        </w:tc>
        <w:tc>
          <w:tcPr>
            <w:tcW w:type="dxa" w:w="57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“Os campos estão presentes, mas cobertura substantiva e confiança variam.”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“A rede mede o endurecimento.”</w:t>
            </w:r>
          </w:p>
        </w:tc>
        <w:tc>
          <w:tcPr>
            <w:tcW w:type="dxa" w:w="57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“O modelo mede proximidades visuais que podem subsidiar essa investigação.”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“A rede entendeu Panofsky.”</w:t>
            </w:r>
          </w:p>
        </w:tc>
        <w:tc>
          <w:tcPr>
            <w:tcW w:type="dxa" w:w="57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“A analogia delimita níveis de descrição; a interpretação histórica continua humana.”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“Distância prova influência.”</w:t>
            </w:r>
          </w:p>
        </w:tc>
        <w:tc>
          <w:tcPr>
            <w:tcW w:type="dxa" w:w="57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“Distância representa proximidade no espaço de características.”</w:t>
            </w:r>
          </w:p>
        </w:tc>
      </w:tr>
      <w:tr>
        <w:trPr>
          <w:cantSplit/>
        </w:trPr>
        <w:tc>
          <w:tcPr>
            <w:tcW w:type="dxa" w:w="415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“Estou criando uma rede neural do zero.”</w:t>
            </w:r>
          </w:p>
        </w:tc>
        <w:tc>
          <w:tcPr>
            <w:tcW w:type="dxa" w:w="571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“Estou construindo o dataset operacional e comparando representações.”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9. Pipeline experimental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9.1 Etapa 0 — dados antes de modelos</w:t>
      </w:r>
    </w:p>
    <w:p>
      <w:pPr>
        <w:pStyle w:val="Body"/>
        <w:numPr>
          <w:ilvl w:val="0"/>
          <w:numId w:val="4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Resolver UUIDs e identificadores legados em um crosswalk congelado.</w:t>
      </w:r>
    </w:p>
    <w:p>
      <w:pPr>
        <w:pStyle w:val="Body"/>
        <w:numPr>
          <w:ilvl w:val="0"/>
          <w:numId w:val="4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Recuperar ou localizar os binários autorizados.</w:t>
      </w:r>
    </w:p>
    <w:p>
      <w:pPr>
        <w:pStyle w:val="Body"/>
        <w:numPr>
          <w:ilvl w:val="0"/>
          <w:numId w:val="4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Validar MIME, dimensões, abertura e correspondência visual.</w:t>
      </w:r>
    </w:p>
    <w:p>
      <w:pPr>
        <w:pStyle w:val="Body"/>
        <w:numPr>
          <w:ilvl w:val="0"/>
          <w:numId w:val="4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Calcular SHA-256, hash perceptual e grupos de duplicatas/séries.</w:t>
      </w:r>
    </w:p>
    <w:p>
      <w:pPr>
        <w:pStyle w:val="Body"/>
        <w:numPr>
          <w:ilvl w:val="0"/>
          <w:numId w:val="4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Registrar licença e elegibilidade; gerar contact sheet para revisão.</w:t>
      </w:r>
    </w:p>
    <w:p>
      <w:pPr>
        <w:pStyle w:val="Body"/>
        <w:numPr>
          <w:ilvl w:val="0"/>
          <w:numId w:val="4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Congelar o manifesto vision-v1 e só então executar modelos.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9.2 Baselines e representações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1900"/>
        <w:gridCol w:w="4200"/>
        <w:gridCol w:w="3766"/>
      </w:tblGrid>
      <w:tr>
        <w:trPr>
          <w:cantSplit/>
          <w:tblHeader/>
        </w:trPr>
        <w:tc>
          <w:tcPr>
            <w:tcW w:type="dxa" w:w="1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Baseline mínimo</w:t>
            </w:r>
          </w:p>
        </w:tc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Pixels reduzidos + histograma HSV + distância Euclidiana/cosseno</w:t>
            </w:r>
          </w:p>
        </w:tc>
        <w:tc>
          <w:tcPr>
            <w:tcW w:type="dxa" w:w="3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Estabelecer o piso de desempenho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Visão clássica</w:t>
            </w:r>
          </w:p>
        </w:tc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HOG combinado a cor; ORB ou SIFT como ablação; k-NN</w:t>
            </w:r>
          </w:p>
        </w:tc>
        <w:tc>
          <w:tcPr>
            <w:tcW w:type="dxa" w:w="3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Contorno, postura, estrutura e pontos locais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CNN</w:t>
            </w:r>
          </w:p>
        </w:tc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ResNet50 ou EfficientNet-B0 pré-treinada; pesos congelados na primeira rodada</w:t>
            </w:r>
          </w:p>
        </w:tc>
        <w:tc>
          <w:tcPr>
            <w:tcW w:type="dxa" w:w="3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Embeddings aprendidos e comparação justa com HOG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Transformador</w:t>
            </w:r>
          </w:p>
        </w:tc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DINOv2 ou CLIP, um extrator congelado</w:t>
            </w:r>
          </w:p>
        </w:tc>
        <w:tc>
          <w:tcPr>
            <w:tcW w:type="dxa" w:w="3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Extensão global/semântica e análise de vieses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Controle opcional</w:t>
            </w:r>
          </w:p>
        </w:tc>
        <w:tc>
          <w:tcPr>
            <w:tcW w:type="dxa" w:w="4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CNN pequena com pesos aleatórios</w:t>
            </w:r>
          </w:p>
        </w:tc>
        <w:tc>
          <w:tcPr>
            <w:tcW w:type="dxa" w:w="3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Demonstrar sobreajuste; não competir como modelo principal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9.3 Tarefa supervisionada auxiliar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Uma cabeça linear ou o último bloco da CNN poderá ser ajustado para um único indicador binarizado, somente depois do gate de rótulos e do split agrupado. Candidatos preliminares são enquadramento_arquitetonico ≥ 2 ou inscricao_estatal ≥ 2. O alvo final será escolhido pela distribuição da coorte vision-v1, não pelas contagens brutas dos 335 registros.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10. Avaliação e prevenção de vazamento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10.1 Recuperação por similaridade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Serão selecionadas aproximadamente 15 consultas, estratificadas por suporte, país, período e regime, sem variantes próximas entre si. Cada método retornará top-10 sobre a mesma galeria. Os resultados serão deduplicados e avaliados sem revelar o método.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2400"/>
        <w:gridCol w:w="2200"/>
        <w:gridCol w:w="2500"/>
        <w:gridCol w:w="2766"/>
      </w:tblGrid>
      <w:tr>
        <w:trPr>
          <w:cantSplit/>
          <w:tblHeader/>
        </w:trPr>
        <w:tc>
          <w:tcPr>
            <w:tcW w:type="dxa" w:w="2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 humana</w:t>
            </w:r>
          </w:p>
        </w:tc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Similaridade formal</w:t>
            </w:r>
          </w:p>
        </w:tc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Sem relação relevante</w:t>
            </w:r>
          </w:p>
        </w:tc>
        <w:tc>
          <w:tcPr>
            <w:tcW w:type="dxa" w:w="25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Compartilha um traço</w:t>
            </w:r>
          </w:p>
        </w:tc>
        <w:tc>
          <w:tcPr>
            <w:tcW w:type="dxa" w:w="2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Forte proximidade morfológica/composicional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Utilidade iconográfica</w:t>
            </w:r>
          </w:p>
        </w:tc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Não serve como comparandum</w:t>
            </w:r>
          </w:p>
        </w:tc>
        <w:tc>
          <w:tcPr>
            <w:tcW w:type="dxa" w:w="25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Comparação possível</w:t>
            </w:r>
          </w:p>
        </w:tc>
        <w:tc>
          <w:tcPr>
            <w:tcW w:type="dxa" w:w="2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Comparandum historicamente produtivo</w:t>
            </w:r>
          </w:p>
        </w:tc>
      </w:tr>
    </w:tbl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D2A33"/>
          <w:sz w:val="21"/>
          <w:szCs w:val="21"/>
        </w:rPr>
        <w:t xml:space="preserve">Métrica primária: </w:t>
      </w:r>
      <w:r>
        <w:rPr>
          <w:rFonts w:ascii="Arial" w:cs="Arial" w:eastAsia="Arial" w:hAnsi="Arial"/>
          <w:color w:val="1D2A33"/>
          <w:sz w:val="21"/>
          <w:szCs w:val="21"/>
        </w:rPr>
        <w:t xml:space="preserve">nDCG@10 para similaridade formal.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Secundárias: nDCG@10 para utilidade iconográfica, Precision@5, tempo, memória e estabilidade.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Diagnósticos: concentração por suporte, país, período, acervo, texto, fundo, borda e moldura.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Se houver classificação: macro-F1, balanced accuracy, matriz de confusão e variação entre folds.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10.2 Unidade do split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Divisão aleatória por arquivo é inválida. Frente e verso de moeda, recortes, resoluções diferentes e objetos da mesma série podem atravessar treino e teste e inflar o desempenho. A unidade indivisível será split_group, construída por hash exato, hash perceptual, metadados e inspeção.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20"/>
          <w:bottom w:type="dxa" w:w="150"/>
          <w:right w:type="dxa" w:w="220"/>
        </w:tblCellMar>
      </w:tblPr>
      <w:tblGrid>
        <w:gridCol w:w="9866"/>
      </w:tblGrid>
      <w:tr>
        <w:tc>
          <w:tcPr>
            <w:tcW w:type="dxa" w:w="9866"/>
            <w:tcBorders>
              <w:top w:val="single" w:color="C8D1D6" w:sz="4"/>
              <w:left w:val="single" w:color="7A4EAB" w:sz="18"/>
              <w:bottom w:val="single" w:color="C8D1D6" w:sz="4"/>
              <w:right w:val="single" w:color="C8D1D6" w:sz="4"/>
            </w:tcBorders>
            <w:shd w:fill="F0EAF7" w:val="clear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7A4EAB"/>
                <w:sz w:val="22"/>
                <w:szCs w:val="22"/>
              </w:rPr>
              <w:t xml:space="preserve">REGRA DE SEGURANÇA</w:t>
            </w:r>
          </w:p>
          <w:p>
            <w:pPr>
              <w:pStyle w:val="Body"/>
              <w:spacing w:after="0"/>
            </w:pPr>
            <w:r>
              <w:rPr>
                <w:rFonts w:ascii="Arial" w:cs="Arial" w:eastAsia="Arial" w:hAnsi="Arial"/>
                <w:color w:val="1D2A33"/>
                <w:sz w:val="21"/>
                <w:szCs w:val="21"/>
              </w:rPr>
              <w:t xml:space="preserve">Com N próximo de 70, usar três folds agrupados. Cinco folds só entram se cada classe continuar representada em todos os grupos. É preferível reduzir a tarefa a relaxar o controle de vazamento.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11. Cronograma e entregas da disciplina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1300"/>
        <w:gridCol w:w="4100"/>
        <w:gridCol w:w="4466"/>
      </w:tblGrid>
      <w:tr>
        <w:trPr>
          <w:cantSplit/>
          <w:tblHeader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do curso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Marco interno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12/08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Paradigmas: clássico × deep learning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Pitch, problema e equipe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19/08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Thresholding e histogramas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Auditoria inicial e baseline de cor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26/08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Distâncias, NN e k-NN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Primeira busca por similaridade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02/09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Convolução e morfologia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Pré-processamento versionado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09/09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Bordas e Canny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Ablação de contornos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16/09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Segmentação clássica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Teste de contaminação por fundo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23/09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HOG, SIFT, SURF e ORB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Descritor clássico comparável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30/09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Hough, Gabor e pipeline clássico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Baseline clássico congelado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07/10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ANNs e backpropagation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Split agrupado e harness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14/10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CNNs, ResNet, EfficientNet e transfer learning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Embeddings CNN e checkpoint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21/10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YOLO e Detectron2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Extensão opcional de localização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04/11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U-Net e segmentação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Ablação de fundo, se necessária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11/11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Casos de deep learning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Integração e análise de erros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18/11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ViTs, SAM, DINOv2, DETR e CLIP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Um transformador visual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25/11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Andamento das equipes faltantes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Resultados e artefatos em revisão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02/12</w:t>
            </w:r>
          </w:p>
        </w:tc>
        <w:tc>
          <w:tcPr>
            <w:tcW w:type="dxa" w:w="41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Poster Session e sessão síncrona</w:t>
            </w:r>
          </w:p>
        </w:tc>
        <w:tc>
          <w:tcPr>
            <w:tcW w:type="dxa" w:w="44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Entrega final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11.1 Cinco artefatos informados pelo Moodle</w:t>
      </w:r>
    </w:p>
    <w:p>
      <w:pPr>
        <w:pStyle w:val="Body"/>
        <w:numPr>
          <w:ilvl w:val="0"/>
          <w:numId w:val="5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Relatório em PDF descrevendo a solução.</w:t>
      </w:r>
    </w:p>
    <w:p>
      <w:pPr>
        <w:pStyle w:val="Body"/>
        <w:numPr>
          <w:ilvl w:val="0"/>
          <w:numId w:val="5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Código em ZIP com link para checkpoints da rede neural.</w:t>
      </w:r>
    </w:p>
    <w:p>
      <w:pPr>
        <w:pStyle w:val="Body"/>
        <w:numPr>
          <w:ilvl w:val="0"/>
          <w:numId w:val="5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Slides em PPTX ou ODP, com link para Google Slides.</w:t>
      </w:r>
    </w:p>
    <w:p>
      <w:pPr>
        <w:pStyle w:val="Body"/>
        <w:numPr>
          <w:ilvl w:val="0"/>
          <w:numId w:val="5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Vídeo em MP4/H.265, com link para YouTube.</w:t>
      </w:r>
    </w:p>
    <w:p>
      <w:pPr>
        <w:pStyle w:val="Body"/>
        <w:numPr>
          <w:ilvl w:val="0"/>
          <w:numId w:val="5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Poster em PDF.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Moodle não esclarece se o checkpoint precisa conter uma rede ajustada integralmente ou se uma cabeça própria sobre um extrator pré-treinado é suficiente. Esse ponto deve ser confirmado com os professores.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11.2 Regras de redução de escopo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2500"/>
        <w:gridCol w:w="7366"/>
      </w:tblGrid>
      <w:tr>
        <w:trPr>
          <w:cantSplit/>
          <w:tblHeader/>
        </w:trPr>
        <w:tc>
          <w:tcPr>
            <w:tcW w:type="dxa" w:w="25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Imagens válidas após G1</w:t>
            </w:r>
          </w:p>
        </w:tc>
        <w:tc>
          <w:tcPr>
            <w:tcW w:type="dxa" w:w="73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≥ 80</w:t>
            </w:r>
          </w:p>
        </w:tc>
        <w:tc>
          <w:tcPr>
            <w:tcW w:type="dxa" w:w="73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Pipeline completo, CNN congelada e tarefa supervisionada auxiliar se G2/G3 passarem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50–79</w:t>
            </w:r>
          </w:p>
        </w:tc>
        <w:tc>
          <w:tcPr>
            <w:tcW w:type="dxa" w:w="73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Retrieval com descritores e extratores congelados; sem fine-tuning central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&lt; 50</w:t>
            </w:r>
          </w:p>
        </w:tc>
        <w:tc>
          <w:tcPr>
            <w:tcW w:type="dxa" w:w="73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Estudo piloto curado; sem alegação de desempenho geral e sem CNN profunda do zero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12. Responsabilidades da equipe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3000"/>
        <w:gridCol w:w="6866"/>
      </w:tblGrid>
      <w:tr>
        <w:trPr>
          <w:cantSplit/>
          <w:tblHeader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Especialista de domínio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Elegibilidade, recorte, adjudicação, consultas, avaliação de utilidade e limites epistemológicos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Implementação de ML/CV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Aquisição técnica, descritores, indexação, modelos, checkpoints, métricas e reprodutibilidade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Responsabilidade compartilhada</w:t>
            </w:r>
          </w:p>
        </w:tc>
        <w:tc>
          <w:tcPr>
            <w:tcW w:type="dxa" w:w="68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Hipóteses, revisão de erros, extensões, relatório, apresentação, vídeo e poster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13. Melhoria do workflow de agentes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A conversa revelou um caso sentinela de falso positivo de prontidão: a verificação de checksums, schemas e publicação estava correta, mas foi promovida indevidamente à afirmação de que o dataset estava integralmente pronto. A correção não exige apagar o release; exige impedir que um gate de metadados autorize alegações de mídia, rótulos ou ML.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13.1 Baseline observável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2200"/>
        <w:gridCol w:w="5000"/>
        <w:gridCol w:w="2666"/>
      </w:tblGrid>
      <w:tr>
        <w:trPr>
          <w:cantSplit/>
          <w:tblHeader/>
        </w:trPr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5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2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Pacote</w:t>
            </w:r>
          </w:p>
        </w:tc>
        <w:tc>
          <w:tcPr>
            <w:tcW w:type="dxa" w:w="5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7 arquivos remotos idênticos; checksums válidos</w:t>
            </w:r>
          </w:p>
        </w:tc>
        <w:tc>
          <w:tcPr>
            <w:tcW w:type="dxa" w:w="2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Estrutura</w:t>
            </w:r>
          </w:p>
        </w:tc>
        <w:tc>
          <w:tcPr>
            <w:tcW w:type="dxa" w:w="5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335/335 master records</w:t>
            </w:r>
          </w:p>
        </w:tc>
        <w:tc>
          <w:tcPr>
            <w:tcW w:type="dxa" w:w="2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Ledger</w:t>
            </w:r>
          </w:p>
        </w:tc>
        <w:tc>
          <w:tcPr>
            <w:tcW w:type="dxa" w:w="5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286/335</w:t>
            </w:r>
          </w:p>
        </w:tc>
        <w:tc>
          <w:tcPr>
            <w:tcW w:type="dxa" w:w="2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Mídia</w:t>
            </w:r>
          </w:p>
        </w:tc>
        <w:tc>
          <w:tcPr>
            <w:tcW w:type="dxa" w:w="5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0 binários publicados</w:t>
            </w:r>
          </w:p>
        </w:tc>
        <w:tc>
          <w:tcPr>
            <w:tcW w:type="dxa" w:w="2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Rótulos</w:t>
            </w:r>
          </w:p>
        </w:tc>
        <w:tc>
          <w:tcPr>
            <w:tcW w:type="dxa" w:w="5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106 zeros; 159 proveniências em auditoria</w:t>
            </w:r>
          </w:p>
        </w:tc>
        <w:tc>
          <w:tcPr>
            <w:tcW w:type="dxa" w:w="2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Não demonstrado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Experimento</w:t>
            </w:r>
          </w:p>
        </w:tc>
        <w:tc>
          <w:tcPr>
            <w:tcW w:type="dxa" w:w="5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Sem manifesto, grupos e splits congelados</w:t>
            </w:r>
          </w:p>
        </w:tc>
        <w:tc>
          <w:tcPr>
            <w:tcW w:type="dxa" w:w="26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Inexistente</w:t>
            </w:r>
          </w:p>
        </w:tc>
      </w:tr>
    </w:tbl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Há uma ocorrência observada neste episódio, suficiente para criar teste de regressão, mas insuficiente para estimar retrospectivamente taxa de erro, latência média, satisfação ou custo. Essas métricas deverão ser coletadas prospectivamente.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13.2 Gates propostos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900"/>
        <w:gridCol w:w="2200"/>
        <w:gridCol w:w="4000"/>
        <w:gridCol w:w="2766"/>
      </w:tblGrid>
      <w:tr>
        <w:trPr>
          <w:cantSplit/>
          <w:tblHeader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 responsável</w:t>
            </w:r>
          </w:p>
        </w:tc>
        <w:tc>
          <w:tcPr>
            <w:tcW w:type="dxa" w:w="4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Alegação autorizada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G0</w:t>
            </w:r>
          </w:p>
        </w:tc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Auditor de freeze</w:t>
            </w:r>
          </w:p>
        </w:tc>
        <w:tc>
          <w:tcPr>
            <w:tcW w:type="dxa" w:w="4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Schema, contagens, hashes, sincronização e identidade remota</w:t>
            </w:r>
          </w:p>
        </w:tc>
        <w:tc>
          <w:tcPr>
            <w:tcW w:type="dxa" w:w="2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Freeze de metadados íntegro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G1</w:t>
            </w:r>
          </w:p>
        </w:tc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Auditor de mídia</w:t>
            </w:r>
          </w:p>
        </w:tc>
        <w:tc>
          <w:tcPr>
            <w:tcW w:type="dxa" w:w="4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Binário, MIME, dimensões, hash, correspondência e licença</w:t>
            </w:r>
          </w:p>
        </w:tc>
        <w:tc>
          <w:tcPr>
            <w:tcW w:type="dxa" w:w="2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Coorte visual materializada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G2</w:t>
            </w:r>
          </w:p>
        </w:tc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Auditor de anotações</w:t>
            </w:r>
          </w:p>
        </w:tc>
        <w:tc>
          <w:tcPr>
            <w:tcW w:type="dxa" w:w="4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Estado medido/ausente/N.A., proveniência e adjudicação</w:t>
            </w:r>
          </w:p>
        </w:tc>
        <w:tc>
          <w:tcPr>
            <w:tcW w:type="dxa" w:w="2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Coorte rotulada elegível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G3</w:t>
            </w:r>
          </w:p>
        </w:tc>
        <w:tc>
          <w:tcPr>
            <w:tcW w:type="dxa" w:w="22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Curador de ML</w:t>
            </w:r>
          </w:p>
        </w:tc>
        <w:tc>
          <w:tcPr>
            <w:tcW w:type="dxa" w:w="40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split_group, distribuição, seeds e zero leakage</w:t>
            </w:r>
          </w:p>
        </w:tc>
        <w:tc>
          <w:tcPr>
            <w:tcW w:type="dxa" w:w="27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Dataset pronto para treino/evaluação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13.3 Métricas e testes de regressão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Meta: zero alegações de prontidão acima do gate efetivamente aprovado.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100% dos itens elegíveis ligados a binário validado; zero falsos zeros como negativos.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Zero grupos duplicados atravessando splits; reconstrução por hashes idênticos.</w:t>
      </w:r>
    </w:p>
    <w:p>
      <w:pPr>
        <w:pStyle w:val="Body"/>
        <w:numPr>
          <w:ilvl w:val="0"/>
          <w:numId w:val="6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Pacote apenas com JSON aprova G0, mas deve bloquear “dataset visual”.</w:t>
      </w:r>
    </w:p>
    <w:p>
      <w:pPr>
        <w:pStyle w:val="Body"/>
        <w:numPr>
          <w:ilvl w:val="0"/>
          <w:numId w:val="6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URL sem binário e HTML salvo como JPG devem reprovar G1.</w:t>
      </w:r>
    </w:p>
    <w:p>
      <w:pPr>
        <w:pStyle w:val="Body"/>
        <w:numPr>
          <w:ilvl w:val="0"/>
          <w:numId w:val="6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Vetor vault-import zerado deve reprovar uso supervisionado em G2.</w:t>
      </w:r>
    </w:p>
    <w:p>
      <w:pPr>
        <w:pStyle w:val="Body"/>
        <w:numPr>
          <w:ilvl w:val="0"/>
          <w:numId w:val="6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Duplicata entre treino e teste deve reprovar G3.</w:t>
      </w:r>
    </w:p>
    <w:p>
      <w:pPr>
        <w:pStyle w:val="Body"/>
        <w:numPr>
          <w:ilvl w:val="0"/>
          <w:numId w:val="6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Somente pacote completo e auditado permite a alegação do nível alcançado.</w:t>
      </w:r>
    </w:p>
    <w:p>
      <w:pPr>
        <w:pStyle w:val="Heading2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13.4 Validação e rollout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A versão atual e a proposta deverão ser comparadas em 100 cenários representativos por variante, com avaliação cega. Metas: conclusão correta +15%, correções da usuária −25%, nenhuma regressão de segurança, latência dentro de 10% e custo dentro de 5%. O rollout começa em modo sombra, segue por alpha, beta e canário 20% → 50% → 100%. Qualquer falso positivo de prontidão aciona rollback.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14. Guardrails epistemológicos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projeto não afirmará que: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uma rede neural compreendeu o terceiro nível de Panofsky;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distância entre embeddings demonstra filiação histórica;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os dez indicadores formam uma escala psicométrica única;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codebook é uma verdade objetiva;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uma classificação visual prova um regime iconocrático;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corpus é amostra probabilística de toda a cultura jurídica;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desempenho sobre esta coorte generaliza automaticamente a outros acervos.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left w:type="dxa" w:w="280"/>
          <w:bottom w:type="dxa" w:w="130"/>
          <w:right w:type="dxa" w:w="280"/>
        </w:tblCellMar>
      </w:tblPr>
      <w:tblGrid>
        <w:gridCol w:w="9866"/>
      </w:tblGrid>
      <w:tr>
        <w:tc>
          <w:tcPr>
            <w:tcW w:type="dxa" w:w="9866"/>
            <w:tcBorders>
              <w:top w:val="single" w:color="C8D1D6" w:sz="4"/>
              <w:left w:val="single" w:color="E69F00" w:sz="16"/>
              <w:bottom w:val="single" w:color="C8D1D6" w:sz="4"/>
              <w:right w:val="single" w:color="C8D1D6" w:sz="4"/>
            </w:tcBorders>
            <w:shd w:fill="FFF2D7" w:val="clear"/>
          </w:tcPr>
          <w:p>
            <w:pPr>
              <w:pStyle w:val="Quote"/>
            </w:pPr>
            <w:r>
              <w:rPr>
                <w:rFonts w:ascii="Arial" w:cs="Arial" w:eastAsia="Arial" w:hAnsi="Arial"/>
                <w:i/>
                <w:iCs/>
                <w:color w:val="16324F"/>
                <w:sz w:val="22"/>
                <w:szCs w:val="22"/>
              </w:rPr>
              <w:t xml:space="preserve">O modelo identificou proximidades em um espaço de características visuais. Essas proximidades foram avaliadas como formalmente semelhantes ou iconograficamente úteis segundo um protocolo explícito.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15. Decisões a validar com os professores</w:t>
      </w:r>
    </w:p>
    <w:p>
      <w:pPr>
        <w:pStyle w:val="Body"/>
        <w:numPr>
          <w:ilvl w:val="0"/>
          <w:numId w:val="7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Recuperação por similaridade é aceita como tarefa principal?</w:t>
      </w:r>
    </w:p>
    <w:p>
      <w:pPr>
        <w:pStyle w:val="Body"/>
        <w:numPr>
          <w:ilvl w:val="0"/>
          <w:numId w:val="7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Uma cabeça linear/checkpoint próprio sobre extrator pré-treinado satisfaz a exigência de checkpoint?</w:t>
      </w:r>
    </w:p>
    <w:p>
      <w:pPr>
        <w:pStyle w:val="Body"/>
        <w:numPr>
          <w:ilvl w:val="0"/>
          <w:numId w:val="7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Há número mínimo ou máximo de integrantes e prazo de registro?</w:t>
      </w:r>
    </w:p>
    <w:p>
      <w:pPr>
        <w:pStyle w:val="Body"/>
        <w:numPr>
          <w:ilvl w:val="0"/>
          <w:numId w:val="7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Existe rubrica ou modelo obrigatório para relatório, vídeo e poster?</w:t>
      </w:r>
    </w:p>
    <w:p>
      <w:pPr>
        <w:pStyle w:val="Body"/>
        <w:numPr>
          <w:ilvl w:val="0"/>
          <w:numId w:val="7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VLAB@UFSC estará disponível com qual hardware?</w:t>
      </w:r>
    </w:p>
    <w:p>
      <w:pPr>
        <w:pStyle w:val="Body"/>
        <w:numPr>
          <w:ilvl w:val="0"/>
          <w:numId w:val="7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ZIP pode omitir imagens restritas e reconstruí-las por manifesto?</w:t>
      </w:r>
    </w:p>
    <w:p>
      <w:pPr>
        <w:pStyle w:val="Body"/>
        <w:numPr>
          <w:ilvl w:val="0"/>
          <w:numId w:val="7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Haverá apresentação de andamento para todas as equipes?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16. Primeiro sprint</w:t>
      </w:r>
    </w:p>
    <w:p>
      <w:pPr>
        <w:pStyle w:val="Body"/>
        <w:numPr>
          <w:ilvl w:val="0"/>
          <w:numId w:val="8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Fixar a tag ICONOCRACIA-CV-2026-08-12 como universo do semestre.</w:t>
      </w:r>
    </w:p>
    <w:p>
      <w:pPr>
        <w:pStyle w:val="Body"/>
        <w:numPr>
          <w:ilvl w:val="0"/>
          <w:numId w:val="8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Gerar a lista reproduzível dos candidatos visuais e o crosswalk.</w:t>
      </w:r>
    </w:p>
    <w:p>
      <w:pPr>
        <w:pStyle w:val="Body"/>
        <w:numPr>
          <w:ilvl w:val="0"/>
          <w:numId w:val="8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Recuperar e validar os binários; calcular MIME, dimensões e hashes.</w:t>
      </w:r>
    </w:p>
    <w:p>
      <w:pPr>
        <w:pStyle w:val="Body"/>
        <w:numPr>
          <w:ilvl w:val="0"/>
          <w:numId w:val="8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Agrupar duplicatas, vistas e séries; produzir contact sheet.</w:t>
      </w:r>
    </w:p>
    <w:p>
      <w:pPr>
        <w:pStyle w:val="Body"/>
        <w:numPr>
          <w:ilvl w:val="0"/>
          <w:numId w:val="8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Adjudicar elegibilidade e proveniência dos rótulos.</w:t>
      </w:r>
    </w:p>
    <w:p>
      <w:pPr>
        <w:pStyle w:val="Body"/>
        <w:numPr>
          <w:ilvl w:val="0"/>
          <w:numId w:val="8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Congelar vision-v1 com split_group e data card.</w:t>
      </w:r>
    </w:p>
    <w:p>
      <w:pPr>
        <w:pStyle w:val="Body"/>
        <w:numPr>
          <w:ilvl w:val="0"/>
          <w:numId w:val="8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Executar histograma + k-NN antes de qualquer deep learning.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Conclusão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A força do projeto não está em inventar uma rede neural, mas em oferecer um problema interdisciplinar real com corpus próprio, controle de proveniência e uma pergunta interpretativa que a Computação sozinha não resolve. O freeze público é um marco válido de reprodutibilidade; a próxima conquista é convertê-lo, por gates explícitos, em uma coorte visual realmente processável.</w:t>
      </w:r>
    </w:p>
    <w:p>
      <w:pPr>
        <w:pStyle w:val="Body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 resultado do semestre deverá mostrar não apenas qual representação recupera vizinhos mais convincentes, mas também quando os métodos falham, que atalhos aprendem e como a especialista transforma distância computacional em comparação juridicamente e historicamente responsável.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Fontes e referências</w:t>
      </w:r>
    </w:p>
    <w:p>
      <w:pPr>
        <w:pStyle w:val="Reference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DALAL, Navneet; TRIGGS, Bill. Histograms of Oriented Gradients for Human Detection. In: IEEE CONFERENCE ON COMPUTER VISION AND PATTERN RECOGNITION, 2005.</w:t>
      </w:r>
    </w:p>
    <w:p>
      <w:pPr>
        <w:pStyle w:val="Reference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HE, Kaiming et al. Deep Residual Learning for Image Recognition. In: IEEE CONFERENCE ON COMPUTER VISION AND PATTERN RECOGNITION, 2016. p. 770–778.</w:t>
      </w:r>
    </w:p>
    <w:p>
      <w:pPr>
        <w:pStyle w:val="Reference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OQUAB, Maxime et al. DINOv2: Learning Robust Visual Features without Supervision. arXiv:2304.07193, 2023.</w:t>
      </w:r>
    </w:p>
    <w:p>
      <w:pPr>
        <w:pStyle w:val="Reference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PANOFSKY, Erwin. Meaning in the Visual Arts. Garden City: Doubleday, 1955.</w:t>
      </w:r>
    </w:p>
    <w:p>
      <w:pPr>
        <w:pStyle w:val="Reference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RADFORD, Alec et al. Learning Transferable Visual Models From Natural Language Supervision. In: INTERNATIONAL CONFERENCE ON MACHINE LEARNING, 2021. p. 8748–8763.</w:t>
      </w:r>
    </w:p>
    <w:p>
      <w:pPr>
        <w:pStyle w:val="Reference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TAN, Mingxing; LE, Quoc V. EfficientNet: Rethinking Model Scaling for Convolutional Neural Networks. Proceedings of Machine Learning Research, v. 97, p. 6105–6114, 2019.</w:t>
      </w:r>
    </w:p>
    <w:p>
      <w:pPr>
        <w:pStyle w:val="Reference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UNIVERSIDADE FEDERAL DE SANTA CATARINA. INE410159/TRV410001 — Visão Computacional, 2026.2. Moodle UFSC. Captura de 12 ago. 2026.</w:t>
      </w:r>
    </w:p>
    <w:p>
      <w:pPr>
        <w:pStyle w:val="Reference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VANZIN MENDES, Ana Vitória. ICONOCRACIA Corpus. Release ICONOCRACIA-CV-2026-08-12. Hugging Face, 2026. Disponível em: https://huggingface.co/datasets/warholana/iconocracy-corpus.</w:t>
      </w:r>
    </w:p>
    <w:p>
      <w:pPr>
        <w:pStyle w:val="Reference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VANZIN MENDES, Ana Vitória. Codebook — 10 indicadores ordinais de purificação. Repositório ICONOCRACIA, 2026.</w:t>
      </w:r>
    </w:p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Apêndice A — Manifesto mínimo de vision-v1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10"/>
          <w:left w:type="dxa" w:w="150"/>
          <w:bottom w:type="dxa" w:w="110"/>
          <w:right w:type="dxa" w:w="150"/>
        </w:tblCellMar>
      </w:tblPr>
      <w:tblGrid>
        <w:gridCol w:w="3900"/>
        <w:gridCol w:w="5966"/>
      </w:tblGrid>
      <w:tr>
        <w:trPr>
          <w:cantSplit/>
          <w:tblHeader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16324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freeze_id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ICONOCRACIA-CV-2026-08-12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sample_id / item_id / legacy_handle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Identidade estável e crosswalk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image_sha256 / local_path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Byte efetivamente processado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source_url / image_url / source_domain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Proveniência e análise de viés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license_status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Uso e redistribuição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width / height / mime_type / color_mode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Contrato técnico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year / country / support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Estratificação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series_id / split_group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Prevenção de vazamento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label_provenance / adjudication_status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Elegibilidade supervisionada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eligible / exclusion_reason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4F7F8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Decisão auditável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snapshot_date</w:t>
            </w:r>
          </w:p>
        </w:tc>
        <w:tc>
          <w:tcPr>
            <w:tcW w:type="dxa" w:w="5966"/>
            <w:tcBorders>
              <w:top w:val="single" w:color="C8D1D6" w:sz="4"/>
              <w:left w:val="single" w:color="C8D1D6" w:sz="4"/>
              <w:bottom w:val="single" w:color="C8D1D6" w:sz="4"/>
              <w:right w:val="single" w:color="C8D1D6" w:sz="4"/>
            </w:tcBorders>
            <w:shd w:fill="FFFFFF" w:val="clear"/>
            <w:vAlign w:val="center"/>
          </w:tcPr>
          <w:p>
            <w:pPr>
              <w:pStyle w:val="Small"/>
            </w:pPr>
            <w:r>
              <w:rPr>
                <w:rFonts w:ascii="Arial" w:cs="Arial" w:eastAsia="Arial" w:hAnsi="Arial"/>
                <w:color w:val="1D2A33"/>
                <w:sz w:val="18"/>
                <w:szCs w:val="18"/>
              </w:rPr>
              <w:t xml:space="preserve">Data ISO YYYY-MM-DD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1D2A33"/>
          <w:sz w:val="21"/>
          <w:szCs w:val="21"/>
        </w:rPr>
        <w:t xml:space="preserve">Apêndice B — Arquivos-fonte do dossiê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docs/apresentacao-visao-computacional-2026-2.md — pitch inicial e formulações corrigidas.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docs/projeto-disciplina-visao-computacional-2026-2.md — protocolo técnico e data card preliminar.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data/docs/codebook.md — definições operacionais dos dez indicadores.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output/huggingface/ICONOCRACIA-CV-2026-08-12/ — release local verificado.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PDF do Moodle da disciplina INE410159/TRV410001 — objetivos, módulos, cronograma e entregas.</w:t>
      </w:r>
    </w:p>
    <w:p>
      <w:pPr>
        <w:pStyle w:val="Body"/>
        <w:numPr>
          <w:ilvl w:val="0"/>
          <w:numId w:val="3"/>
        </w:numPr>
      </w:pPr>
      <w:r>
        <w:rPr>
          <w:rFonts w:ascii="Arial" w:cs="Arial" w:eastAsia="Arial" w:hAnsi="Arial"/>
          <w:color w:val="1D2A33"/>
          <w:sz w:val="21"/>
          <w:szCs w:val="21"/>
        </w:rPr>
        <w:t xml:space="preserve">Dataset público warholana/iconocracy-corpus — tag imutável do semestre.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020" w:right="1020" w:bottom="1020" w:left="1020" w:header="708" w:footer="708" w:gutter="0"/>
      <w:pgNumType w:start="1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86771"/>
        <w:sz w:val="16"/>
        <w:szCs w:val="16"/>
      </w:rPr>
      <w:t xml:space="preserve">Página </w:t>
    </w:r>
    <w:r>
      <w:rPr>
        <w:color w:val="58677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86771"/>
        <w:sz w:val="16"/>
        <w:szCs w:val="16"/>
      </w:rPr>
      <w:t xml:space="preserve"> de </w:t>
    </w:r>
    <w:r>
      <w:rPr>
        <w:color w:val="58677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86771"/>
        <w:sz w:val="16"/>
        <w:szCs w:val="16"/>
      </w:rPr>
      <w:t xml:space="preserve">ICONOCRACIA × Visão Computacional · 2026.2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1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3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3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3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3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3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50" w:hanging="33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A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Body"/>
    <w:qFormat/>
    <w:pPr>
      <w:spacing w:after="260" w:before="240"/>
      <w:jc w:val="center"/>
      <w:outlineLvl w:val="0"/>
    </w:pPr>
    <w:rPr>
      <w:rFonts w:ascii="Georgia" w:cs="Georgia" w:eastAsia="Georgia" w:hAnsi="Georgia"/>
      <w:b/>
      <w:bCs/>
      <w:color w:val="16324F"/>
      <w:sz w:val="42"/>
      <w:szCs w:val="42"/>
    </w:rPr>
  </w:style>
  <w:style w:type="paragraph" w:styleId="Heading1">
    <w:name w:val="Heading 1"/>
    <w:basedOn w:val="Normal"/>
    <w:next w:val="Body"/>
    <w:qFormat/>
    <w:pPr>
      <w:keepNext/>
      <w:spacing w:after="160" w:before="380"/>
      <w:outlineLvl w:val="0"/>
    </w:pPr>
    <w:rPr>
      <w:rFonts w:ascii="Georgia" w:cs="Georgia" w:eastAsia="Georgia" w:hAnsi="Georgia"/>
      <w:b/>
      <w:bCs/>
      <w:color w:val="16324F"/>
      <w:sz w:val="31"/>
      <w:szCs w:val="31"/>
    </w:rPr>
  </w:style>
  <w:style w:type="paragraph" w:styleId="Heading2">
    <w:name w:val="Heading 2"/>
    <w:basedOn w:val="Normal"/>
    <w:next w:val="Body"/>
    <w:qFormat/>
    <w:pPr>
      <w:keepNext/>
      <w:spacing w:after="120" w:before="280"/>
      <w:outlineLvl w:val="1"/>
    </w:pPr>
    <w:rPr>
      <w:rFonts w:ascii="Georgia" w:cs="Georgia" w:eastAsia="Georgia" w:hAnsi="Georgia"/>
      <w:b/>
      <w:bCs/>
      <w:color w:val="0072B2"/>
      <w:sz w:val="26"/>
      <w:szCs w:val="26"/>
    </w:rPr>
  </w:style>
  <w:style w:type="paragraph" w:styleId="Heading3">
    <w:name w:val="Heading 3"/>
    <w:basedOn w:val="Normal"/>
    <w:next w:val="Body"/>
    <w:qFormat/>
    <w:pPr>
      <w:keepNext/>
      <w:spacing w:after="100" w:before="220"/>
      <w:outlineLvl w:val="2"/>
    </w:pPr>
    <w:rPr>
      <w:rFonts w:ascii="Arial" w:cs="Arial" w:eastAsia="Arial" w:hAnsi="Arial"/>
      <w:b/>
      <w:bCs/>
      <w:color w:val="009E73"/>
      <w:sz w:val="23"/>
      <w:szCs w:val="23"/>
    </w:rPr>
  </w:style>
  <w:style w:type="paragraph" w:styleId="Body">
    <w:name w:val="Body"/>
    <w:basedOn w:val="Normal"/>
    <w:pPr>
      <w:widowControl/>
      <w:spacing w:after="150" w:line="286"/>
      <w:jc w:val="both"/>
    </w:pPr>
    <w:rPr>
      <w:rFonts w:ascii="Arial" w:cs="Arial" w:eastAsia="Arial" w:hAnsi="Arial"/>
      <w:color w:val="1D2A33"/>
      <w:sz w:val="21"/>
      <w:szCs w:val="21"/>
    </w:rPr>
  </w:style>
  <w:style w:type="paragraph" w:styleId="Small">
    <w:name w:val="Small"/>
    <w:basedOn w:val="Normal"/>
    <w:pPr>
      <w:widowControl/>
      <w:spacing w:after="40" w:line="240"/>
    </w:pPr>
    <w:rPr>
      <w:rFonts w:ascii="Arial" w:cs="Arial" w:eastAsia="Arial" w:hAnsi="Arial"/>
      <w:color w:val="1D2A33"/>
      <w:sz w:val="18"/>
      <w:szCs w:val="18"/>
    </w:rPr>
  </w:style>
  <w:style w:type="paragraph" w:styleId="Quote">
    <w:name w:val="Quote"/>
    <w:basedOn w:val="Body"/>
    <w:pPr>
      <w:spacing w:after="0" w:line="290"/>
      <w:jc w:val="left"/>
    </w:pPr>
    <w:rPr>
      <w:rFonts w:ascii="Georgia" w:cs="Georgia" w:eastAsia="Georgia" w:hAnsi="Georgia"/>
      <w:i/>
      <w:iCs/>
      <w:color w:val="16324F"/>
      <w:sz w:val="22"/>
      <w:szCs w:val="22"/>
    </w:rPr>
  </w:style>
  <w:style w:type="paragraph" w:styleId="Caption">
    <w:name w:val="Caption"/>
    <w:basedOn w:val="Normal"/>
    <w:pPr>
      <w:spacing w:after="180"/>
      <w:jc w:val="center"/>
    </w:pPr>
    <w:rPr>
      <w:rFonts w:ascii="Arial" w:cs="Arial" w:eastAsia="Arial" w:hAnsi="Arial"/>
      <w:i/>
      <w:iCs/>
      <w:color w:val="586771"/>
      <w:sz w:val="17"/>
      <w:szCs w:val="17"/>
    </w:rPr>
  </w:style>
  <w:style w:type="paragraph" w:styleId="Reference">
    <w:name w:val="Reference"/>
    <w:basedOn w:val="Body"/>
    <w:pPr>
      <w:spacing w:after="100" w:line="240"/>
      <w:ind w:hanging="540"/>
    </w:pPr>
    <w:rPr>
      <w:rFonts w:ascii="Arial" w:cs="Arial" w:eastAsia="Arial" w:hAnsi="Arial"/>
      <w:color w:val="1D2A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2dv0py0efy8yukahqw0mk" Type="http://schemas.openxmlformats.org/officeDocument/2006/relationships/hyperlink" Target="https://huggingface.co/datasets/warholana/iconocracy-corpus/tree/ICONOCRACIA-CV-2026-08-12" TargetMode="External"/><Relationship Id="rIdocvldt0fhtk6xmpksrzzr" Type="http://schemas.openxmlformats.org/officeDocument/2006/relationships/hyperlink" Target="https://huggingface.co/datasets/warholana/iconocracy-corpus" TargetMode="External"/><Relationship Id="rId10" Type="http://schemas.openxmlformats.org/officeDocument/2006/relationships/image" Target="media/bb3fca19b9a7d48f7fc4847008af20d566ff72c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ICONOCRACIA × Visão Computacional — dossiê integrado 2026.2</dc:title>
  <dc:subject>Dataset, redes neurais, auditoria e plano experimental</dc:subject>
  <dc:creator>Ana Vitória Vanzin Mendes</dc:creator>
  <cp:keywords>ICONOCRACIA, visão computacional, CNN, dataset, CBIR, transfer learning, iconografia jurídica</cp:keywords>
  <dc:description>Dossiê integrado para INE410159/TRV410001 — Visão Computacional 2026.2</dc:description>
  <cp:lastModifiedBy>Un-named</cp:lastModifiedBy>
  <cp:revision>1</cp:revision>
  <dcterms:created xsi:type="dcterms:W3CDTF">2026-08-14T05:00:11.470Z</dcterms:created>
  <dcterms:modified xsi:type="dcterms:W3CDTF">2026-08-14T05:00:11.477Z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