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/>
    <w:p/>
    <w:p/>
    <w:p/>
    <w:p/>
    <w:p>
      <w:pPr>
        <w:spacing w:after="280"/>
      </w:pPr>
      <w:r>
        <w:rPr>
          <w:rFonts w:ascii="Helvetica Neue" w:hAnsi="Helvetica Neue"/>
          <w:b/>
          <w:color w:val="0B2F50"/>
          <w:sz w:val="84"/>
        </w:rPr>
        <w:t>MEMORANDO</w:t>
        <w:br/>
        <w:t>ESTRATÉGICO</w:t>
      </w:r>
    </w:p>
    <w:p>
      <w:pPr>
        <w:spacing w:after="680"/>
      </w:pPr>
      <w:r>
        <w:rPr>
          <w:rFonts w:ascii="Helvetica Neue" w:hAnsi="Helvetica Neue"/>
          <w:color w:val="5C7288"/>
          <w:sz w:val="40"/>
        </w:rPr>
        <w:t>Consolidação do ICONOCRACIA-CV</w:t>
        <w:br/>
        <w:t>no monorepo iconocracy-corpus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DFEAF3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40"/>
            </w:pPr>
            <w:r>
              <w:rPr>
                <w:b/>
                <w:color w:val="0B2F50"/>
                <w:sz w:val="18"/>
              </w:rPr>
              <w:t>DECISÃO CENTRAL</w:t>
            </w:r>
          </w:p>
          <w:p>
            <w:pPr>
              <w:spacing w:after="0"/>
            </w:pPr>
            <w:r>
              <w:t>Manter uma única fonte canônica de dados e método no monorepo, com a experiência da disciplina isolada em deploy/iconocracia-cv e publicada como saída derivada.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592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AUTORIA</w:t>
            </w:r>
          </w:p>
        </w:tc>
        <w:tc>
          <w:tcPr>
            <w:tcW w:type="dxa" w:w="3456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DESTINAÇÃO</w:t>
            </w:r>
          </w:p>
        </w:tc>
        <w:tc>
          <w:tcPr>
            <w:tcW w:type="dxa" w:w="2232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1224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592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Ana Vitória Vanzin Mendes</w:t>
            </w:r>
          </w:p>
        </w:tc>
        <w:tc>
          <w:tcPr>
            <w:tcW w:type="dxa" w:w="3456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ICONOCRACIA / PPGD-UFSC / disciplina</w:t>
            </w:r>
          </w:p>
        </w:tc>
        <w:tc>
          <w:tcPr>
            <w:tcW w:type="dxa" w:w="2232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14 de agosto de 2026</w:t>
            </w:r>
          </w:p>
        </w:tc>
        <w:tc>
          <w:tcPr>
            <w:tcW w:type="dxa" w:w="1224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Final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1. Recomendação executiva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DFEAF3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40"/>
            </w:pPr>
            <w:r>
              <w:rPr>
                <w:b/>
                <w:color w:val="0B2F50"/>
                <w:sz w:val="18"/>
              </w:rPr>
              <w:t>RECOMENDAÇÃO</w:t>
            </w:r>
          </w:p>
          <w:p>
            <w:pPr>
              <w:spacing w:after="0"/>
            </w:pPr>
            <w:r>
              <w:t>Adotar o iconocracy-corpus como fonte única de verdade; manter a aplicação da disciplina como unidade de deploy isolada; preservar a publicação pública no Cloudflare Pages; e tratar a página privada no Sites como superfície secundária até que a migração de origem seja aceita pelo provedor.</w:t>
            </w:r>
          </w:p>
        </w:tc>
      </w:tr>
    </w:tbl>
    <w:p>
      <w:pPr>
        <w:pStyle w:val="Heading2"/>
        <w:keepNext/>
        <w:keepLines/>
      </w:pPr>
      <w:r>
        <w:t>Por que esta decisão</w:t>
      </w:r>
    </w:p>
    <w:p>
      <w:pPr>
        <w:spacing w:after="60"/>
        <w:ind w:left="317" w:hanging="230"/>
      </w:pPr>
      <w:r>
        <w:rPr>
          <w:b/>
          <w:color w:val="2D6E9E"/>
        </w:rPr>
        <w:t xml:space="preserve">•  </w:t>
      </w:r>
      <w:r>
        <w:t>Elimina a competição entre dois repositórios que poderiam divergir em dados, documentação e interface.</w:t>
      </w:r>
    </w:p>
    <w:p>
      <w:pPr>
        <w:spacing w:after="60"/>
        <w:ind w:left="317" w:hanging="230"/>
      </w:pPr>
      <w:r>
        <w:rPr>
          <w:b/>
          <w:color w:val="2D6E9E"/>
        </w:rPr>
        <w:t xml:space="preserve">•  </w:t>
      </w:r>
      <w:r>
        <w:t>Preserva a hierarquia do corpus: ledgers canônicos → freeze verificável → análises e produtos derivados.</w:t>
      </w:r>
    </w:p>
    <w:p>
      <w:pPr>
        <w:spacing w:after="60"/>
        <w:ind w:left="317" w:hanging="230"/>
      </w:pPr>
      <w:r>
        <w:rPr>
          <w:b/>
          <w:color w:val="2D6E9E"/>
        </w:rPr>
        <w:t xml:space="preserve">•  </w:t>
      </w:r>
      <w:r>
        <w:t>Permite que o projeto da disciplina tenha identidade, rotas e ciclo de deploy próprios sem copiar o dataset.</w:t>
      </w:r>
    </w:p>
    <w:p>
      <w:pPr>
        <w:spacing w:after="60"/>
        <w:ind w:left="317" w:hanging="230"/>
      </w:pPr>
      <w:r>
        <w:rPr>
          <w:b/>
          <w:color w:val="2D6E9E"/>
        </w:rPr>
        <w:t xml:space="preserve">•  </w:t>
      </w:r>
      <w:r>
        <w:t>Mantém rastreabilidade acadêmica: contagens, hashes, N por tarefa e limitações permanecem auditáveis no mesmo repositório.</w:t>
      </w:r>
    </w:p>
    <w:p>
      <w:pPr>
        <w:pStyle w:val="Heading2"/>
        <w:keepNext/>
        <w:keepLines/>
      </w:pPr>
      <w:r>
        <w:t>Resultado já alcançado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376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664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8"/>
              </w:rPr>
              <w:t>Estado confirmado</w:t>
            </w:r>
          </w:p>
        </w:tc>
        <w:tc>
          <w:tcPr>
            <w:tcW w:type="dxa" w:w="4320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8"/>
              </w:rPr>
              <w:t>Implicção</w:t>
            </w:r>
          </w:p>
        </w:tc>
      </w:tr>
      <w:tr>
        <w:tc>
          <w:tcPr>
            <w:tcW w:type="dxa" w:w="2376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8"/>
              </w:rPr>
              <w:t>Fonte canônica</w:t>
            </w:r>
          </w:p>
        </w:tc>
        <w:tc>
          <w:tcPr>
            <w:tcW w:type="dxa" w:w="2664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8"/>
              </w:rPr>
              <w:t>1 monorepo</w:t>
            </w:r>
          </w:p>
        </w:tc>
        <w:tc>
          <w:tcPr>
            <w:tcW w:type="dxa" w:w="432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8"/>
              </w:rPr>
              <w:t>Governança concentrada</w:t>
            </w:r>
          </w:p>
        </w:tc>
      </w:tr>
      <w:tr>
        <w:tc>
          <w:tcPr>
            <w:tcW w:type="dxa" w:w="237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8"/>
              </w:rPr>
              <w:t>Freeze da disciplina</w:t>
            </w:r>
          </w:p>
        </w:tc>
        <w:tc>
          <w:tcPr>
            <w:tcW w:type="dxa" w:w="2664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8"/>
              </w:rPr>
              <w:t>335 registros</w:t>
            </w:r>
          </w:p>
        </w:tc>
        <w:tc>
          <w:tcPr>
            <w:tcW w:type="dxa" w:w="4320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8"/>
              </w:rPr>
              <w:t>N preservado sem duplicação</w:t>
            </w:r>
          </w:p>
        </w:tc>
      </w:tr>
      <w:tr>
        <w:tc>
          <w:tcPr>
            <w:tcW w:type="dxa" w:w="2376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8"/>
              </w:rPr>
              <w:t>Ledger de purificação</w:t>
            </w:r>
          </w:p>
        </w:tc>
        <w:tc>
          <w:tcPr>
            <w:tcW w:type="dxa" w:w="2664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8"/>
              </w:rPr>
              <w:t>286 observações</w:t>
            </w:r>
          </w:p>
        </w:tc>
        <w:tc>
          <w:tcPr>
            <w:tcW w:type="dxa" w:w="432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8"/>
              </w:rPr>
              <w:t>49 pendências explicitadas</w:t>
            </w:r>
          </w:p>
        </w:tc>
      </w:tr>
      <w:tr>
        <w:tc>
          <w:tcPr>
            <w:tcW w:type="dxa" w:w="237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8"/>
              </w:rPr>
              <w:t>Aplicativo</w:t>
            </w:r>
          </w:p>
        </w:tc>
        <w:tc>
          <w:tcPr>
            <w:tcW w:type="dxa" w:w="2664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8"/>
              </w:rPr>
              <w:t>deploy/iconocracia-cv</w:t>
            </w:r>
          </w:p>
        </w:tc>
        <w:tc>
          <w:tcPr>
            <w:tcW w:type="dxa" w:w="4320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8"/>
              </w:rPr>
              <w:t>Fronteira técnica clara</w:t>
            </w:r>
          </w:p>
        </w:tc>
      </w:tr>
      <w:tr>
        <w:tc>
          <w:tcPr>
            <w:tcW w:type="dxa" w:w="2376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8"/>
              </w:rPr>
              <w:t>Consulta</w:t>
            </w:r>
          </w:p>
        </w:tc>
        <w:tc>
          <w:tcPr>
            <w:tcW w:type="dxa" w:w="2664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8"/>
              </w:rPr>
              <w:t>335 itens em 6 lotes</w:t>
            </w:r>
          </w:p>
        </w:tc>
        <w:tc>
          <w:tcPr>
            <w:tcW w:type="dxa" w:w="432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8"/>
              </w:rPr>
              <w:t>Camada derivada reproduzível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2. Contexto e alternativas</w:t>
      </w:r>
    </w:p>
    <w:p>
      <w:r>
        <w:t>O corpus de doutorado e o projeto da disciplina passaram a compartilhar o mesmo conjunto de dados, a mesma documentação metodológica e a mesma narrativa pública. A duplicação em um repositório autônomo ampliaria o risco de drift justamente nos elementos que precisam permanecer demonstráveis: registros, hashes, cobertura e limites de inferência.</w:t>
      </w:r>
    </w:p>
    <w:p>
      <w:pPr>
        <w:pStyle w:val="Heading2"/>
        <w:keepNext/>
        <w:keepLines/>
      </w:pPr>
      <w:r>
        <w:t>Alternativas consideradas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2592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Alternativa</w:t>
            </w:r>
          </w:p>
        </w:tc>
        <w:tc>
          <w:tcPr>
            <w:tcW w:type="dxa" w:w="1656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Tempo para valor</w:t>
            </w:r>
          </w:p>
        </w:tc>
        <w:tc>
          <w:tcPr>
            <w:tcW w:type="dxa" w:w="1656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Risco</w:t>
            </w:r>
          </w:p>
        </w:tc>
        <w:tc>
          <w:tcPr>
            <w:tcW w:type="dxa" w:w="1656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Aderência</w:t>
            </w:r>
          </w:p>
        </w:tc>
        <w:tc>
          <w:tcPr>
            <w:tcW w:type="dxa" w:w="1800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Decisão</w:t>
            </w:r>
          </w:p>
        </w:tc>
      </w:tr>
      <w:tr>
        <w:tc>
          <w:tcPr>
            <w:tcW w:type="dxa" w:w="2592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A. Repositório autônomo</w:t>
            </w:r>
          </w:p>
        </w:tc>
        <w:tc>
          <w:tcPr>
            <w:tcW w:type="dxa" w:w="1656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Imediato</w:t>
            </w:r>
          </w:p>
        </w:tc>
        <w:tc>
          <w:tcPr>
            <w:tcW w:type="dxa" w:w="1656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Médio</w:t>
            </w:r>
          </w:p>
        </w:tc>
        <w:tc>
          <w:tcPr>
            <w:tcW w:type="dxa" w:w="1656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Baixa</w:t>
            </w:r>
          </w:p>
        </w:tc>
        <w:tc>
          <w:tcPr>
            <w:tcW w:type="dxa" w:w="180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Não seguir</w:t>
            </w:r>
          </w:p>
        </w:tc>
      </w:tr>
      <w:tr>
        <w:tc>
          <w:tcPr>
            <w:tcW w:type="dxa" w:w="2592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B. Dois repositórios sincronizados</w:t>
            </w:r>
          </w:p>
        </w:tc>
        <w:tc>
          <w:tcPr>
            <w:tcW w:type="dxa" w:w="165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Curto</w:t>
            </w:r>
          </w:p>
        </w:tc>
        <w:tc>
          <w:tcPr>
            <w:tcW w:type="dxa" w:w="165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Alto</w:t>
            </w:r>
          </w:p>
        </w:tc>
        <w:tc>
          <w:tcPr>
            <w:tcW w:type="dxa" w:w="165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Baixa</w:t>
            </w:r>
          </w:p>
        </w:tc>
        <w:tc>
          <w:tcPr>
            <w:tcW w:type="dxa" w:w="1800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Rejeitar</w:t>
            </w:r>
          </w:p>
        </w:tc>
      </w:tr>
      <w:tr>
        <w:tc>
          <w:tcPr>
            <w:tcW w:type="dxa" w:w="2592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C. Monorepo + app isolada</w:t>
            </w:r>
          </w:p>
        </w:tc>
        <w:tc>
          <w:tcPr>
            <w:tcW w:type="dxa" w:w="1656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Curto</w:t>
            </w:r>
          </w:p>
        </w:tc>
        <w:tc>
          <w:tcPr>
            <w:tcW w:type="dxa" w:w="1656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Baixo–médio</w:t>
            </w:r>
          </w:p>
        </w:tc>
        <w:tc>
          <w:tcPr>
            <w:tcW w:type="dxa" w:w="1656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Alta</w:t>
            </w:r>
          </w:p>
        </w:tc>
        <w:tc>
          <w:tcPr>
            <w:tcW w:type="dxa" w:w="180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Recomendado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Critérios de decisão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880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Critério</w:t>
            </w:r>
          </w:p>
        </w:tc>
        <w:tc>
          <w:tcPr>
            <w:tcW w:type="dxa" w:w="2088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A</w:t>
            </w:r>
          </w:p>
        </w:tc>
        <w:tc>
          <w:tcPr>
            <w:tcW w:type="dxa" w:w="2448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B</w:t>
            </w:r>
          </w:p>
        </w:tc>
        <w:tc>
          <w:tcPr>
            <w:tcW w:type="dxa" w:w="1944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C</w:t>
            </w:r>
          </w:p>
        </w:tc>
      </w:tr>
      <w:tr>
        <w:tc>
          <w:tcPr>
            <w:tcW w:type="dxa" w:w="288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Integridade do corpus</w:t>
            </w:r>
          </w:p>
        </w:tc>
        <w:tc>
          <w:tcPr>
            <w:tcW w:type="dxa" w:w="2088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Exige replicação</w:t>
            </w:r>
          </w:p>
        </w:tc>
        <w:tc>
          <w:tcPr>
            <w:tcW w:type="dxa" w:w="2448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Exige sincronização</w:t>
            </w:r>
          </w:p>
        </w:tc>
        <w:tc>
          <w:tcPr>
            <w:tcW w:type="dxa" w:w="1944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Nativa</w:t>
            </w:r>
          </w:p>
        </w:tc>
      </w:tr>
      <w:tr>
        <w:tc>
          <w:tcPr>
            <w:tcW w:type="dxa" w:w="2880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Autonomia da disciplina</w:t>
            </w:r>
          </w:p>
        </w:tc>
        <w:tc>
          <w:tcPr>
            <w:tcW w:type="dxa" w:w="2088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Alta</w:t>
            </w:r>
          </w:p>
        </w:tc>
        <w:tc>
          <w:tcPr>
            <w:tcW w:type="dxa" w:w="2448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Alta</w:t>
            </w:r>
          </w:p>
        </w:tc>
        <w:tc>
          <w:tcPr>
            <w:tcW w:type="dxa" w:w="1944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Alta, por diretório</w:t>
            </w:r>
          </w:p>
        </w:tc>
      </w:tr>
      <w:tr>
        <w:tc>
          <w:tcPr>
            <w:tcW w:type="dxa" w:w="288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Rastreabilidade</w:t>
            </w:r>
          </w:p>
        </w:tc>
        <w:tc>
          <w:tcPr>
            <w:tcW w:type="dxa" w:w="2088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Fragmentada</w:t>
            </w:r>
          </w:p>
        </w:tc>
        <w:tc>
          <w:tcPr>
            <w:tcW w:type="dxa" w:w="2448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Condicional</w:t>
            </w:r>
          </w:p>
        </w:tc>
        <w:tc>
          <w:tcPr>
            <w:tcW w:type="dxa" w:w="1944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Concentrada</w:t>
            </w:r>
          </w:p>
        </w:tc>
      </w:tr>
      <w:tr>
        <w:tc>
          <w:tcPr>
            <w:tcW w:type="dxa" w:w="2880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Manutenção</w:t>
            </w:r>
          </w:p>
        </w:tc>
        <w:tc>
          <w:tcPr>
            <w:tcW w:type="dxa" w:w="2088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Duplicada</w:t>
            </w:r>
          </w:p>
        </w:tc>
        <w:tc>
          <w:tcPr>
            <w:tcW w:type="dxa" w:w="2448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Duplicada + automação</w:t>
            </w:r>
          </w:p>
        </w:tc>
        <w:tc>
          <w:tcPr>
            <w:tcW w:type="dxa" w:w="1944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Uma fonte</w:t>
            </w:r>
          </w:p>
        </w:tc>
      </w:tr>
      <w:tr>
        <w:tc>
          <w:tcPr>
            <w:tcW w:type="dxa" w:w="288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Reversibilidade</w:t>
            </w:r>
          </w:p>
        </w:tc>
        <w:tc>
          <w:tcPr>
            <w:tcW w:type="dxa" w:w="2088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Média</w:t>
            </w:r>
          </w:p>
        </w:tc>
        <w:tc>
          <w:tcPr>
            <w:tcW w:type="dxa" w:w="2448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Baixa</w:t>
            </w:r>
          </w:p>
        </w:tc>
        <w:tc>
          <w:tcPr>
            <w:tcW w:type="dxa" w:w="1944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Alta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DFEAF3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40"/>
            </w:pPr>
            <w:r>
              <w:rPr>
                <w:b/>
                <w:color w:val="0B2F50"/>
                <w:sz w:val="18"/>
              </w:rPr>
              <w:t>PRINCÍPIO</w:t>
            </w:r>
          </w:p>
          <w:p>
            <w:pPr>
              <w:spacing w:after="0"/>
            </w:pPr>
            <w:r>
              <w:t>O produto pode ter ciclo próprio; os dados e a metodologia não devem ter duas autoridades.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t>3. Evidência operacional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919794"/>
            <wp:docPr id="1" name="Picture 1" title="Cobertura do ledger de purificação" descr="Gráfico de barras com 335 itens, 286 observações e 49 pendências. O regime militar concentra 26 pendências e apresenta cobertura de 51,9%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19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7288"/>
          <w:sz w:val="17"/>
        </w:rPr>
        <w:t>Figura 1. Cobertura confirmada no freeze de 12 de agosto de 2026.</w:t>
      </w:r>
    </w:p>
    <w:p>
      <w:pPr>
        <w:pStyle w:val="Heading2"/>
        <w:keepNext/>
        <w:keepLines/>
      </w:pPr>
      <w:r>
        <w:t>Leitura estratégica</w:t>
      </w:r>
    </w:p>
    <w:p>
      <w:pPr>
        <w:spacing w:after="60"/>
        <w:ind w:left="317" w:hanging="230"/>
      </w:pPr>
      <w:r>
        <w:rPr>
          <w:b/>
          <w:color w:val="2D6E9E"/>
        </w:rPr>
        <w:t xml:space="preserve">•  </w:t>
      </w:r>
      <w:r>
        <w:t>O N catalográfico está estável em 335; o N analítico varia conforme a tarefa e deve ser declarado separadamente.</w:t>
      </w:r>
    </w:p>
    <w:p>
      <w:pPr>
        <w:spacing w:after="60"/>
        <w:ind w:left="317" w:hanging="230"/>
      </w:pPr>
      <w:r>
        <w:rPr>
          <w:b/>
          <w:color w:val="2D6E9E"/>
        </w:rPr>
        <w:t xml:space="preserve">•  </w:t>
      </w:r>
      <w:r>
        <w:t>O ledger separado cobre 85,4% do corpus. A lacuna não é uniforme: 26 das 49 pendências estão no regime militar.</w:t>
      </w:r>
    </w:p>
    <w:p>
      <w:pPr>
        <w:spacing w:after="60"/>
        <w:ind w:left="317" w:hanging="230"/>
      </w:pPr>
      <w:r>
        <w:rPr>
          <w:b/>
          <w:color w:val="2D6E9E"/>
        </w:rPr>
        <w:t xml:space="preserve">•  </w:t>
      </w:r>
      <w:r>
        <w:t>A página de divulgação deve apresentar essas diferenças como limitação metodológica, não como falha a ocultar.</w:t>
      </w:r>
    </w:p>
    <w:p>
      <w:r>
        <w:br w:type="page"/>
      </w:r>
    </w:p>
    <w:p>
      <w:pPr>
        <w:pStyle w:val="Heading1"/>
        <w:keepNext/>
        <w:keepLines/>
      </w:pPr>
      <w:r>
        <w:t>4. Riscos, condições e próximos passos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592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1512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Probabilidade</w:t>
            </w:r>
          </w:p>
        </w:tc>
        <w:tc>
          <w:tcPr>
            <w:tcW w:type="dxa" w:w="1224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032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Resposta</w:t>
            </w:r>
          </w:p>
        </w:tc>
      </w:tr>
      <w:tr>
        <w:tc>
          <w:tcPr>
            <w:tcW w:type="dxa" w:w="2592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Fonte hospedada divergir do monorepo</w:t>
            </w:r>
          </w:p>
        </w:tc>
        <w:tc>
          <w:tcPr>
            <w:tcW w:type="dxa" w:w="1512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Média</w:t>
            </w:r>
          </w:p>
        </w:tc>
        <w:tc>
          <w:tcPr>
            <w:tcW w:type="dxa" w:w="1224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Alto</w:t>
            </w:r>
          </w:p>
        </w:tc>
        <w:tc>
          <w:tcPr>
            <w:tcW w:type="dxa" w:w="4032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Build apenas a partir de deploy/iconocracia-cv</w:t>
            </w:r>
          </w:p>
        </w:tc>
      </w:tr>
      <w:tr>
        <w:tc>
          <w:tcPr>
            <w:tcW w:type="dxa" w:w="2592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Migração do Sites falhar novamente</w:t>
            </w:r>
          </w:p>
        </w:tc>
        <w:tc>
          <w:tcPr>
            <w:tcW w:type="dxa" w:w="1512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Média</w:t>
            </w:r>
          </w:p>
        </w:tc>
        <w:tc>
          <w:tcPr>
            <w:tcW w:type="dxa" w:w="1224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Baixo</w:t>
            </w:r>
          </w:p>
        </w:tc>
        <w:tc>
          <w:tcPr>
            <w:tcW w:type="dxa" w:w="4032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Preservar deploy privado atual; repetir sem interromper a pública</w:t>
            </w:r>
          </w:p>
        </w:tc>
      </w:tr>
      <w:tr>
        <w:tc>
          <w:tcPr>
            <w:tcW w:type="dxa" w:w="2592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Seed do Supabase ficar obsoleto</w:t>
            </w:r>
          </w:p>
        </w:tc>
        <w:tc>
          <w:tcPr>
            <w:tcW w:type="dxa" w:w="1512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Média</w:t>
            </w:r>
          </w:p>
        </w:tc>
        <w:tc>
          <w:tcPr>
            <w:tcW w:type="dxa" w:w="1224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Médio</w:t>
            </w:r>
          </w:p>
        </w:tc>
        <w:tc>
          <w:tcPr>
            <w:tcW w:type="dxa" w:w="4032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Gerar dos artefatos congelados e conferir 335 itens</w:t>
            </w:r>
          </w:p>
        </w:tc>
      </w:tr>
      <w:tr>
        <w:tc>
          <w:tcPr>
            <w:tcW w:type="dxa" w:w="2592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Freeze da disciplina ser confundido com corpus vivo</w:t>
            </w:r>
          </w:p>
        </w:tc>
        <w:tc>
          <w:tcPr>
            <w:tcW w:type="dxa" w:w="1512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Alta</w:t>
            </w:r>
          </w:p>
        </w:tc>
        <w:tc>
          <w:tcPr>
            <w:tcW w:type="dxa" w:w="1224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Médio</w:t>
            </w:r>
          </w:p>
        </w:tc>
        <w:tc>
          <w:tcPr>
            <w:tcW w:type="dxa" w:w="4032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Exibir versão, data e N em todas as superfícies</w:t>
            </w:r>
          </w:p>
        </w:tc>
      </w:tr>
      <w:tr>
        <w:tc>
          <w:tcPr>
            <w:tcW w:type="dxa" w:w="2592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Métrica visual substituir adjudicação</w:t>
            </w:r>
          </w:p>
        </w:tc>
        <w:tc>
          <w:tcPr>
            <w:tcW w:type="dxa" w:w="1512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Média</w:t>
            </w:r>
          </w:p>
        </w:tc>
        <w:tc>
          <w:tcPr>
            <w:tcW w:type="dxa" w:w="1224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Alto</w:t>
            </w:r>
          </w:p>
        </w:tc>
        <w:tc>
          <w:tcPr>
            <w:tcW w:type="dxa" w:w="4032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Manter guardrail metodológico visível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Condições de governança</w:t>
      </w:r>
    </w:p>
    <w:p>
      <w:pPr>
        <w:spacing w:after="60"/>
        <w:ind w:left="317" w:hanging="230"/>
      </w:pPr>
      <w:r>
        <w:rPr>
          <w:b/>
          <w:color w:val="2D6E9E"/>
        </w:rPr>
        <w:t xml:space="preserve">•  </w:t>
      </w:r>
      <w:r>
        <w:t>Toda alteração de dados entra pelos scripts e validadores do corpus, nunca pela aplicação.</w:t>
      </w:r>
    </w:p>
    <w:p>
      <w:pPr>
        <w:spacing w:after="60"/>
        <w:ind w:left="317" w:hanging="230"/>
      </w:pPr>
      <w:r>
        <w:rPr>
          <w:b/>
          <w:color w:val="2D6E9E"/>
        </w:rPr>
        <w:t xml:space="preserve">•  </w:t>
      </w:r>
      <w:r>
        <w:t>O freeze ICONOCRACIA-CV-2026-08-12 permanece imutável; novos estados recebem nova versão.</w:t>
      </w:r>
    </w:p>
    <w:p>
      <w:pPr>
        <w:spacing w:after="60"/>
        <w:ind w:left="317" w:hanging="230"/>
      </w:pPr>
      <w:r>
        <w:rPr>
          <w:b/>
          <w:color w:val="2D6E9E"/>
        </w:rPr>
        <w:t xml:space="preserve">•  </w:t>
      </w:r>
      <w:r>
        <w:t>Cloudflare Pages permanece a URL pública principal; Sites continua secundário enquanto sua origem não puder ser repontada com segurança.</w:t>
      </w:r>
    </w:p>
    <w:p>
      <w:pPr>
        <w:spacing w:after="60"/>
        <w:ind w:left="317" w:hanging="230"/>
      </w:pPr>
      <w:r>
        <w:rPr>
          <w:b/>
          <w:color w:val="2D6E9E"/>
        </w:rPr>
        <w:t xml:space="preserve">•  </w:t>
      </w:r>
      <w:r>
        <w:t>A extinção do repositório autônomo depende de verificação de paridade e preservação do histórico.</w:t>
      </w:r>
    </w:p>
    <w:p>
      <w:pPr>
        <w:pStyle w:val="Heading2"/>
        <w:keepNext/>
        <w:keepLines/>
      </w:pPr>
      <w:r>
        <w:t>Próximos passos</w:t>
      </w:r>
    </w:p>
    <w:p>
      <w:pPr>
        <w:spacing w:after="60"/>
        <w:ind w:left="360" w:hanging="259"/>
      </w:pPr>
      <w:r>
        <w:rPr>
          <w:b/>
          <w:color w:val="2D6E9E"/>
        </w:rPr>
        <w:t xml:space="preserve">1. </w:t>
      </w:r>
      <w:r>
        <w:t>Adicionar verificação automatizada do build de deploy/iconocracia-cv.</w:t>
      </w:r>
    </w:p>
    <w:p>
      <w:pPr>
        <w:spacing w:after="60"/>
        <w:ind w:left="360" w:hanging="259"/>
      </w:pPr>
      <w:r>
        <w:rPr>
          <w:b/>
          <w:color w:val="2D6E9E"/>
        </w:rPr>
        <w:t xml:space="preserve">2. </w:t>
      </w:r>
      <w:r>
        <w:t>Gerar a consulta/seed do Supabase somente a partir do freeze versionado.</w:t>
      </w:r>
    </w:p>
    <w:p>
      <w:pPr>
        <w:spacing w:after="60"/>
        <w:ind w:left="360" w:hanging="259"/>
      </w:pPr>
      <w:r>
        <w:rPr>
          <w:b/>
          <w:color w:val="2D6E9E"/>
        </w:rPr>
        <w:t xml:space="preserve">3. </w:t>
      </w:r>
      <w:r>
        <w:t>Repetir a migração de origem do Sites quando o provedor aceitar a operação, sem substituir o deploy funcional antes da confirmação.</w:t>
      </w:r>
    </w:p>
    <w:p>
      <w:pPr>
        <w:spacing w:after="60"/>
        <w:ind w:left="360" w:hanging="259"/>
      </w:pPr>
      <w:r>
        <w:rPr>
          <w:b/>
          <w:color w:val="2D6E9E"/>
        </w:rPr>
        <w:t xml:space="preserve">4. </w:t>
      </w:r>
      <w:r>
        <w:t>Arquivar o repositório autônomo após a checagem final de paridade.</w:t>
      </w:r>
    </w:p>
    <w:p>
      <w:pPr>
        <w:sectPr>
          <w:headerReference w:type="default" r:id="rId9"/>
          <w:footerReference w:type="default" r:id="rId10"/>
          <w:pgSz w:w="12240" w:h="15840"/>
          <w:pgMar w:top="1224" w:right="1296" w:bottom="1080" w:left="1296" w:header="705" w:footer="708" w:gutter="0"/>
          <w:pgNumType w:start="1"/>
          <w:cols w:space="720"/>
        </w:sectPr>
      </w:pPr>
    </w:p>
    <w:p/>
    <w:p/>
    <w:p/>
    <w:p/>
    <w:p/>
    <w:p/>
    <w:p>
      <w:r>
        <w:rPr>
          <w:rFonts w:ascii="Helvetica Neue" w:hAnsi="Helvetica Neue"/>
          <w:color w:val="5C7288"/>
          <w:sz w:val="76"/>
        </w:rPr>
        <w:t>ICONOCRACIA-CV</w:t>
      </w:r>
    </w:p>
    <w:p>
      <w:pPr>
        <w:spacing w:after="900"/>
      </w:pPr>
      <w:r>
        <w:rPr>
          <w:rFonts w:ascii="Helvetica Neue" w:hAnsi="Helvetica Neue"/>
          <w:b/>
          <w:color w:val="0B2F50"/>
          <w:sz w:val="72"/>
        </w:rPr>
        <w:t>DESIGN DO SISTEMA</w:t>
        <w:br/>
        <w:t>CONSOLIDADO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24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024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024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8"/>
              </w:rPr>
              <w:t>ATUALIZAÇÃO</w:t>
            </w:r>
          </w:p>
        </w:tc>
      </w:tr>
      <w:tr>
        <w:tc>
          <w:tcPr>
            <w:tcW w:type="dxa" w:w="3024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8"/>
              </w:rPr>
              <w:t>Aprovado / implementado</w:t>
            </w:r>
          </w:p>
        </w:tc>
        <w:tc>
          <w:tcPr>
            <w:tcW w:type="dxa" w:w="3024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8"/>
              </w:rPr>
              <w:t>ICONOCRACIA</w:t>
            </w:r>
          </w:p>
        </w:tc>
        <w:tc>
          <w:tcPr>
            <w:tcW w:type="dxa" w:w="3024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8"/>
              </w:rPr>
              <w:t>14 de agosto de 2026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736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AUTORA</w:t>
            </w:r>
          </w:p>
        </w:tc>
        <w:tc>
          <w:tcPr>
            <w:tcW w:type="dxa" w:w="3888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DOCUMENTOS RELACIONADOS</w:t>
            </w:r>
          </w:p>
        </w:tc>
        <w:tc>
          <w:tcPr>
            <w:tcW w:type="dxa" w:w="3168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ESCOPO</w:t>
            </w:r>
          </w:p>
        </w:tc>
      </w:tr>
      <w:tr>
        <w:tc>
          <w:tcPr>
            <w:tcW w:type="dxa" w:w="2736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Ana Vitória Vanzin Mendes</w:t>
            </w:r>
          </w:p>
        </w:tc>
        <w:tc>
          <w:tcPr>
            <w:tcW w:type="dxa" w:w="3888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Freeze HF; projeto e apresentação da disciplina</w:t>
            </w:r>
          </w:p>
        </w:tc>
        <w:tc>
          <w:tcPr>
            <w:tcW w:type="dxa" w:w="3168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Dados, app, consulta e publicação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1. Resumo</w:t>
      </w:r>
    </w:p>
    <w:p>
      <w:r>
        <w:t>O sistema consolida o projeto ICONOCRACIA-CV dentro do monorepo iconocracy-corpus. Os ledgers permanecem canônicos; o freeze fornece uma versão reprodutível para a disciplina; a aplicação em deploy/iconocracia-cv transforma documentos e análises em oito rotas estáticas; o Supabase oferece consulta derivada; e as superfícies hospedadas publicam o resultado sem adquirir autoridade sobre os dados.</w:t>
      </w:r>
    </w:p>
    <w:p>
      <w:pPr>
        <w:pStyle w:val="Heading1"/>
        <w:keepNext/>
        <w:keepLines/>
      </w:pPr>
      <w:r>
        <w:t>2. Objetivos e não objetivos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4608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7"/>
              </w:rPr>
              <w:t>Objetivos</w:t>
            </w:r>
          </w:p>
        </w:tc>
        <w:tc>
          <w:tcPr>
            <w:tcW w:type="dxa" w:w="4608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7"/>
              </w:rPr>
              <w:t>Não objetivos</w:t>
            </w:r>
          </w:p>
        </w:tc>
      </w:tr>
      <w:tr>
        <w:tc>
          <w:tcPr>
            <w:tcW w:type="dxa" w:w="4608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7"/>
              </w:rPr>
              <w:t>Uma fonte canônica e auditável</w:t>
            </w:r>
          </w:p>
        </w:tc>
        <w:tc>
          <w:tcPr>
            <w:tcW w:type="dxa" w:w="4608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7"/>
              </w:rPr>
              <w:t>Duplicar ou editar dados pela interface</w:t>
            </w:r>
          </w:p>
        </w:tc>
      </w:tr>
      <w:tr>
        <w:tc>
          <w:tcPr>
            <w:tcW w:type="dxa" w:w="4608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7"/>
              </w:rPr>
              <w:t>Deploy isolado e reproduzível</w:t>
            </w:r>
          </w:p>
        </w:tc>
        <w:tc>
          <w:tcPr>
            <w:tcW w:type="dxa" w:w="4608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7"/>
              </w:rPr>
              <w:t>Substituir o pipeline do corpus</w:t>
            </w:r>
          </w:p>
        </w:tc>
      </w:tr>
      <w:tr>
        <w:tc>
          <w:tcPr>
            <w:tcW w:type="dxa" w:w="4608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7"/>
              </w:rPr>
              <w:t>Freeze de 335 registros preservado</w:t>
            </w:r>
          </w:p>
        </w:tc>
        <w:tc>
          <w:tcPr>
            <w:tcW w:type="dxa" w:w="4608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7"/>
              </w:rPr>
              <w:t>Declarar 335 como N de toda tarefa visual</w:t>
            </w:r>
          </w:p>
        </w:tc>
      </w:tr>
      <w:tr>
        <w:tc>
          <w:tcPr>
            <w:tcW w:type="dxa" w:w="4608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7"/>
              </w:rPr>
              <w:t>Falhas de hospedagem sem perda de fonte</w:t>
            </w:r>
          </w:p>
        </w:tc>
        <w:tc>
          <w:tcPr>
            <w:tcW w:type="dxa" w:w="4608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7"/>
              </w:rPr>
              <w:t>Garantir disponibilidade de provedores externos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3. Fronteira e invariantes</w:t>
      </w:r>
    </w:p>
    <w:p>
      <w:pPr>
        <w:spacing w:after="60"/>
        <w:ind w:left="317" w:hanging="230"/>
      </w:pPr>
      <w:r>
        <w:rPr>
          <w:b/>
          <w:color w:val="2D6E9E"/>
        </w:rPr>
        <w:t xml:space="preserve">•  </w:t>
      </w:r>
      <w:r>
        <w:t>Fonte de verdade: data/processed/records.jsonl e seus exports governados.</w:t>
      </w:r>
    </w:p>
    <w:p>
      <w:pPr>
        <w:spacing w:after="60"/>
        <w:ind w:left="317" w:hanging="230"/>
      </w:pPr>
      <w:r>
        <w:rPr>
          <w:b/>
          <w:color w:val="2D6E9E"/>
        </w:rPr>
        <w:t xml:space="preserve">•  </w:t>
      </w:r>
      <w:r>
        <w:t>Versão de ensino: output/huggingface/ICONOCRACIA-CV-2026-08-12/.</w:t>
      </w:r>
    </w:p>
    <w:p>
      <w:pPr>
        <w:spacing w:after="60"/>
        <w:ind w:left="317" w:hanging="230"/>
      </w:pPr>
      <w:r>
        <w:rPr>
          <w:b/>
          <w:color w:val="2D6E9E"/>
        </w:rPr>
        <w:t xml:space="preserve">•  </w:t>
      </w:r>
      <w:r>
        <w:t>Produto derivado: deploy/iconocracia-cv/; pode falhar ou ser reconstruído sem alterar o corpus.</w:t>
      </w:r>
    </w:p>
    <w:p>
      <w:pPr>
        <w:spacing w:after="60"/>
        <w:ind w:left="317" w:hanging="230"/>
      </w:pPr>
      <w:r>
        <w:rPr>
          <w:b/>
          <w:color w:val="2D6E9E"/>
        </w:rPr>
        <w:t xml:space="preserve">•  </w:t>
      </w:r>
      <w:r>
        <w:t>A similaridade visual produz evidência comparativa; não prova filiação histórica nem mede automaticamente o endurecimento.</w:t>
      </w:r>
    </w:p>
    <w:p>
      <w:r>
        <w:br w:type="page"/>
      </w:r>
    </w:p>
    <w:p>
      <w:pPr>
        <w:pStyle w:val="Heading1"/>
        <w:keepNext/>
        <w:keepLines/>
      </w:pPr>
      <w:r>
        <w:t>4. Arquitetura proposta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364454"/>
            <wp:docPr id="2" name="Picture 2" title="Arquitetura consolidada do ICONOCRACIA-CV" descr="Fluxo do corpus canônico para o freeze verificável, a aplicação isolada e a publicação, com derivações para documentação, análise e consulta em Supaba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364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7288"/>
          <w:sz w:val="17"/>
        </w:rPr>
        <w:t>Figura 2. Fluxo de autoridade, transformação e publicação.</w:t>
      </w:r>
    </w:p>
    <w:p>
      <w:pPr>
        <w:pStyle w:val="Heading2"/>
        <w:keepNext/>
        <w:keepLines/>
      </w:pPr>
      <w:r>
        <w:t>Componentes centrais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72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240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Responsabilidade</w:t>
            </w:r>
          </w:p>
        </w:tc>
        <w:tc>
          <w:tcPr>
            <w:tcW w:type="dxa" w:w="2304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Persistência</w:t>
            </w:r>
          </w:p>
        </w:tc>
        <w:tc>
          <w:tcPr>
            <w:tcW w:type="dxa" w:w="2952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Falha</w:t>
            </w:r>
          </w:p>
        </w:tc>
      </w:tr>
      <w:tr>
        <w:tc>
          <w:tcPr>
            <w:tcW w:type="dxa" w:w="1872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Ledgers canônicos</w:t>
            </w:r>
          </w:p>
        </w:tc>
        <w:tc>
          <w:tcPr>
            <w:tcW w:type="dxa" w:w="324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Dados e codificação governados</w:t>
            </w:r>
          </w:p>
        </w:tc>
        <w:tc>
          <w:tcPr>
            <w:tcW w:type="dxa" w:w="2304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JSONL no git</w:t>
            </w:r>
          </w:p>
        </w:tc>
        <w:tc>
          <w:tcPr>
            <w:tcW w:type="dxa" w:w="2952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Release bloqueada</w:t>
            </w:r>
          </w:p>
        </w:tc>
      </w:tr>
      <w:tr>
        <w:tc>
          <w:tcPr>
            <w:tcW w:type="dxa" w:w="1872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Freeze HF</w:t>
            </w:r>
          </w:p>
        </w:tc>
        <w:tc>
          <w:tcPr>
            <w:tcW w:type="dxa" w:w="3240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Snapshot verificável para ensino</w:t>
            </w:r>
          </w:p>
        </w:tc>
        <w:tc>
          <w:tcPr>
            <w:tcW w:type="dxa" w:w="2304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Diretório versionado</w:t>
            </w:r>
          </w:p>
        </w:tc>
        <w:tc>
          <w:tcPr>
            <w:tcW w:type="dxa" w:w="2952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Versão anterior preservada</w:t>
            </w:r>
          </w:p>
        </w:tc>
      </w:tr>
      <w:tr>
        <w:tc>
          <w:tcPr>
            <w:tcW w:type="dxa" w:w="1872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App estática</w:t>
            </w:r>
          </w:p>
        </w:tc>
        <w:tc>
          <w:tcPr>
            <w:tcW w:type="dxa" w:w="324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Narrativa, downloads e visualização</w:t>
            </w:r>
          </w:p>
        </w:tc>
        <w:tc>
          <w:tcPr>
            <w:tcW w:type="dxa" w:w="2304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Artefatos de build</w:t>
            </w:r>
          </w:p>
        </w:tc>
        <w:tc>
          <w:tcPr>
            <w:tcW w:type="dxa" w:w="2952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Site indisponível; dados intactos</w:t>
            </w:r>
          </w:p>
        </w:tc>
      </w:tr>
      <w:tr>
        <w:tc>
          <w:tcPr>
            <w:tcW w:type="dxa" w:w="1872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Supabase</w:t>
            </w:r>
          </w:p>
        </w:tc>
        <w:tc>
          <w:tcPr>
            <w:tcW w:type="dxa" w:w="3240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Consulta derivada em 6 lotes</w:t>
            </w:r>
          </w:p>
        </w:tc>
        <w:tc>
          <w:tcPr>
            <w:tcW w:type="dxa" w:w="2304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Banco hospedado</w:t>
            </w:r>
          </w:p>
        </w:tc>
        <w:tc>
          <w:tcPr>
            <w:tcW w:type="dxa" w:w="2952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Consulta degrada; arquivos permanecem</w:t>
            </w:r>
          </w:p>
        </w:tc>
      </w:tr>
      <w:tr>
        <w:tc>
          <w:tcPr>
            <w:tcW w:type="dxa" w:w="1872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Hospedagem</w:t>
            </w:r>
          </w:p>
        </w:tc>
        <w:tc>
          <w:tcPr>
            <w:tcW w:type="dxa" w:w="324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Entrega pública/privada</w:t>
            </w:r>
          </w:p>
        </w:tc>
        <w:tc>
          <w:tcPr>
            <w:tcW w:type="dxa" w:w="2304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Deploy externo</w:t>
            </w:r>
          </w:p>
        </w:tc>
        <w:tc>
          <w:tcPr>
            <w:tcW w:type="dxa" w:w="2952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Fallback entre superfícies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5. Fluxo de release</w:t>
      </w:r>
    </w:p>
    <w:p>
      <w:pPr>
        <w:spacing w:after="60"/>
        <w:ind w:left="360" w:hanging="259"/>
      </w:pPr>
      <w:r>
        <w:rPr>
          <w:b/>
          <w:color w:val="2D6E9E"/>
        </w:rPr>
        <w:t xml:space="preserve">1. </w:t>
      </w:r>
      <w:r>
        <w:t>Validar os schemas e a sincronização dos exports.</w:t>
      </w:r>
    </w:p>
    <w:p>
      <w:pPr>
        <w:spacing w:after="60"/>
        <w:ind w:left="360" w:hanging="259"/>
      </w:pPr>
      <w:r>
        <w:rPr>
          <w:b/>
          <w:color w:val="2D6E9E"/>
        </w:rPr>
        <w:t xml:space="preserve">2. </w:t>
      </w:r>
      <w:r>
        <w:t>Congelar os artefatos com N, hashes e data de release.</w:t>
      </w:r>
    </w:p>
    <w:p>
      <w:pPr>
        <w:spacing w:after="60"/>
        <w:ind w:left="360" w:hanging="259"/>
      </w:pPr>
      <w:r>
        <w:rPr>
          <w:b/>
          <w:color w:val="2D6E9E"/>
        </w:rPr>
        <w:t xml:space="preserve">3. </w:t>
      </w:r>
      <w:r>
        <w:t>Gerar análises e assets do curso a partir do freeze.</w:t>
      </w:r>
    </w:p>
    <w:p>
      <w:pPr>
        <w:spacing w:after="60"/>
        <w:ind w:left="360" w:hanging="259"/>
      </w:pPr>
      <w:r>
        <w:rPr>
          <w:b/>
          <w:color w:val="2D6E9E"/>
        </w:rPr>
        <w:t xml:space="preserve">4. </w:t>
      </w:r>
      <w:r>
        <w:t>Executar o build isolado da aplicação e verificar suas oito rotas.</w:t>
      </w:r>
    </w:p>
    <w:p>
      <w:pPr>
        <w:spacing w:after="60"/>
        <w:ind w:left="360" w:hanging="259"/>
      </w:pPr>
      <w:r>
        <w:rPr>
          <w:b/>
          <w:color w:val="2D6E9E"/>
        </w:rPr>
        <w:t xml:space="preserve">5. </w:t>
      </w:r>
      <w:r>
        <w:t>Carregar a consulta derivada em seis lotes e conferir o total de 335 itens.</w:t>
      </w:r>
    </w:p>
    <w:p>
      <w:pPr>
        <w:spacing w:after="60"/>
        <w:ind w:left="360" w:hanging="259"/>
      </w:pPr>
      <w:r>
        <w:rPr>
          <w:b/>
          <w:color w:val="2D6E9E"/>
        </w:rPr>
        <w:t xml:space="preserve">6. </w:t>
      </w:r>
      <w:r>
        <w:t>Publicar primeiro em superfície de validação; promover sem apagar o deploy anterior.</w:t>
      </w:r>
    </w:p>
    <w:p>
      <w:pPr>
        <w:spacing w:after="60"/>
        <w:ind w:left="360" w:hanging="259"/>
      </w:pPr>
      <w:r>
        <w:rPr>
          <w:b/>
          <w:color w:val="2D6E9E"/>
        </w:rPr>
        <w:t xml:space="preserve">7. </w:t>
      </w:r>
      <w:r>
        <w:t>Registrar URL, versão e evidência do smoke test.</w:t>
      </w:r>
    </w:p>
    <w:p>
      <w:pPr>
        <w:pStyle w:val="Heading1"/>
        <w:keepNext/>
        <w:keepLines/>
      </w:pPr>
      <w:r>
        <w:t>6. Contratos de 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944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Campo/artefato</w:t>
            </w:r>
          </w:p>
        </w:tc>
        <w:tc>
          <w:tcPr>
            <w:tcW w:type="dxa" w:w="1440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656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5328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5"/>
              </w:rPr>
              <w:t>Contrato</w:t>
            </w:r>
          </w:p>
        </w:tc>
      </w:tr>
      <w:tr>
        <w:tc>
          <w:tcPr>
            <w:tcW w:type="dxa" w:w="1944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item_id</w:t>
            </w:r>
          </w:p>
        </w:tc>
        <w:tc>
          <w:tcPr>
            <w:tcW w:type="dxa" w:w="144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string</w:t>
            </w:r>
          </w:p>
        </w:tc>
        <w:tc>
          <w:tcPr>
            <w:tcW w:type="dxa" w:w="1656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Sim</w:t>
            </w:r>
          </w:p>
        </w:tc>
        <w:tc>
          <w:tcPr>
            <w:tcW w:type="dxa" w:w="5328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Identificador único entre ledger, export e consulta</w:t>
            </w:r>
          </w:p>
        </w:tc>
      </w:tr>
      <w:tr>
        <w:tc>
          <w:tcPr>
            <w:tcW w:type="dxa" w:w="1944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regime</w:t>
            </w:r>
          </w:p>
        </w:tc>
        <w:tc>
          <w:tcPr>
            <w:tcW w:type="dxa" w:w="1440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enum</w:t>
            </w:r>
          </w:p>
        </w:tc>
        <w:tc>
          <w:tcPr>
            <w:tcW w:type="dxa" w:w="165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Sim</w:t>
            </w:r>
          </w:p>
        </w:tc>
        <w:tc>
          <w:tcPr>
            <w:tcW w:type="dxa" w:w="5328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fundacional, normativo, militar ou contra-alegoria</w:t>
            </w:r>
          </w:p>
        </w:tc>
      </w:tr>
      <w:tr>
        <w:tc>
          <w:tcPr>
            <w:tcW w:type="dxa" w:w="1944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purification</w:t>
            </w:r>
          </w:p>
        </w:tc>
        <w:tc>
          <w:tcPr>
            <w:tcW w:type="dxa" w:w="144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objeto</w:t>
            </w:r>
          </w:p>
        </w:tc>
        <w:tc>
          <w:tcPr>
            <w:tcW w:type="dxa" w:w="1656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No master</w:t>
            </w:r>
          </w:p>
        </w:tc>
        <w:tc>
          <w:tcPr>
            <w:tcW w:type="dxa" w:w="5328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Dez indicadores ordinais; ledger separado pode estar pendente</w:t>
            </w:r>
          </w:p>
        </w:tc>
      </w:tr>
      <w:tr>
        <w:tc>
          <w:tcPr>
            <w:tcW w:type="dxa" w:w="1944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release date</w:t>
            </w:r>
          </w:p>
        </w:tc>
        <w:tc>
          <w:tcPr>
            <w:tcW w:type="dxa" w:w="1440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YYYY-MM-DD</w:t>
            </w:r>
          </w:p>
        </w:tc>
        <w:tc>
          <w:tcPr>
            <w:tcW w:type="dxa" w:w="165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Sim</w:t>
            </w:r>
          </w:p>
        </w:tc>
        <w:tc>
          <w:tcPr>
            <w:tcW w:type="dxa" w:w="5328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Identifica a versão congelada</w:t>
            </w:r>
          </w:p>
        </w:tc>
      </w:tr>
      <w:tr>
        <w:tc>
          <w:tcPr>
            <w:tcW w:type="dxa" w:w="1944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SHA-256</w:t>
            </w:r>
          </w:p>
        </w:tc>
        <w:tc>
          <w:tcPr>
            <w:tcW w:type="dxa" w:w="144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hex</w:t>
            </w:r>
          </w:p>
        </w:tc>
        <w:tc>
          <w:tcPr>
            <w:tcW w:type="dxa" w:w="1656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Sim</w:t>
            </w:r>
          </w:p>
        </w:tc>
        <w:tc>
          <w:tcPr>
            <w:tcW w:type="dxa" w:w="5328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Verifica integridade dos principais artefatos</w:t>
            </w:r>
          </w:p>
        </w:tc>
      </w:tr>
      <w:tr>
        <w:tc>
          <w:tcPr>
            <w:tcW w:type="dxa" w:w="1944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asset URL</w:t>
            </w:r>
          </w:p>
        </w:tc>
        <w:tc>
          <w:tcPr>
            <w:tcW w:type="dxa" w:w="1440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URL</w:t>
            </w:r>
          </w:p>
        </w:tc>
        <w:tc>
          <w:tcPr>
            <w:tcW w:type="dxa" w:w="165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Condicional</w:t>
            </w:r>
          </w:p>
        </w:tc>
        <w:tc>
          <w:tcPr>
            <w:tcW w:type="dxa" w:w="5328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5"/>
              </w:rPr>
              <w:t>Referência; bytes permanecem fora do repositório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FEAF3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40"/>
            </w:pPr>
            <w:r>
              <w:rPr>
                <w:b/>
                <w:color w:val="0B2F50"/>
                <w:sz w:val="18"/>
              </w:rPr>
              <w:t>GARANTIA</w:t>
            </w:r>
          </w:p>
          <w:p>
            <w:pPr>
              <w:spacing w:after="0"/>
            </w:pPr>
            <w:r>
              <w:t>O sistema derivado pode ser reexecutado. Nenhuma escrita da aplicação retorna aos ledgers canônicos.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t>7. Consistência, replay e falhas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20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3528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Comportamento esperado</w:t>
            </w:r>
          </w:p>
        </w:tc>
        <w:tc>
          <w:tcPr>
            <w:tcW w:type="dxa" w:w="3816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Justificativa</w:t>
            </w:r>
          </w:p>
        </w:tc>
      </w:tr>
      <w:tr>
        <w:tc>
          <w:tcPr>
            <w:tcW w:type="dxa" w:w="252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Build repetido do mesmo freeze</w:t>
            </w:r>
          </w:p>
        </w:tc>
        <w:tc>
          <w:tcPr>
            <w:tcW w:type="dxa" w:w="3528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Saída semanticamente idêntica</w:t>
            </w:r>
          </w:p>
        </w:tc>
        <w:tc>
          <w:tcPr>
            <w:tcW w:type="dxa" w:w="3816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Versão e entradas fixas</w:t>
            </w:r>
          </w:p>
        </w:tc>
      </w:tr>
      <w:tr>
        <w:tc>
          <w:tcPr>
            <w:tcW w:type="dxa" w:w="2520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Falha no Sites</w:t>
            </w:r>
          </w:p>
        </w:tc>
        <w:tc>
          <w:tcPr>
            <w:tcW w:type="dxa" w:w="3528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Manter o deploy privado anterior e a pública</w:t>
            </w:r>
          </w:p>
        </w:tc>
        <w:tc>
          <w:tcPr>
            <w:tcW w:type="dxa" w:w="381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Falha externa não promove estado incompleto</w:t>
            </w:r>
          </w:p>
        </w:tc>
      </w:tr>
      <w:tr>
        <w:tc>
          <w:tcPr>
            <w:tcW w:type="dxa" w:w="252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Falha no Supabase</w:t>
            </w:r>
          </w:p>
        </w:tc>
        <w:tc>
          <w:tcPr>
            <w:tcW w:type="dxa" w:w="3528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Usar downloads/arquivos estáticos</w:t>
            </w:r>
          </w:p>
        </w:tc>
        <w:tc>
          <w:tcPr>
            <w:tcW w:type="dxa" w:w="3816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Consulta não é fonte de verdade</w:t>
            </w:r>
          </w:p>
        </w:tc>
      </w:tr>
      <w:tr>
        <w:tc>
          <w:tcPr>
            <w:tcW w:type="dxa" w:w="2520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Corpus muda após o freeze</w:t>
            </w:r>
          </w:p>
        </w:tc>
        <w:tc>
          <w:tcPr>
            <w:tcW w:type="dxa" w:w="3528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Criar nova versão; não sobrescrever</w:t>
            </w:r>
          </w:p>
        </w:tc>
        <w:tc>
          <w:tcPr>
            <w:tcW w:type="dxa" w:w="381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Reprodutibilidade da disciplina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8. Segurança, privacidade e proveniência</w:t>
      </w:r>
    </w:p>
    <w:p>
      <w:pPr>
        <w:spacing w:after="60"/>
        <w:ind w:left="317" w:hanging="230"/>
      </w:pPr>
      <w:r>
        <w:rPr>
          <w:b/>
          <w:color w:val="2D6E9E"/>
        </w:rPr>
        <w:t xml:space="preserve">•  </w:t>
      </w:r>
      <w:r>
        <w:t>Imagens binárias permanecem fora de data/raw; o repositório conserva metadados e manifestos.</w:t>
      </w:r>
    </w:p>
    <w:p>
      <w:pPr>
        <w:spacing w:after="60"/>
        <w:ind w:left="317" w:hanging="230"/>
      </w:pPr>
      <w:r>
        <w:rPr>
          <w:b/>
          <w:color w:val="2D6E9E"/>
        </w:rPr>
        <w:t xml:space="preserve">•  </w:t>
      </w:r>
      <w:r>
        <w:t>Credenciais de hospedagem e Supabase não entram no git nem nos downloads públicos.</w:t>
      </w:r>
    </w:p>
    <w:p>
      <w:pPr>
        <w:spacing w:after="60"/>
        <w:ind w:left="317" w:hanging="230"/>
      </w:pPr>
      <w:r>
        <w:rPr>
          <w:b/>
          <w:color w:val="2D6E9E"/>
        </w:rPr>
        <w:t xml:space="preserve">•  </w:t>
      </w:r>
      <w:r>
        <w:t>A interface expõe somente campos aprovados para publicação e mantém proveniência das fontes.</w:t>
      </w:r>
    </w:p>
    <w:p>
      <w:pPr>
        <w:spacing w:after="60"/>
        <w:ind w:left="317" w:hanging="230"/>
      </w:pPr>
      <w:r>
        <w:rPr>
          <w:b/>
          <w:color w:val="2D6E9E"/>
        </w:rPr>
        <w:t xml:space="preserve">•  </w:t>
      </w:r>
      <w:r>
        <w:t>Qualquer replay registra a versão de entrada; resultados derivados não retroalimentam rótulos canônicos.</w:t>
      </w:r>
    </w:p>
    <w:p>
      <w:pPr>
        <w:pStyle w:val="Heading1"/>
        <w:keepNext/>
        <w:keepLines/>
      </w:pPr>
      <w:r>
        <w:t>9. Prontidão operacional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72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Sinal</w:t>
            </w:r>
          </w:p>
        </w:tc>
        <w:tc>
          <w:tcPr>
            <w:tcW w:type="dxa" w:w="3456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2160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1800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Obrigatório</w:t>
            </w:r>
          </w:p>
        </w:tc>
      </w:tr>
      <w:tr>
        <w:tc>
          <w:tcPr>
            <w:tcW w:type="dxa" w:w="1872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Schemas</w:t>
            </w:r>
          </w:p>
        </w:tc>
        <w:tc>
          <w:tcPr>
            <w:tcW w:type="dxa" w:w="3456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335/335 válidos</w:t>
            </w:r>
          </w:p>
        </w:tc>
        <w:tc>
          <w:tcPr>
            <w:tcW w:type="dxa" w:w="216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Corpus</w:t>
            </w:r>
          </w:p>
        </w:tc>
        <w:tc>
          <w:tcPr>
            <w:tcW w:type="dxa" w:w="180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Sim</w:t>
            </w:r>
          </w:p>
        </w:tc>
      </w:tr>
      <w:tr>
        <w:tc>
          <w:tcPr>
            <w:tcW w:type="dxa" w:w="1872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Export</w:t>
            </w:r>
          </w:p>
        </w:tc>
        <w:tc>
          <w:tcPr>
            <w:tcW w:type="dxa" w:w="345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335 registros sincronizados</w:t>
            </w:r>
          </w:p>
        </w:tc>
        <w:tc>
          <w:tcPr>
            <w:tcW w:type="dxa" w:w="2160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Corpus</w:t>
            </w:r>
          </w:p>
        </w:tc>
        <w:tc>
          <w:tcPr>
            <w:tcW w:type="dxa" w:w="1800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Sim</w:t>
            </w:r>
          </w:p>
        </w:tc>
      </w:tr>
      <w:tr>
        <w:tc>
          <w:tcPr>
            <w:tcW w:type="dxa" w:w="1872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App</w:t>
            </w:r>
          </w:p>
        </w:tc>
        <w:tc>
          <w:tcPr>
            <w:tcW w:type="dxa" w:w="3456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8 rotas respondem</w:t>
            </w:r>
          </w:p>
        </w:tc>
        <w:tc>
          <w:tcPr>
            <w:tcW w:type="dxa" w:w="216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Deploy</w:t>
            </w:r>
          </w:p>
        </w:tc>
        <w:tc>
          <w:tcPr>
            <w:tcW w:type="dxa" w:w="180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Sim</w:t>
            </w:r>
          </w:p>
        </w:tc>
      </w:tr>
      <w:tr>
        <w:tc>
          <w:tcPr>
            <w:tcW w:type="dxa" w:w="1872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Consulta</w:t>
            </w:r>
          </w:p>
        </w:tc>
        <w:tc>
          <w:tcPr>
            <w:tcW w:type="dxa" w:w="3456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6 lotes / 335 itens</w:t>
            </w:r>
          </w:p>
        </w:tc>
        <w:tc>
          <w:tcPr>
            <w:tcW w:type="dxa" w:w="2160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Dados</w:t>
            </w:r>
          </w:p>
        </w:tc>
        <w:tc>
          <w:tcPr>
            <w:tcW w:type="dxa" w:w="1800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Sim</w:t>
            </w:r>
          </w:p>
        </w:tc>
      </w:tr>
      <w:tr>
        <w:tc>
          <w:tcPr>
            <w:tcW w:type="dxa" w:w="1872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Hospedagem</w:t>
            </w:r>
          </w:p>
        </w:tc>
        <w:tc>
          <w:tcPr>
            <w:tcW w:type="dxa" w:w="3456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Smoke test e rollback preservado</w:t>
            </w:r>
          </w:p>
        </w:tc>
        <w:tc>
          <w:tcPr>
            <w:tcW w:type="dxa" w:w="216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Deploy</w:t>
            </w:r>
          </w:p>
        </w:tc>
        <w:tc>
          <w:tcPr>
            <w:tcW w:type="dxa" w:w="180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6"/>
              </w:rPr>
              <w:t>Sim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10. Decisão e critérios de aceite</w:t>
      </w:r>
    </w:p>
    <w:p>
      <w:r>
        <w:t>A arquitetura consolidada é aceita quando o monorepo permanece a única autoridade, a aplicação pode ser reconstruída a partir do freeze, os totais conferem em todas as camadas e uma falha de provedor não altera nem apaga a fonte.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7"/>
              </w:rPr>
              <w:t>Marco</w:t>
            </w:r>
          </w:p>
        </w:tc>
        <w:tc>
          <w:tcPr>
            <w:tcW w:type="dxa" w:w="3600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7"/>
              </w:rPr>
              <w:t>Entregável</w:t>
            </w:r>
          </w:p>
        </w:tc>
        <w:tc>
          <w:tcPr>
            <w:tcW w:type="dxa" w:w="5040"/>
            <w:shd w:fill="0B2F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7"/>
              </w:rPr>
              <w:t>Critério de saída</w:t>
            </w:r>
          </w:p>
        </w:tc>
      </w:tr>
      <w:tr>
        <w:tc>
          <w:tcPr>
            <w:tcW w:type="dxa" w:w="1152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7"/>
              </w:rPr>
              <w:t>M1</w:t>
            </w:r>
          </w:p>
        </w:tc>
        <w:tc>
          <w:tcPr>
            <w:tcW w:type="dxa" w:w="360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7"/>
              </w:rPr>
              <w:t>Consolidação no monorepo</w:t>
            </w:r>
          </w:p>
        </w:tc>
        <w:tc>
          <w:tcPr>
            <w:tcW w:type="dxa" w:w="504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7"/>
              </w:rPr>
              <w:t>App e documentos presentes; nenhum dado duplicado</w:t>
            </w:r>
          </w:p>
        </w:tc>
      </w:tr>
      <w:tr>
        <w:tc>
          <w:tcPr>
            <w:tcW w:type="dxa" w:w="1152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7"/>
              </w:rPr>
              <w:t>M2</w:t>
            </w:r>
          </w:p>
        </w:tc>
        <w:tc>
          <w:tcPr>
            <w:tcW w:type="dxa" w:w="3600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7"/>
              </w:rPr>
              <w:t>Release verificável</w:t>
            </w:r>
          </w:p>
        </w:tc>
        <w:tc>
          <w:tcPr>
            <w:tcW w:type="dxa" w:w="5040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7"/>
              </w:rPr>
              <w:t>335 registros, hashes e cobertura documentados</w:t>
            </w:r>
          </w:p>
        </w:tc>
      </w:tr>
      <w:tr>
        <w:tc>
          <w:tcPr>
            <w:tcW w:type="dxa" w:w="1152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7"/>
              </w:rPr>
              <w:t>M3</w:t>
            </w:r>
          </w:p>
        </w:tc>
        <w:tc>
          <w:tcPr>
            <w:tcW w:type="dxa" w:w="360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7"/>
              </w:rPr>
              <w:t>Publicação</w:t>
            </w:r>
          </w:p>
        </w:tc>
        <w:tc>
          <w:tcPr>
            <w:tcW w:type="dxa" w:w="5040"/>
            <w:shd w:fill="DF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7"/>
              </w:rPr>
              <w:t>URL pública funcional e rollback preservado</w:t>
            </w:r>
          </w:p>
        </w:tc>
      </w:tr>
      <w:tr>
        <w:tc>
          <w:tcPr>
            <w:tcW w:type="dxa" w:w="1152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7"/>
              </w:rPr>
              <w:t>M4</w:t>
            </w:r>
          </w:p>
        </w:tc>
        <w:tc>
          <w:tcPr>
            <w:tcW w:type="dxa" w:w="3600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7"/>
              </w:rPr>
              <w:t>Encerramento da transição</w:t>
            </w:r>
          </w:p>
        </w:tc>
        <w:tc>
          <w:tcPr>
            <w:tcW w:type="dxa" w:w="5040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 Neue" w:hAnsi="Helvetica Neue"/>
                <w:color w:val="22324A"/>
                <w:sz w:val="17"/>
              </w:rPr>
              <w:t>Repositório antigo arquivado após paridade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Questões em aberto</w:t>
      </w:r>
    </w:p>
    <w:p>
      <w:pPr>
        <w:spacing w:after="60"/>
        <w:ind w:left="317" w:hanging="230"/>
      </w:pPr>
      <w:r>
        <w:rPr>
          <w:b/>
          <w:color w:val="2D6E9E"/>
        </w:rPr>
        <w:t xml:space="preserve">•  </w:t>
      </w:r>
      <w:r>
        <w:t>Quando o provedor Sites voltará a aceitar o repontamento da origem para o monorepo?</w:t>
      </w:r>
    </w:p>
    <w:p>
      <w:pPr>
        <w:spacing w:after="60"/>
        <w:ind w:left="317" w:hanging="230"/>
      </w:pPr>
      <w:r>
        <w:rPr>
          <w:b/>
          <w:color w:val="2D6E9E"/>
        </w:rPr>
        <w:t xml:space="preserve">•  </w:t>
      </w:r>
      <w:r>
        <w:t>Qual será a cadência de uma nova versão da disciplina se o corpus vivo crescer durante o semestre?</w:t>
      </w:r>
    </w:p>
    <w:p>
      <w:pPr>
        <w:spacing w:after="60"/>
        <w:ind w:left="317" w:hanging="230"/>
      </w:pPr>
      <w:r>
        <w:rPr>
          <w:b/>
          <w:color w:val="2D6E9E"/>
        </w:rPr>
        <w:t xml:space="preserve">•  </w:t>
      </w:r>
      <w:r>
        <w:t>O arquivo do repositório autônomo deve permanecer público como registro histórico ou privado após a transição?</w:t>
      </w:r>
    </w:p>
    <w:p>
      <w:pPr>
        <w:pStyle w:val="Heading2"/>
        <w:keepNext/>
        <w:keepLines/>
      </w:pPr>
      <w:r>
        <w:t>Referências operacionais</w:t>
      </w:r>
    </w:p>
    <w:p>
      <w:hyperlink r:id="rId17">
        <w:r>
          <w:rPr>
            <w:color w:val="2D6E9E"/>
            <w:u w:val="single"/>
          </w:rPr>
          <w:t>Página pública ICONOCRACIA-CV</w:t>
        </w:r>
      </w:hyperlink>
      <w:r>
        <w:t xml:space="preserve"> · </w:t>
      </w:r>
      <w:hyperlink r:id="rId18">
        <w:r>
          <w:rPr>
            <w:color w:val="2D6E9E"/>
            <w:u w:val="single"/>
          </w:rPr>
          <w:t>Página privada no Sites</w:t>
        </w:r>
      </w:hyperlink>
    </w:p>
    <w:p>
      <w:r>
        <w:t>Arquivos relacionados: docs/projeto-disciplina-visao-computacional-2026-2.md; docs/apresentacao-visao-computacional-2026-2.md; docs/research/huggingface/regime-coverage-2026-08-13/; output/huggingface/ICONOCRACIA-CV-2026-08-12/.</w:t>
      </w:r>
    </w:p>
    <w:sectPr>
      <w:headerReference w:type="default" r:id="rId14"/>
      <w:footerReference w:type="default" r:id="rId15"/>
      <w:pgSz w:w="12240" w:h="15840"/>
      <w:pgMar w:top="1008" w:right="1008" w:bottom="893" w:left="1008" w:header="705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178A6B" w14:textId="77777777">
    <w:pPr>
      <w:pBdr>
        <w:top w:val="nil"/>
      </w:pBdr>
      <w:tabs>
        <w:tab w:val="right" w:pos="9360"/>
      </w:tabs>
      <w:jc w:val="right"/>
      <w:rPr>
        <w:color w:val="112075"/>
      </w:rPr>
    </w:pPr>
    <w:r>
      <w:rPr>
        <w:rFonts w:ascii="Helvetica Neue" w:hAnsi="Helvetica Neue"/>
        <w:color w:val="5C7288"/>
        <w:sz w:val="16"/>
      </w:rPr>
      <w:t xml:space="preserve">Uso interno · </w:t>
    </w:r>
    <w:r>
      <w:rPr>
        <w:rFonts w:ascii="Helvetica Neue" w:hAnsi="Helvetica Neue"/>
        <w:color w:val="5C7288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lvetica Neue" w:hAnsi="Helvetica Neue"/>
        <w:color w:val="5C7288"/>
        <w:sz w:val="16"/>
      </w:rPr>
      <w:t xml:space="preserve">Uso interno · </w:t>
    </w:r>
    <w:r>
      <w:rPr>
        <w:rFonts w:ascii="Helvetica Neue" w:hAnsi="Helvetica Neue"/>
        <w:color w:val="5C7288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4F3B78" w14:textId="77777777">
    <w:pPr>
      <w:tabs>
        <w:tab w:val="right" w:pos="9360"/>
      </w:tabs>
      <w:jc w:val="right"/>
      <w:rPr>
        <w:color w:val="1A1BAA"/>
        <w:sz w:val="16"/>
        <w:szCs w:val="16"/>
      </w:rPr>
    </w:pPr>
    <w:r>
      <w:rPr>
        <w:rFonts w:ascii="Helvetica Neue" w:hAnsi="Helvetica Neue"/>
        <w:b/>
        <w:color w:val="5C7288"/>
        <w:sz w:val="16"/>
      </w:rPr>
      <w:t>ICONOCRACIA-CV · MEMORANDO ESTRATÉGICO</w:t>
    </w:r>
  </w:p>
  <w:tbl>
    <w:tblPr>
      <w:tblStyle w:val="a4"/>
      <w:tblW w:w="936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360"/>
    </w:tblGrid>
    <w:tr w14:paraId="2CCD06D5" w14:textId="77777777">
      <w:tc>
        <w:tcPr>
          <w:tcW w:w="9360" w:type="dxa"/>
          <w:tcBorders>
            <w:top w:val="single" w:sz="48" w:space="0" w:color="112075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4A9451B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1A1BAA"/>
              <w:sz w:val="16"/>
              <w:szCs w:val="16"/>
            </w:rPr>
          </w:pPr>
        </w:p>
      </w:tc>
    </w:tr>
  </w:tbl>
  <w:p w14:paraId="508BF40B" w14:textId="77777777">
    <w:pPr>
      <w:tabs>
        <w:tab w:val="right" w:pos="9360"/>
      </w:tabs>
      <w:rPr>
        <w:b/>
        <w:bCs/>
        <w:color w:val="112075"/>
        <w:sz w:val="16"/>
        <w:szCs w:val="16"/>
      </w:rPr>
    </w:pPr>
  </w:p>
  <w:p w14:paraId="241E1B98" w14:textId="77777777">
    <w:pPr>
      <w:tabs>
        <w:tab w:val="right" w:pos="9360"/>
      </w:tabs>
      <w:rPr>
        <w:b/>
        <w:bCs/>
        <w:color w:val="2224C5"/>
        <w:sz w:val="16"/>
        <w:szCs w:val="16"/>
      </w:rPr>
    </w:pPr>
  </w:p>
  <w:p w14:paraId="321568A4" w14:textId="77777777">
    <w:pPr>
      <w:tabs>
        <w:tab w:val="right" w:pos="9360"/>
      </w:tabs>
      <w:rPr>
        <w:b/>
        <w:bCs/>
        <w:color w:val="2224C5"/>
        <w:sz w:val="16"/>
        <w:szCs w:val="16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lvetica Neue" w:hAnsi="Helvetica Neue"/>
        <w:b/>
        <w:color w:val="5C7288"/>
        <w:sz w:val="16"/>
      </w:rPr>
      <w:t>ICONOCRACIA-CV · SYSTEM DESIGN RFC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59" w:lineRule="auto"/>
    </w:pPr>
    <w:rPr>
      <w:rFonts w:ascii="Helvetica Neue" w:hAnsi="Helvetica Neue"/>
      <w:color w:val="22324A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00" w:after="100"/>
      <w:outlineLvl w:val="0"/>
    </w:pPr>
    <w:rPr>
      <w:rFonts w:ascii="Helvetica Neue" w:eastAsia="Helvetica Neue" w:hAnsi="Helvetica Neue" w:cs="Helvetica Neue"/>
      <w:b/>
      <w:bCs/>
      <w:color w:val="0B2F50"/>
      <w:sz w:val="4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00" w:after="100"/>
      <w:outlineLvl w:val="1"/>
    </w:pPr>
    <w:rPr>
      <w:rFonts w:ascii="Helvetica Neue" w:eastAsia="Helvetica Neue" w:hAnsi="Helvetica Neue" w:cs="Helvetica Neue"/>
      <w:b/>
      <w:bCs/>
      <w:color w:val="0B2F5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00" w:after="100"/>
      <w:outlineLvl w:val="2"/>
    </w:pPr>
    <w:rPr>
      <w:rFonts w:ascii="Helvetica Neue" w:hAnsi="Helvetica Neue"/>
      <w:b/>
      <w:bCs/>
      <w:color w:val="5C7288"/>
      <w:sz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spacing w:before="200" w:after="100"/>
      <w:jc w:val="center"/>
    </w:pPr>
    <w:rPr>
      <w:rFonts w:ascii="Helvetica Neue" w:eastAsia="Helvetica Neue" w:hAnsi="Helvetica Neue" w:cs="Helvetica Neue"/>
      <w:b/>
      <w:bCs/>
      <w:color w:val="0B2F50"/>
      <w:sz w:val="68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200" w:after="100"/>
    </w:pPr>
    <w:rPr>
      <w:rFonts w:ascii="Helvetica Neue" w:eastAsia="Georgia" w:hAnsi="Helvetica Neue" w:cs="Georgia"/>
      <w:b w:val="0"/>
      <w:i/>
      <w:iCs/>
      <w:color w:val="5C7288"/>
      <w:sz w:val="34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image" Target="media/image4.png"/><Relationship Id="rId17" Type="http://schemas.openxmlformats.org/officeDocument/2006/relationships/hyperlink" Target="https://iconocracia-cv.pages.dev/" TargetMode="External"/><Relationship Id="rId18" Type="http://schemas.openxmlformats.org/officeDocument/2006/relationships/hyperlink" Target="https://iconocracia-cv.iconocracia-5216.chatgpt.site" TargetMode="Externa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ICONOCRACIA-CV — Memorando Estratégico e Design do Sistema</dc:title>
  <dc:subject>Consolidação do projeto da disciplina no monorepo iconocracy-corpus</dc:subject>
  <dc:creator>Ana Vitória Vanzin Mendes</dc:creator>
  <cp:keywords>ICONOCRACIA, visão computacional, Hugging Face, system design, memorando estratégico</cp:keywords>
</cp:coreProperties>
</file>