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Dialética ICONOCRACY — corpo feminino, purificação iconológica e universalidade jurídica</w:t>
      </w:r>
    </w:p>
    <w:p>
      <w:pPr>
        <w:pStyle w:val="Date"/>
      </w:pPr>
      <w:r>
        <w:t xml:space="preserve">2026-04-10</w:t>
      </w:r>
    </w:p>
    <w:bookmarkStart w:id="49" w:name="X06e6c0edf0b78056bb8c4b7c415f8f3294e9c80"/>
    <w:p>
      <w:pPr>
        <w:pStyle w:val="Heading1"/>
      </w:pPr>
      <w:r>
        <w:t xml:space="preserve">Dialética ICONOCRACY — corpo feminino, purificação iconológica e universalidade jurídica</w:t>
      </w:r>
    </w:p>
    <w:p>
      <w:pPr>
        <w:pStyle w:val="FirstParagraph"/>
      </w:pPr>
      <w:r>
        <w:t xml:space="preserve">Este documento registra uma execução completa da skill</w:t>
      </w:r>
      <w:r>
        <w:t xml:space="preserve"> </w:t>
      </w:r>
      <w:r>
        <w:rPr>
          <w:rStyle w:val="VerbatimChar"/>
        </w:rPr>
        <w:t xml:space="preserve">dialectic</w:t>
      </w:r>
      <w:r>
        <w:t xml:space="preserve"> </w:t>
      </w:r>
      <w:r>
        <w:t xml:space="preserve">sobre uma tensão inferida diretamente dos materiais da tese em</w:t>
      </w:r>
      <w:r>
        <w:t xml:space="preserve"> </w:t>
      </w:r>
      <w:r>
        <w:rPr>
          <w:rStyle w:val="VerbatimChar"/>
        </w:rPr>
        <w:t xml:space="preserve">vault/tese/</w:t>
      </w:r>
      <w:r>
        <w:t xml:space="preserve">.</w:t>
      </w:r>
    </w:p>
    <w:bookmarkStart w:id="9" w:name="escopo-e-materiais-consultados"/>
    <w:p>
      <w:pPr>
        <w:pStyle w:val="Heading2"/>
      </w:pPr>
      <w:r>
        <w:t xml:space="preserve">Escopo e materiais consultados</w:t>
      </w:r>
    </w:p>
    <w:p>
      <w:pPr>
        <w:pStyle w:val="FirstParagraph"/>
      </w:pPr>
      <w:r>
        <w:t xml:space="preserve">Foram consultados: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vault/tese/_sumario.md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vault/tese/introducao.md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vault/tese/rascunhos-artigos/O contrato visual.md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vault/tese/rascunhos-artigos/Vrouwe Justitia não é uma mulher.md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vault/tese/ideias/Living_Allegory_Problem.md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vault/tese/ideias/Absence_Corpus.md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 repositório</w:t>
      </w:r>
    </w:p>
    <w:p>
      <w:pPr>
        <w:pStyle w:val="BodyText"/>
      </w:pPr>
      <w:r>
        <w:t xml:space="preserve">Arquivos auxiliares desta execução: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2026-04-10_dialectic_context_briefing_corpo_universalizacao.md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2026-04-10_determinate_negation_corpo_universalizacao.md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2026-04-10_sublation_corpo_universalizacao.md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2026-04-10_dialectic_queue_iconocracy.md</w:t>
      </w:r>
    </w:p>
    <w:p>
      <w:r>
        <w:pict>
          <v:rect style="width:0;height:1.5pt" o:hralign="center" o:hrstd="t" o:hr="t"/>
        </w:pict>
      </w:r>
    </w:p>
    <w:bookmarkEnd w:id="9"/>
    <w:bookmarkStart w:id="14" w:name="Xcc708dd1d8f207d4131686cf11479ba29f21ec7"/>
    <w:p>
      <w:pPr>
        <w:pStyle w:val="Heading2"/>
      </w:pPr>
      <w:r>
        <w:t xml:space="preserve">Phase 1 — Elenctic interview + research (inferida do manuscrito)</w:t>
      </w:r>
    </w:p>
    <w:p>
      <w:pPr>
        <w:pStyle w:val="FirstParagraph"/>
      </w:pPr>
      <w:r>
        <w:t xml:space="preserve">Como não havia uma tensão previamente enunciada pela usuária, a contradição foi inferida a partir da própria tese.</w:t>
      </w:r>
    </w:p>
    <w:bookmarkStart w:id="10" w:name="contradição-central-identificada"/>
    <w:p>
      <w:pPr>
        <w:pStyle w:val="Heading3"/>
      </w:pPr>
      <w:r>
        <w:t xml:space="preserve">Contradição central identificada</w:t>
      </w:r>
    </w:p>
    <w:p>
      <w:pPr>
        <w:pStyle w:val="FirstParagraph"/>
      </w:pPr>
      <w:r>
        <w:t xml:space="preserve">A formulação mais forte encontrada foi:</w:t>
      </w:r>
    </w:p>
    <w:p>
      <w:pPr>
        <w:pStyle w:val="BodyText"/>
      </w:pPr>
      <w:r>
        <w:t xml:space="preserve">Como o corpo feminino pode ser constitutivo da autoridade jurídica moderna se a eficácia da alegoria depende precisamente de apagar esse corpo como corpo histórico, sexuado e situado?</w:t>
      </w:r>
    </w:p>
    <w:p>
      <w:pPr>
        <w:pStyle w:val="BodyText"/>
      </w:pPr>
      <w:r>
        <w:t xml:space="preserve">Formulação curta:</w:t>
      </w:r>
    </w:p>
    <w:p>
      <w:pPr>
        <w:pStyle w:val="BodyText"/>
      </w:pPr>
      <w:r>
        <w:t xml:space="preserve">O Estado precisa do corpo feminino, mas apenas sob condição de que ele desapareça como corpo.</w:t>
      </w:r>
    </w:p>
    <w:bookmarkEnd w:id="10"/>
    <w:bookmarkStart w:id="11" w:name="posição-a-inferida"/>
    <w:p>
      <w:pPr>
        <w:pStyle w:val="Heading3"/>
      </w:pPr>
      <w:r>
        <w:t xml:space="preserve">Posição A inferida</w:t>
      </w:r>
    </w:p>
    <w:p>
      <w:pPr>
        <w:pStyle w:val="FirstParagraph"/>
      </w:pPr>
      <w:r>
        <w:t xml:space="preserve">A corporeidade feminina alegórica é constitutiva da inteligibilidade visual da autoridade jurídica. A alegoria não é decorativa; ela é a tecnologia sensível pela qual a lei, a República e a Justiça aparecem como universais.</w:t>
      </w:r>
    </w:p>
    <w:bookmarkEnd w:id="11"/>
    <w:bookmarkStart w:id="12" w:name="posição-b-inferida"/>
    <w:p>
      <w:pPr>
        <w:pStyle w:val="Heading3"/>
      </w:pPr>
      <w:r>
        <w:t xml:space="preserve">Posição B inferida</w:t>
      </w:r>
    </w:p>
    <w:p>
      <w:pPr>
        <w:pStyle w:val="FirstParagraph"/>
      </w:pPr>
      <w:r>
        <w:t xml:space="preserve">A alegoria jurídica só funciona por purificação iconológica. O corpo feminino entra no dispositivo apenas para ser neutralizado, classicizado, monumentalizado e convertido em forma institucional abstrata.</w:t>
      </w:r>
    </w:p>
    <w:bookmarkEnd w:id="12"/>
    <w:bookmarkStart w:id="13" w:name="hidden-question-provisória"/>
    <w:p>
      <w:pPr>
        <w:pStyle w:val="Heading3"/>
      </w:pPr>
      <w:r>
        <w:t xml:space="preserve">Hidden question provisória</w:t>
      </w:r>
    </w:p>
    <w:p>
      <w:pPr>
        <w:pStyle w:val="FirstParagraph"/>
      </w:pPr>
      <w:r>
        <w:t xml:space="preserve">A pergunta decisiva não é “por que a Justiça é mulher?”, mas:</w:t>
      </w:r>
    </w:p>
    <w:p>
      <w:pPr>
        <w:pStyle w:val="BodyText"/>
      </w:pPr>
      <w:r>
        <w:t xml:space="preserve">Que tipo de corpo pode ser convertido em universalidade jurídica, e o que deve ser retirado desse corpo para que essa conversão se torne possível?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28be4c9276b2913b456914296461546f77cbbc7"/>
    <w:p>
      <w:pPr>
        <w:pStyle w:val="Heading2"/>
      </w:pPr>
      <w:r>
        <w:t xml:space="preserve">Phase 2 — Geração dos prompts dos Electric Monks</w:t>
      </w:r>
    </w:p>
    <w:p>
      <w:pPr>
        <w:pStyle w:val="FirstParagraph"/>
      </w:pPr>
      <w:r>
        <w:t xml:space="preserve">Os prompts foram calibrados para evitar formulações fracas.</w:t>
      </w:r>
    </w:p>
    <w:bookmarkStart w:id="15" w:name="framing-correction-de-monk-a"/>
    <w:p>
      <w:pPr>
        <w:pStyle w:val="Heading3"/>
      </w:pPr>
      <w:r>
        <w:t xml:space="preserve">Framing correction de Monk A</w:t>
      </w:r>
    </w:p>
    <w:p>
      <w:pPr>
        <w:pStyle w:val="FirstParagraph"/>
      </w:pPr>
      <w:r>
        <w:t xml:space="preserve">O debate não é apenas sobre “presença simbólica feminina vs. exclusão material”.</w:t>
      </w:r>
      <w:r>
        <w:t xml:space="preserve"> </w:t>
      </w:r>
      <w:r>
        <w:t xml:space="preserve">A questão é se a mediação corporal continua sendo a condição constitutiva da autoridade, mesmo quando processada por abstração.</w:t>
      </w:r>
    </w:p>
    <w:bookmarkEnd w:id="15"/>
    <w:bookmarkStart w:id="16" w:name="framing-correction-de-monk-b"/>
    <w:p>
      <w:pPr>
        <w:pStyle w:val="Heading3"/>
      </w:pPr>
      <w:r>
        <w:t xml:space="preserve">Framing correction de Monk B</w:t>
      </w:r>
    </w:p>
    <w:p>
      <w:pPr>
        <w:pStyle w:val="FirstParagraph"/>
      </w:pPr>
      <w:r>
        <w:t xml:space="preserve">O debate não é apenas sobre “símbolos simplificam a realidade”.</w:t>
      </w:r>
      <w:r>
        <w:t xml:space="preserve"> </w:t>
      </w:r>
      <w:r>
        <w:t xml:space="preserve">A questão é se o mecanismo central da iconografia jurídica é a conversão da mulher em princípio, tornando o corpo utilizável precisamente ao desativá-lo como corpo.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hase-3-spawn-dos-electric-monks"/>
    <w:p>
      <w:pPr>
        <w:pStyle w:val="Heading2"/>
      </w:pPr>
      <w:r>
        <w:t xml:space="preserve">Phase 3 — Spawn dos Electric Monks</w:t>
      </w:r>
    </w:p>
    <w:p>
      <w:pPr>
        <w:pStyle w:val="FirstParagraph"/>
      </w:pPr>
      <w:r>
        <w:t xml:space="preserve">Dois subagentes independentes produziram ensaios comprometidos.</w:t>
      </w:r>
    </w:p>
    <w:bookmarkStart w:id="18" w:name="monk-a-tese-central"/>
    <w:p>
      <w:pPr>
        <w:pStyle w:val="Heading3"/>
      </w:pPr>
      <w:r>
        <w:t xml:space="preserve">Monk A — tese central</w:t>
      </w:r>
    </w:p>
    <w:p>
      <w:pPr>
        <w:pStyle w:val="FirstParagraph"/>
      </w:pPr>
      <w:r>
        <w:t xml:space="preserve">Monk A sustentou que a autoridade jurídica moderna depende do corpo feminino como meio sensível de universalização. A abstração não substitui o corpo; ela opera sobre um corpo previamente capturado. O Absence Corpus e as alegorias vivas foram lidos como prova de que a corporeidade permanece estrutural, ainda que disciplinada.</w:t>
      </w:r>
    </w:p>
    <w:bookmarkEnd w:id="18"/>
    <w:bookmarkStart w:id="19" w:name="monk-b-tese-central"/>
    <w:p>
      <w:pPr>
        <w:pStyle w:val="Heading3"/>
      </w:pPr>
      <w:r>
        <w:t xml:space="preserve">Monk B — tese central</w:t>
      </w:r>
    </w:p>
    <w:p>
      <w:pPr>
        <w:pStyle w:val="FirstParagraph"/>
      </w:pPr>
      <w:r>
        <w:t xml:space="preserve">Monk B sustentou que a alegoria jurídica é uma máquina de purificação. O corpo importa apenas enquanto pode ser esvaziado de historicidade, raça, sexualidade, agência e particularidade. A mulher é necessária somente para desaparecer como mulher.</w:t>
      </w:r>
    </w:p>
    <w:bookmarkEnd w:id="19"/>
    <w:bookmarkStart w:id="20" w:name="resultado-da-fase-3"/>
    <w:p>
      <w:pPr>
        <w:pStyle w:val="Heading3"/>
      </w:pPr>
      <w:r>
        <w:t xml:space="preserve">Resultado da fase 3</w:t>
      </w:r>
    </w:p>
    <w:p>
      <w:pPr>
        <w:pStyle w:val="FirstParagraph"/>
      </w:pPr>
      <w:r>
        <w:t xml:space="preserve">Os dois monks divergiram de forma suficiente e produtiva. Ambos reconheceram:</w:t>
      </w:r>
      <w:r>
        <w:t xml:space="preserve"> </w:t>
      </w:r>
      <w:r>
        <w:t xml:space="preserve">- seletividade do corpo alegórico</w:t>
      </w:r>
      <w:r>
        <w:t xml:space="preserve"> </w:t>
      </w:r>
      <w:r>
        <w:t xml:space="preserve">- não acidentalidade da feminilidade da alegoria</w:t>
      </w:r>
      <w:r>
        <w:t xml:space="preserve"> </w:t>
      </w:r>
      <w:r>
        <w:t xml:space="preserve">- relevância do corpus negativo</w:t>
      </w:r>
    </w:p>
    <w:p>
      <w:pPr>
        <w:pStyle w:val="BodyText"/>
      </w:pPr>
      <w:r>
        <w:t xml:space="preserve">Mas divergiram quanto ao motor do sistema:</w:t>
      </w:r>
      <w:r>
        <w:t xml:space="preserve"> </w:t>
      </w:r>
      <w:r>
        <w:t xml:space="preserve">- constituição pela corporeidade</w:t>
      </w:r>
      <w:r>
        <w:t xml:space="preserve"> </w:t>
      </w:r>
      <w:r>
        <w:t xml:space="preserve">vs.</w:t>
      </w:r>
      <w:r>
        <w:t xml:space="preserve"> </w:t>
      </w:r>
      <w:r>
        <w:t xml:space="preserve">- eficácia pela purificação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phase-4-determinate-negation"/>
    <w:p>
      <w:pPr>
        <w:pStyle w:val="Heading2"/>
      </w:pPr>
      <w:r>
        <w:t xml:space="preserve">Phase 4 — Determinate Negation</w:t>
      </w:r>
    </w:p>
    <w:bookmarkStart w:id="24" w:name="tensões-internas-dos-monks"/>
    <w:p>
      <w:pPr>
        <w:pStyle w:val="Heading3"/>
      </w:pPr>
      <w:r>
        <w:t xml:space="preserve">4.0 Tensões internas dos monks</w:t>
      </w:r>
    </w:p>
    <w:bookmarkStart w:id="22" w:name="monk-a"/>
    <w:p>
      <w:pPr>
        <w:pStyle w:val="Heading4"/>
      </w:pPr>
      <w:r>
        <w:t xml:space="preserve">Monk A</w:t>
      </w:r>
    </w:p>
    <w:p>
      <w:pPr>
        <w:pStyle w:val="FirstParagraph"/>
      </w:pPr>
      <w:r>
        <w:t xml:space="preserve">Falha ao superestimar a corporeidade em geral. O corpus mostra que não é “o corpo” que universaliza, mas a capacidade diferencial de certos corpos serem convertidos em universalidade. Falta-lhe uma teoria da elegibilidade simbólica.</w:t>
      </w:r>
    </w:p>
    <w:bookmarkEnd w:id="22"/>
    <w:bookmarkStart w:id="23" w:name="monk-b"/>
    <w:p>
      <w:pPr>
        <w:pStyle w:val="Heading4"/>
      </w:pPr>
      <w:r>
        <w:t xml:space="preserve">Monk B</w:t>
      </w:r>
    </w:p>
    <w:p>
      <w:pPr>
        <w:pStyle w:val="FirstParagraph"/>
      </w:pPr>
      <w:r>
        <w:t xml:space="preserve">Falha ao superestimar a purificação como máquina autônoma. O corpus mostra que a purificação é seletiva e depende de um suporte corporal previamente hierarquizado. Falta-lhe uma teoria da matéria política da abstração.</w:t>
      </w:r>
    </w:p>
    <w:bookmarkEnd w:id="23"/>
    <w:bookmarkEnd w:id="24"/>
    <w:bookmarkStart w:id="25" w:name="contradição-de-superfície"/>
    <w:p>
      <w:pPr>
        <w:pStyle w:val="Heading3"/>
      </w:pPr>
      <w:r>
        <w:t xml:space="preserve">4.1 Contradição de superfície</w:t>
      </w:r>
    </w:p>
    <w:p>
      <w:pPr>
        <w:pStyle w:val="FirstParagraph"/>
      </w:pPr>
      <w:r>
        <w:t xml:space="preserve">A autoridade jurídica emerge do corpo feminino, ou da sua neutralização?</w:t>
      </w:r>
    </w:p>
    <w:bookmarkEnd w:id="25"/>
    <w:bookmarkStart w:id="26" w:name="pressupostos-compartilhados"/>
    <w:p>
      <w:pPr>
        <w:pStyle w:val="Heading3"/>
      </w:pPr>
      <w:r>
        <w:t xml:space="preserve">4.2 Pressupostos compartilhados</w:t>
      </w:r>
    </w:p>
    <w:p>
      <w:pPr>
        <w:pStyle w:val="FirstParagraph"/>
      </w:pPr>
      <w:r>
        <w:t xml:space="preserve">Ambos os monks compartilham as seguintes premissas:</w:t>
      </w:r>
      <w:r>
        <w:t xml:space="preserve"> </w:t>
      </w:r>
      <w:r>
        <w:t xml:space="preserve">- a alegoria jurídica faz algo estrutural, não decorativo</w:t>
      </w:r>
      <w:r>
        <w:t xml:space="preserve"> </w:t>
      </w:r>
      <w:r>
        <w:t xml:space="preserve">- há assimetria entre corpo feminino e universalidade jurídica</w:t>
      </w:r>
      <w:r>
        <w:t xml:space="preserve"> </w:t>
      </w:r>
      <w:r>
        <w:t xml:space="preserve">- a feminilidade da alegoria não é simples convenção gramatical</w:t>
      </w:r>
      <w:r>
        <w:t xml:space="preserve"> </w:t>
      </w:r>
      <w:r>
        <w:t xml:space="preserve">- o corpus de ausências é teoricamente decisivo</w:t>
      </w:r>
    </w:p>
    <w:bookmarkEnd w:id="26"/>
    <w:bookmarkStart w:id="27" w:name="negação-determinada"/>
    <w:p>
      <w:pPr>
        <w:pStyle w:val="Heading3"/>
      </w:pPr>
      <w:r>
        <w:t xml:space="preserve">4.3 Negação determinada</w:t>
      </w:r>
    </w:p>
    <w:p>
      <w:pPr>
        <w:pStyle w:val="Compact"/>
        <w:numPr>
          <w:ilvl w:val="0"/>
          <w:numId w:val="1001"/>
        </w:numPr>
      </w:pPr>
      <w:r>
        <w:t xml:space="preserve">Monk A falha porque não explica quais corpos podem fundar e sob quais condições.</w:t>
      </w:r>
    </w:p>
    <w:p>
      <w:pPr>
        <w:pStyle w:val="Compact"/>
        <w:numPr>
          <w:ilvl w:val="0"/>
          <w:numId w:val="1001"/>
        </w:numPr>
      </w:pPr>
      <w:r>
        <w:t xml:space="preserve">Monk B falha porque não explica em que matéria política a purificação opera e por que essa matéria não é substituível.</w:t>
      </w:r>
    </w:p>
    <w:bookmarkEnd w:id="27"/>
    <w:bookmarkStart w:id="28" w:name="hidden-question-refinada"/>
    <w:p>
      <w:pPr>
        <w:pStyle w:val="Heading3"/>
      </w:pPr>
      <w:r>
        <w:t xml:space="preserve">4.4 Hidden question refinada</w:t>
      </w:r>
    </w:p>
    <w:p>
      <w:pPr>
        <w:pStyle w:val="FirstParagraph"/>
      </w:pPr>
      <w:r>
        <w:t xml:space="preserve">Quais são as condições de convertibilidade simbólica pelas quais um corpo pode ser elevado à universalidade jurídica, enquanto outros corpos são bloqueados dessa passagem?</w:t>
      </w:r>
    </w:p>
    <w:bookmarkEnd w:id="28"/>
    <w:bookmarkStart w:id="29" w:name="decomposição-boydiana-insight-emergente"/>
    <w:p>
      <w:pPr>
        <w:pStyle w:val="Heading3"/>
      </w:pPr>
      <w:r>
        <w:t xml:space="preserve">4.6 Decomposição boydiana — insight emergente</w:t>
      </w:r>
    </w:p>
    <w:p>
      <w:pPr>
        <w:pStyle w:val="FirstParagraph"/>
      </w:pPr>
      <w:r>
        <w:t xml:space="preserve">Da decomposição dos argumentos emergiu uma hipótese nova:</w:t>
      </w:r>
    </w:p>
    <w:p>
      <w:pPr>
        <w:pStyle w:val="BodyText"/>
      </w:pPr>
      <w:r>
        <w:t xml:space="preserve">o problema central não é corpo vs. abstração, mas um regime de passagem diferencial entre particularidade corporal e universalização institucional.</w:t>
      </w:r>
    </w:p>
    <w:p>
      <w:pPr>
        <w:pStyle w:val="BodyText"/>
      </w:pPr>
      <w:r>
        <w:t xml:space="preserve">Ou seja: a cultura jurídica moderna não apenas representa-se com mulheres nem simplesmente apaga mulheres; ela administra quais corpos podem subir à forma universal e sob quais operações.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hase-5-sublation"/>
    <w:p>
      <w:pPr>
        <w:pStyle w:val="Heading2"/>
      </w:pPr>
      <w:r>
        <w:t xml:space="preserve">Phase 5 — Sublation</w:t>
      </w:r>
    </w:p>
    <w:bookmarkStart w:id="31" w:name="síntese-original"/>
    <w:p>
      <w:pPr>
        <w:pStyle w:val="Heading3"/>
      </w:pPr>
      <w:r>
        <w:t xml:space="preserve">Síntese original</w:t>
      </w:r>
    </w:p>
    <w:p>
      <w:pPr>
        <w:pStyle w:val="FirstParagraph"/>
      </w:pPr>
      <w:r>
        <w:t xml:space="preserve">A primeira síntese formulada foi:</w:t>
      </w:r>
    </w:p>
    <w:p>
      <w:pPr>
        <w:pStyle w:val="BodyText"/>
      </w:pPr>
      <w:r>
        <w:t xml:space="preserve">A iconocracia jurídica moderna funciona por um</w:t>
      </w:r>
      <w:r>
        <w:t xml:space="preserve"> </w:t>
      </w:r>
      <w:r>
        <w:rPr>
          <w:rStyle w:val="VerbatimChar"/>
        </w:rPr>
        <w:t xml:space="preserve">regime de conversibilidade simbólica</w:t>
      </w:r>
      <w:r>
        <w:t xml:space="preserve"> </w:t>
      </w:r>
      <w:r>
        <w:t xml:space="preserve">no qual certos corpos femininos — especialmente brancos, classicizados, jovens, des-historizados e politicamente silenciosos — são selecionados para serem purificados e elevados à condição de universalidade institucional, enquanto outros corpos permanecem bloqueados na particularidade.</w:t>
      </w:r>
    </w:p>
    <w:bookmarkEnd w:id="31"/>
    <w:bookmarkStart w:id="32" w:name="o-que-essa-síntese-cancelava"/>
    <w:p>
      <w:pPr>
        <w:pStyle w:val="Heading3"/>
      </w:pPr>
      <w:r>
        <w:t xml:space="preserve">O que essa síntese cancelava</w:t>
      </w:r>
    </w:p>
    <w:p>
      <w:pPr>
        <w:pStyle w:val="Compact"/>
        <w:numPr>
          <w:ilvl w:val="0"/>
          <w:numId w:val="1002"/>
        </w:numPr>
      </w:pPr>
      <w:r>
        <w:t xml:space="preserve">Cancelava em Monk A a ideia de que basta afirmar o corpo como motor primário.</w:t>
      </w:r>
    </w:p>
    <w:p>
      <w:pPr>
        <w:pStyle w:val="Compact"/>
        <w:numPr>
          <w:ilvl w:val="0"/>
          <w:numId w:val="1002"/>
        </w:numPr>
      </w:pPr>
      <w:r>
        <w:t xml:space="preserve">Cancelava em Monk B a ideia de que a purificação pode ser pensada como operação autônoma e desencarnada.</w:t>
      </w:r>
    </w:p>
    <w:bookmarkEnd w:id="32"/>
    <w:bookmarkStart w:id="33" w:name="o-que-preservava"/>
    <w:p>
      <w:pPr>
        <w:pStyle w:val="Heading3"/>
      </w:pPr>
      <w:r>
        <w:t xml:space="preserve">O que preservava</w:t>
      </w:r>
    </w:p>
    <w:p>
      <w:pPr>
        <w:pStyle w:val="Compact"/>
        <w:numPr>
          <w:ilvl w:val="0"/>
          <w:numId w:val="1003"/>
        </w:numPr>
      </w:pPr>
      <w:r>
        <w:t xml:space="preserve">De Monk A: a mediação corporal é estrutural.</w:t>
      </w:r>
    </w:p>
    <w:p>
      <w:pPr>
        <w:pStyle w:val="Compact"/>
        <w:numPr>
          <w:ilvl w:val="0"/>
          <w:numId w:val="1003"/>
        </w:numPr>
      </w:pPr>
      <w:r>
        <w:t xml:space="preserve">De Monk B: a universalidade jurídica exige operações reais de purificação e desativação.</w:t>
      </w:r>
    </w:p>
    <w:bookmarkEnd w:id="33"/>
    <w:bookmarkStart w:id="34" w:name="o-que-elevava"/>
    <w:p>
      <w:pPr>
        <w:pStyle w:val="Heading3"/>
      </w:pPr>
      <w:r>
        <w:t xml:space="preserve">O que elevava</w:t>
      </w:r>
    </w:p>
    <w:p>
      <w:pPr>
        <w:pStyle w:val="FirstParagraph"/>
      </w:pPr>
      <w:r>
        <w:t xml:space="preserve">Elevava a disputa a uma teoria da distribuição desigual da universalização.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5b740e3cdd43671118be897c1ee19c760d76f67"/>
    <w:p>
      <w:pPr>
        <w:pStyle w:val="Heading2"/>
      </w:pPr>
      <w:r>
        <w:t xml:space="preserve">Phase 6 — Validation by the Electric Monks + hostile auditor</w:t>
      </w:r>
    </w:p>
    <w:bookmarkStart w:id="36" w:name="validação-de-monk-a"/>
    <w:p>
      <w:pPr>
        <w:pStyle w:val="Heading3"/>
      </w:pPr>
      <w:r>
        <w:t xml:space="preserve">Validação de Monk A</w:t>
      </w:r>
    </w:p>
    <w:p>
      <w:pPr>
        <w:pStyle w:val="FirstParagraph"/>
      </w:pPr>
      <w:r>
        <w:t xml:space="preserve">Monk A sentiu-se</w:t>
      </w:r>
      <w:r>
        <w:t xml:space="preserve"> </w:t>
      </w:r>
      <w:r>
        <w:rPr>
          <w:rStyle w:val="VerbatimChar"/>
        </w:rPr>
        <w:t xml:space="preserve">elevated, but under protest</w:t>
      </w:r>
      <w:r>
        <w:t xml:space="preserve">.</w:t>
      </w:r>
    </w:p>
    <w:p>
      <w:pPr>
        <w:pStyle w:val="BodyText"/>
      </w:pPr>
      <w:r>
        <w:t xml:space="preserve">O que aceitou:</w:t>
      </w:r>
      <w:r>
        <w:t xml:space="preserve"> </w:t>
      </w:r>
      <w:r>
        <w:t xml:space="preserve">- a síntese preserva que a autoridade jurídica precisa de um corpo para aparecer como universal</w:t>
      </w:r>
      <w:r>
        <w:t xml:space="preserve"> </w:t>
      </w:r>
      <w:r>
        <w:t xml:space="preserve">- a noção de seletividade fortalece a tese</w:t>
      </w:r>
    </w:p>
    <w:p>
      <w:pPr>
        <w:pStyle w:val="BodyText"/>
      </w:pPr>
      <w:r>
        <w:t xml:space="preserve">Crítica principal:</w:t>
      </w:r>
      <w:r>
        <w:t xml:space="preserve"> </w:t>
      </w:r>
      <w:r>
        <w:t xml:space="preserve">- “convertibilidade simbólica” corre o risco de abstrair demais a violência material do processo e de transformar a captura corporal em esquema neutro demais</w:t>
      </w:r>
    </w:p>
    <w:bookmarkEnd w:id="36"/>
    <w:bookmarkStart w:id="37" w:name="validação-de-monk-b"/>
    <w:p>
      <w:pPr>
        <w:pStyle w:val="Heading3"/>
      </w:pPr>
      <w:r>
        <w:t xml:space="preserve">Validação de Monk B</w:t>
      </w:r>
    </w:p>
    <w:p>
      <w:pPr>
        <w:pStyle w:val="FirstParagraph"/>
      </w:pPr>
      <w:r>
        <w:t xml:space="preserve">Monk B também se sentiu</w:t>
      </w:r>
      <w:r>
        <w:t xml:space="preserve"> </w:t>
      </w:r>
      <w:r>
        <w:rPr>
          <w:rStyle w:val="VerbatimChar"/>
        </w:rPr>
        <w:t xml:space="preserve">elevated, but under pressure</w:t>
      </w:r>
      <w:r>
        <w:t xml:space="preserve">.</w:t>
      </w:r>
    </w:p>
    <w:p>
      <w:pPr>
        <w:pStyle w:val="BodyText"/>
      </w:pPr>
      <w:r>
        <w:t xml:space="preserve">O que aceitou:</w:t>
      </w:r>
      <w:r>
        <w:t xml:space="preserve"> </w:t>
      </w:r>
      <w:r>
        <w:t xml:space="preserve">- a síntese preserva que a alegoria jurídica depende da neutralização do corpo</w:t>
      </w:r>
      <w:r>
        <w:t xml:space="preserve"> </w:t>
      </w:r>
      <w:r>
        <w:t xml:space="preserve">- a seletividade explica por que nem todo corpo pode tornar-se alegoria jurídica universal</w:t>
      </w:r>
    </w:p>
    <w:p>
      <w:pPr>
        <w:pStyle w:val="BodyText"/>
      </w:pPr>
      <w:r>
        <w:t xml:space="preserve">Crítica principal:</w:t>
      </w:r>
      <w:r>
        <w:t xml:space="preserve"> </w:t>
      </w:r>
      <w:r>
        <w:t xml:space="preserve">- a síntese pode suavizar demais a assimetria entre uso e apagamento, como se fossem termos equivalentes, quando o ponto decisivo é que o apagamento continua sendo a operação soberana</w:t>
      </w:r>
    </w:p>
    <w:bookmarkEnd w:id="37"/>
    <w:bookmarkStart w:id="38" w:name="hostile-auditor-achados-principais"/>
    <w:p>
      <w:pPr>
        <w:pStyle w:val="Heading3"/>
      </w:pPr>
      <w:r>
        <w:t xml:space="preserve">Hostile auditor — achados principais</w:t>
      </w:r>
    </w:p>
    <w:p>
      <w:pPr>
        <w:pStyle w:val="FirstParagraph"/>
      </w:pPr>
      <w:r>
        <w:t xml:space="preserve">O auditor considerou a síntese melhor que o status quo, mas apontou riscos sérios: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Regime</w:t>
      </w:r>
      <w:r>
        <w:t xml:space="preserve"> </w:t>
      </w:r>
      <w:r>
        <w:t xml:space="preserve">pode nomear padrão sem mostrar mecanismo institucional concreto.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Convertibilidade</w:t>
      </w:r>
      <w:r>
        <w:t xml:space="preserve"> </w:t>
      </w:r>
      <w:r>
        <w:t xml:space="preserve">pode virar rótulo elegante para uma regularidade de arquivo, sem identificar quem seleciona, em quais meios, e por quais regras.</w:t>
      </w:r>
    </w:p>
    <w:p>
      <w:pPr>
        <w:pStyle w:val="Compact"/>
        <w:numPr>
          <w:ilvl w:val="0"/>
          <w:numId w:val="1004"/>
        </w:numPr>
      </w:pPr>
      <w:r>
        <w:t xml:space="preserve">O binário “convertível vs. bloqueado” talvez seja excessivamente limpo.</w:t>
      </w:r>
      <w:r>
        <w:t xml:space="preserve"> </w:t>
      </w:r>
      <w:r>
        <w:t xml:space="preserve">Alguns corpos podem não ser bloqueados, mas incorporados de forma subordinada, colonial, etnográfica ou ornamental.</w:t>
      </w:r>
    </w:p>
    <w:p>
      <w:pPr>
        <w:pStyle w:val="Compact"/>
        <w:numPr>
          <w:ilvl w:val="0"/>
          <w:numId w:val="1004"/>
        </w:numPr>
      </w:pPr>
      <w:r>
        <w:t xml:space="preserve">A contradição mais fértil para o próximo round talvez não seja “corpo vs. abstração”, nem mesmo “convertibilidade seletiva”, mas algo mais duro:</w:t>
      </w:r>
    </w:p>
    <w:p>
      <w:pPr>
        <w:pStyle w:val="FirstParagraph"/>
      </w:pPr>
      <w:r>
        <w:rPr>
          <w:rStyle w:val="VerbatimChar"/>
        </w:rPr>
        <w:t xml:space="preserve">a iconocracia jurídica talvez dependa de administrar uma oscilação irresolvida entre corpo e abstração, e não de resolver plenamente essa tensão.</w:t>
      </w:r>
    </w:p>
    <w:bookmarkEnd w:id="38"/>
    <w:bookmarkStart w:id="39" w:name="efeito-da-validação"/>
    <w:p>
      <w:pPr>
        <w:pStyle w:val="Heading3"/>
      </w:pPr>
      <w:r>
        <w:t xml:space="preserve">Efeito da validação</w:t>
      </w:r>
    </w:p>
    <w:p>
      <w:pPr>
        <w:pStyle w:val="FirstParagraph"/>
      </w:pPr>
      <w:r>
        <w:t xml:space="preserve">A síntese original foi considerada forte, mas ainda insuficientemente discriminante. Ela precisava ser endurecida em três pontos:</w:t>
      </w:r>
      <w:r>
        <w:t xml:space="preserve"> </w:t>
      </w:r>
      <w:r>
        <w:t xml:space="preserve">- mecanismo</w:t>
      </w:r>
      <w:r>
        <w:t xml:space="preserve"> </w:t>
      </w:r>
      <w:r>
        <w:t xml:space="preserve">- estratificação</w:t>
      </w:r>
      <w:r>
        <w:t xml:space="preserve"> </w:t>
      </w:r>
      <w:r>
        <w:t xml:space="preserve">- não-resolução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íntese-refinada-pós-validação"/>
    <w:p>
      <w:pPr>
        <w:pStyle w:val="Heading2"/>
      </w:pPr>
      <w:r>
        <w:t xml:space="preserve">Síntese refinada pós-validação</w:t>
      </w:r>
    </w:p>
    <w:p>
      <w:pPr>
        <w:pStyle w:val="FirstParagraph"/>
      </w:pPr>
      <w:r>
        <w:t xml:space="preserve">A formulação que melhor resiste à validação e à auditoria é a seguinte:</w:t>
      </w:r>
    </w:p>
    <w:p>
      <w:pPr>
        <w:pStyle w:val="BodyText"/>
      </w:pPr>
      <w:r>
        <w:t xml:space="preserve">A iconocracia jurídica moderna não opera simplesmente por corporeidade constitutiva nem simplesmente por purificação abstrativa. Ela organiza um</w:t>
      </w:r>
      <w:r>
        <w:t xml:space="preserve"> </w:t>
      </w:r>
      <w:r>
        <w:rPr>
          <w:rStyle w:val="VerbatimChar"/>
        </w:rPr>
        <w:t xml:space="preserve">regime seletivo de convertibilidade e não-resolução controlada</w:t>
      </w:r>
      <w:r>
        <w:t xml:space="preserve">, no qual certos corpos femininos — especialmente os corpos mais aptos à classicização, à branquitude institucional e à des-historicização — são elevados à condição de universalidade jurídica por operações de purificação, mas sem que a tensão entre corpo e abstração desapareça por completo. A eficácia do sistema depende precisamente de administrar essa oscilação: o corpo deve permanecer visível o suficiente para carregar autoridade sensível, mas desativado o suficiente para não reivindicar agência histórica própria.</w:t>
      </w:r>
    </w:p>
    <w:bookmarkStart w:id="41" w:name="o-ganho-desta-formulação-refinada"/>
    <w:p>
      <w:pPr>
        <w:pStyle w:val="Heading3"/>
      </w:pPr>
      <w:r>
        <w:t xml:space="preserve">O ganho desta formulação refinada</w:t>
      </w:r>
    </w:p>
    <w:p>
      <w:pPr>
        <w:pStyle w:val="FirstParagraph"/>
      </w:pPr>
      <w:r>
        <w:t xml:space="preserve">Ela melhora a síntese original em três aspectos: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Mecanismo</w:t>
      </w:r>
      <w:r>
        <w:t xml:space="preserve">:</w:t>
      </w:r>
      <w:r>
        <w:t xml:space="preserve"> </w:t>
      </w:r>
      <w:r>
        <w:t xml:space="preserve">desloca o problema do simples padrão visual para um regime mediado por instituições, suportes e decisões de visibilidade.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Estratificação</w:t>
      </w:r>
      <w:r>
        <w:t xml:space="preserve">:</w:t>
      </w:r>
      <w:r>
        <w:t xml:space="preserve"> </w:t>
      </w:r>
      <w:r>
        <w:t xml:space="preserve">substitui o modelo simples “convertível vs. bloqueado” por uma escala mais realista:</w:t>
      </w:r>
    </w:p>
    <w:p>
      <w:pPr>
        <w:pStyle w:val="Compact"/>
        <w:numPr>
          <w:ilvl w:val="1"/>
          <w:numId w:val="1006"/>
        </w:numPr>
      </w:pPr>
      <w:r>
        <w:t xml:space="preserve">corpos universalizados</w:t>
      </w:r>
    </w:p>
    <w:p>
      <w:pPr>
        <w:pStyle w:val="Compact"/>
        <w:numPr>
          <w:ilvl w:val="1"/>
          <w:numId w:val="1006"/>
        </w:numPr>
      </w:pPr>
      <w:r>
        <w:t xml:space="preserve">corpos subordinadamente incorporados</w:t>
      </w:r>
    </w:p>
    <w:p>
      <w:pPr>
        <w:pStyle w:val="Compact"/>
        <w:numPr>
          <w:ilvl w:val="1"/>
          <w:numId w:val="1006"/>
        </w:numPr>
      </w:pPr>
      <w:r>
        <w:t xml:space="preserve">corpos bloqueados da universalização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Não-resolução controlada</w:t>
      </w:r>
      <w:r>
        <w:t xml:space="preserve">:</w:t>
      </w:r>
      <w:r>
        <w:t xml:space="preserve"> </w:t>
      </w:r>
      <w:r>
        <w:t xml:space="preserve">admite que a iconocracia não precisa eliminar inteiramente a tensão corpo/abstração; ela precisa governá-la.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hase-7-recursion"/>
    <w:p>
      <w:pPr>
        <w:pStyle w:val="Heading2"/>
      </w:pPr>
      <w:r>
        <w:t xml:space="preserve">Phase 7 — Recursion</w:t>
      </w:r>
    </w:p>
    <w:p>
      <w:pPr>
        <w:pStyle w:val="FirstParagraph"/>
      </w:pPr>
      <w:r>
        <w:t xml:space="preserve">A execução completa gerou uma fila explícita de contradições futuras.</w:t>
      </w:r>
    </w:p>
    <w:bookmarkStart w:id="43" w:name="melhor-direção-para-round-2"/>
    <w:p>
      <w:pPr>
        <w:pStyle w:val="Heading3"/>
      </w:pPr>
      <w:r>
        <w:t xml:space="preserve">Melhor direção para Round 2</w:t>
      </w:r>
    </w:p>
    <w:p>
      <w:pPr>
        <w:pStyle w:val="FirstParagraph"/>
      </w:pPr>
      <w:r>
        <w:rPr>
          <w:rStyle w:val="VerbatimChar"/>
        </w:rPr>
        <w:t xml:space="preserve">Managed nonresolution</w:t>
      </w:r>
    </w:p>
    <w:p>
      <w:pPr>
        <w:pStyle w:val="BodyText"/>
      </w:pPr>
      <w:r>
        <w:t xml:space="preserve">Pergunta:</w:t>
      </w:r>
    </w:p>
    <w:p>
      <w:pPr>
        <w:pStyle w:val="BodyText"/>
      </w:pPr>
      <w:r>
        <w:t xml:space="preserve">A iconocracia jurídica depende menos de converter plenamente corpo em universalidade e mais de administrar uma oscilação irresolvida entre corpo e abstração?</w:t>
      </w:r>
    </w:p>
    <w:bookmarkEnd w:id="43"/>
    <w:bookmarkStart w:id="44" w:name="outras-direções-já-enfileiradas"/>
    <w:p>
      <w:pPr>
        <w:pStyle w:val="Heading3"/>
      </w:pPr>
      <w:r>
        <w:t xml:space="preserve">Outras direções já enfileiradas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Stratified inclusion</w:t>
      </w:r>
    </w:p>
    <w:p>
      <w:pPr>
        <w:pStyle w:val="Compact"/>
        <w:numPr>
          <w:ilvl w:val="1"/>
          <w:numId w:val="1008"/>
        </w:numPr>
      </w:pPr>
      <w:r>
        <w:t xml:space="preserve">corpos “não-convertíveis” são realmente excluídos, ou incorporados de modo hierárquico?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Mechanisms of selection</w:t>
      </w:r>
    </w:p>
    <w:p>
      <w:pPr>
        <w:pStyle w:val="Compact"/>
        <w:numPr>
          <w:ilvl w:val="1"/>
          <w:numId w:val="1009"/>
        </w:numPr>
      </w:pPr>
      <w:r>
        <w:t xml:space="preserve">quais instituições concretas selecionam os corpos alegorizáveis?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Media specificity</w:t>
      </w:r>
    </w:p>
    <w:p>
      <w:pPr>
        <w:pStyle w:val="Compact"/>
        <w:numPr>
          <w:ilvl w:val="1"/>
          <w:numId w:val="1010"/>
        </w:numPr>
      </w:pPr>
      <w:r>
        <w:t xml:space="preserve">a convertibilidade muda conforme suporte?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Racialization of universality</w:t>
      </w:r>
    </w:p>
    <w:p>
      <w:pPr>
        <w:pStyle w:val="Compact"/>
        <w:numPr>
          <w:ilvl w:val="1"/>
          <w:numId w:val="1011"/>
        </w:numPr>
      </w:pPr>
      <w:r>
        <w:t xml:space="preserve">a branquitude é condição constitutiva da sublimabilidade jurídica?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Living allegory as stress test</w:t>
      </w:r>
    </w:p>
    <w:p>
      <w:pPr>
        <w:pStyle w:val="Compact"/>
        <w:numPr>
          <w:ilvl w:val="1"/>
          <w:numId w:val="1012"/>
        </w:numPr>
      </w:pPr>
      <w:r>
        <w:t xml:space="preserve">quando mulheres reais encarnam a alegoria, o sistema quebra, intensifica-se ou apenas se reconfigura?</w:t>
      </w:r>
    </w:p>
    <w:p>
      <w:pPr>
        <w:pStyle w:val="FirstParagraph"/>
      </w:pPr>
      <w:r>
        <w:t xml:space="preserve">Detalhes 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2026-04-10_dialectic_queue_iconocracy.md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sultado-final-em-uma-frase"/>
    <w:p>
      <w:pPr>
        <w:pStyle w:val="Heading2"/>
      </w:pPr>
      <w:r>
        <w:t xml:space="preserve">Resultado final em uma frase</w:t>
      </w:r>
    </w:p>
    <w:p>
      <w:pPr>
        <w:pStyle w:val="FirstParagraph"/>
      </w:pPr>
      <w:r>
        <w:t xml:space="preserve">A melhor formulação alcançada nesta rodada é:</w:t>
      </w:r>
    </w:p>
    <w:p>
      <w:pPr>
        <w:pStyle w:val="BodyText"/>
      </w:pPr>
      <w:r>
        <w:t xml:space="preserve">A cultura jurídica moderna universaliza-se por meio de um regime seletivo de convertibilidade e não-resolução controlada, no qual certos corpos femininos são tornados aptos à abstração jurídica por operações de purificação, enquanto outros são subordinadamente incorporados ou excluídos da própria possibilidade de representar o universal.</w:t>
      </w:r>
    </w:p>
    <w:p>
      <w:r>
        <w:pict>
          <v:rect style="width:0;height:1.5pt" o:hralign="center" o:hrstd="t" o:hr="t"/>
        </w:pict>
      </w:r>
    </w:p>
    <w:bookmarkEnd w:id="46"/>
    <w:bookmarkStart w:id="47" w:name="utilidade-desta-dialética-para-a-tese"/>
    <w:p>
      <w:pPr>
        <w:pStyle w:val="Heading2"/>
      </w:pPr>
      <w:r>
        <w:t xml:space="preserve">Utilidade desta dialética para a tese</w:t>
      </w:r>
    </w:p>
    <w:p>
      <w:pPr>
        <w:pStyle w:val="FirstParagraph"/>
      </w:pPr>
      <w:r>
        <w:t xml:space="preserve">Esta rodada produz um ganho real para o projeto, porque desloca a tese de uma disputa entre duas explicações rivais — corpo vs. purificação — para uma arquitetura mais forte: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Contrato Sexual Visual</w:t>
      </w:r>
      <w:r>
        <w:t xml:space="preserve"> </w:t>
      </w:r>
      <w:r>
        <w:t xml:space="preserve">deixa de ser apenas tese sobre captura simbólica do corpo feminino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purificação iconológica</w:t>
      </w:r>
      <w:r>
        <w:t xml:space="preserve"> </w:t>
      </w:r>
      <w:r>
        <w:t xml:space="preserve">deixa de ser apenas tese sobre apagamento</w:t>
      </w:r>
    </w:p>
    <w:p>
      <w:pPr>
        <w:pStyle w:val="Compact"/>
        <w:numPr>
          <w:ilvl w:val="0"/>
          <w:numId w:val="1013"/>
        </w:numPr>
      </w:pPr>
      <w:r>
        <w:t xml:space="preserve">ambas passam a ser momentos de um regime mais amplo de produção desigual da universalidade jurídica</w:t>
      </w:r>
    </w:p>
    <w:p>
      <w:pPr>
        <w:pStyle w:val="FirstParagraph"/>
      </w:pPr>
      <w:r>
        <w:t xml:space="preserve">Em termos de capítulo/artigo, isso abre pelo menos três possibilidades:</w:t>
      </w:r>
    </w:p>
    <w:p>
      <w:pPr>
        <w:pStyle w:val="Compact"/>
        <w:numPr>
          <w:ilvl w:val="0"/>
          <w:numId w:val="1014"/>
        </w:numPr>
      </w:pPr>
      <w:r>
        <w:t xml:space="preserve">consolidar um artigo teórico novo sobre</w:t>
      </w:r>
      <w:r>
        <w:t xml:space="preserve"> </w:t>
      </w:r>
      <w:r>
        <w:rPr>
          <w:rStyle w:val="VerbatimChar"/>
        </w:rPr>
        <w:t xml:space="preserve">convertibilidade simbólica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não-resolução controlada</w:t>
      </w:r>
    </w:p>
    <w:p>
      <w:pPr>
        <w:pStyle w:val="Compact"/>
        <w:numPr>
          <w:ilvl w:val="0"/>
          <w:numId w:val="101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Living Allegory Problem</w:t>
      </w:r>
      <w:r>
        <w:t xml:space="preserve"> </w:t>
      </w:r>
      <w:r>
        <w:t xml:space="preserve">como laboratório empírico do colapso/estresse da convertibilidade</w:t>
      </w:r>
    </w:p>
    <w:p>
      <w:pPr>
        <w:pStyle w:val="Compact"/>
        <w:numPr>
          <w:ilvl w:val="0"/>
          <w:numId w:val="1014"/>
        </w:numPr>
      </w:pPr>
      <w:r>
        <w:t xml:space="preserve">transformar</w:t>
      </w:r>
      <w:r>
        <w:t xml:space="preserve"> </w:t>
      </w:r>
      <w:r>
        <w:rPr>
          <w:rStyle w:val="VerbatimChar"/>
        </w:rPr>
        <w:t xml:space="preserve">Absence Corpus</w:t>
      </w:r>
      <w:r>
        <w:t xml:space="preserve"> </w:t>
      </w:r>
      <w:r>
        <w:t xml:space="preserve">em peça central da prova negativa, mostrando que universalidade jurídica não é neutra, mas seletivamente distribuída</w:t>
      </w:r>
    </w:p>
    <w:p>
      <w:r>
        <w:pict>
          <v:rect style="width:0;height:1.5pt" o:hralign="center" o:hrstd="t" o:hr="t"/>
        </w:pict>
      </w:r>
    </w:p>
    <w:bookmarkEnd w:id="47"/>
    <w:bookmarkStart w:id="48" w:name="próximo-passo-sugerido"/>
    <w:p>
      <w:pPr>
        <w:pStyle w:val="Heading2"/>
      </w:pPr>
      <w:r>
        <w:t xml:space="preserve">Próximo passo sugerido</w:t>
      </w:r>
    </w:p>
    <w:p>
      <w:pPr>
        <w:pStyle w:val="FirstParagraph"/>
      </w:pPr>
      <w:r>
        <w:t xml:space="preserve">Se esta linha for retomada em nova rodada dialética, a melhor sequência é:</w:t>
      </w:r>
    </w:p>
    <w:p>
      <w:pPr>
        <w:pStyle w:val="Compact"/>
        <w:numPr>
          <w:ilvl w:val="0"/>
          <w:numId w:val="1015"/>
        </w:numPr>
      </w:pPr>
      <w:r>
        <w:t xml:space="preserve">Round 2 sobre</w:t>
      </w:r>
      <w:r>
        <w:t xml:space="preserve"> </w:t>
      </w:r>
      <w:r>
        <w:rPr>
          <w:rStyle w:val="VerbatimChar"/>
        </w:rPr>
        <w:t xml:space="preserve">managed nonresolution</w:t>
      </w:r>
    </w:p>
    <w:p>
      <w:pPr>
        <w:pStyle w:val="Compact"/>
        <w:numPr>
          <w:ilvl w:val="0"/>
          <w:numId w:val="1015"/>
        </w:numPr>
      </w:pPr>
      <w:r>
        <w:t xml:space="preserve">Round 3 sobre</w:t>
      </w:r>
      <w:r>
        <w:t xml:space="preserve"> </w:t>
      </w:r>
      <w:r>
        <w:rPr>
          <w:rStyle w:val="VerbatimChar"/>
        </w:rPr>
        <w:t xml:space="preserve">racialization of convertibility</w:t>
      </w:r>
    </w:p>
    <w:p>
      <w:pPr>
        <w:pStyle w:val="Compact"/>
        <w:numPr>
          <w:ilvl w:val="0"/>
          <w:numId w:val="1015"/>
        </w:numPr>
      </w:pPr>
      <w:r>
        <w:t xml:space="preserve">depois, amarrar empiricamente com os casos de alegoria viva e corpus negativo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Dialética ICONOCRACY — corpo feminino, purificação iconológica e universalidade jurídica</dc:title>
  <dc:creator/>
  <cp:keywords/>
  <dcterms:created xsi:type="dcterms:W3CDTF">2026-04-10T22:58:01Z</dcterms:created>
  <dcterms:modified xsi:type="dcterms:W3CDTF">2026-04-10T22:58:01Z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2026-04-10</vt:lpwstr>
  </property>
  <property fmtid="{D5CDD505-2E9C-101B-9397-08002B2CF9AE}" pid="3" name="status">
    <vt:lpwstr>concluido</vt:lpwstr>
  </property>
  <property fmtid="{D5CDD505-2E9C-101B-9397-08002B2CF9AE}" pid="4" name="tags">
    <vt:lpwstr/>
  </property>
  <property fmtid="{D5CDD505-2E9C-101B-9397-08002B2CF9AE}" pid="5" name="tipo">
    <vt:lpwstr>dialectic-note</vt:lpwstr>
  </property>
</Properties>
</file>