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Minha Fala — Seminário 8</w:t>
      </w:r>
    </w:p>
    <w:bookmarkStart w:id="28" w:name="minha-fala-seminário-8"/>
    <w:p>
      <w:pPr>
        <w:pStyle w:val="Heading1"/>
      </w:pPr>
      <w:r>
        <w:t xml:space="preserve">Minha Fala — Seminário 8</w:t>
      </w:r>
    </w:p>
    <w:p>
      <w:pPr>
        <w:pStyle w:val="FirstParagraph"/>
      </w:pPr>
      <w:r>
        <w:t xml:space="preserve">Do Poder-Dever ao Dever-Poder · Ana Vanzin &amp; Vinícius Oliveira · PPGD/UFSC · 25/05/2026</w:t>
      </w:r>
    </w:p>
    <w:p>
      <w:pPr>
        <w:pStyle w:val="BodyText"/>
      </w:pPr>
      <w:r>
        <w:t xml:space="preserve">Regra de ouro: o Vinícius dá o conceito; eu dou a tensão. Fio condutor: Estado Regulador ⇄ Regulado. Tom: curto, seguro, crítico, sem pressa.</w:t>
      </w:r>
    </w:p>
    <w:bookmarkStart w:id="9" w:name="slide-03chave-de-leitura"/>
    <w:p>
      <w:pPr>
        <w:pStyle w:val="Heading2"/>
      </w:pPr>
      <w:r>
        <w:t xml:space="preserve">Slide 03</w:t>
      </w:r>
      <w:r>
        <w:t xml:space="preserve">Chave de leitura</w:t>
      </w:r>
    </w:p>
    <w:p>
      <w:pPr>
        <w:pStyle w:val="FirstParagraph"/>
      </w:pPr>
      <w:r>
        <w:t xml:space="preserve">Antes de entrar nos artigos, eu queria deixar a chave de leitura que costura tudo. Nestes quatro textos, o Poder Público aparece em</w:t>
      </w:r>
      <w:r>
        <w:t xml:space="preserve"> </w:t>
      </w:r>
      <w:r>
        <w:rPr>
          <w:b/>
          <w:bCs/>
        </w:rPr>
        <w:t xml:space="preserve">duas posições ao mesmo tempo</w:t>
      </w:r>
      <w:r>
        <w:t xml:space="preserve">.</w:t>
      </w:r>
    </w:p>
    <w:p>
      <w:pPr>
        <w:pStyle w:val="BodyText"/>
      </w:pPr>
      <w:r>
        <w:t xml:space="preserve">Ele é o</w:t>
      </w:r>
      <w:r>
        <w:t xml:space="preserve"> </w:t>
      </w:r>
      <w:r>
        <w:rPr>
          <w:b/>
          <w:bCs/>
        </w:rPr>
        <w:t xml:space="preserve">Regulador</w:t>
      </w:r>
      <w:r>
        <w:t xml:space="preserve">: edita a LAI, a LGPD, cria a ANPD, publica resoluções e instruções normativas. Mas é também o</w:t>
      </w:r>
      <w:r>
        <w:t xml:space="preserve"> </w:t>
      </w:r>
      <w:r>
        <w:rPr>
          <w:b/>
          <w:bCs/>
        </w:rPr>
        <w:t xml:space="preserve">Regulado</w:t>
      </w:r>
      <w:r>
        <w:t xml:space="preserve">: o maior controlador de dados pessoais do país, o maior usuário de sistemas automatizados e, muitas vezes, o próprio agente que decide sobre acesso a direitos.</w:t>
      </w:r>
    </w:p>
    <w:p>
      <w:pPr>
        <w:pStyle w:val="BodyText"/>
      </w:pPr>
      <w:r>
        <w:t xml:space="preserve">Então a pergunta é: o que acontece quando quem faz a regra é também quem tem mais poder — e mais incentivo — para relativizá-la contra o cidadão? É essa tensão que chamamos de passagem</w:t>
      </w:r>
      <w:r>
        <w:t xml:space="preserve"> </w:t>
      </w:r>
      <w:r>
        <w:rPr>
          <w:b/>
          <w:bCs/>
        </w:rPr>
        <w:t xml:space="preserve">do poder-dever ao dever-poder</w:t>
      </w:r>
      <w:r>
        <w:t xml:space="preserve">: quando o Estado vira destinatário da própria norma, o dever vira uma obrigação que ele administra em benefício próprio.</w:t>
      </w:r>
    </w:p>
    <w:p>
      <w:pPr>
        <w:pStyle w:val="BodyText"/>
      </w:pPr>
      <w:r>
        <w:t xml:space="preserve">Vinícius, volta pra ti.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O Estado faz a regra, mas é também o maior submetido a ela — regula dados e transparência, mas é quem mais coleta, opaciza e automatiza decisões contra o cidadão. É daí que vem a tese: do poder-dever ao dever-poder.</w:t>
      </w:r>
    </w:p>
    <w:bookmarkEnd w:id="9"/>
    <w:bookmarkStart w:id="10" w:name="X4f6e060664b54f1325ee314484814eda9f4661c"/>
    <w:p>
      <w:pPr>
        <w:pStyle w:val="Heading2"/>
      </w:pPr>
      <w:r>
        <w:t xml:space="preserve">Slide 09</w:t>
      </w:r>
      <w:r>
        <w:t xml:space="preserve">Salgado &amp; Saito · privacidade e ADI 6.387</w:t>
      </w:r>
    </w:p>
    <w:p>
      <w:pPr>
        <w:pStyle w:val="FirstParagraph"/>
      </w:pPr>
      <w:r>
        <w:t xml:space="preserve">O ponto que eu puxaria de Salgado e Saito: mesmo quando o Estado cria a LGPD, a</w:t>
      </w:r>
      <w:r>
        <w:t xml:space="preserve"> </w:t>
      </w:r>
      <w:r>
        <w:rPr>
          <w:b/>
          <w:bCs/>
        </w:rPr>
        <w:t xml:space="preserve">dimensão de defesa não desaparece</w:t>
      </w:r>
      <w:r>
        <w:t xml:space="preserve"> </w:t>
      </w:r>
      <w:r>
        <w:t xml:space="preserve">— porque o Estado continua sendo um dos maiores agentes de tratamento de dados do país.</w:t>
      </w:r>
    </w:p>
    <w:p>
      <w:pPr>
        <w:pStyle w:val="BodyText"/>
      </w:pPr>
      <w:r>
        <w:t xml:space="preserve">Os próprios autores lembram do caso</w:t>
      </w:r>
      <w:r>
        <w:t xml:space="preserve"> </w:t>
      </w:r>
      <w:r>
        <w:rPr>
          <w:b/>
          <w:bCs/>
        </w:rPr>
        <w:t xml:space="preserve">Snowden</w:t>
      </w:r>
      <w:r>
        <w:t xml:space="preserve">, de vigilância estatal em massa, e, no Brasil, da</w:t>
      </w:r>
      <w:r>
        <w:t xml:space="preserve"> </w:t>
      </w:r>
      <w:r>
        <w:rPr>
          <w:b/>
          <w:bCs/>
        </w:rPr>
        <w:t xml:space="preserve">MP 954 de 2020</w:t>
      </w:r>
      <w:r>
        <w:t xml:space="preserve">: o Executivo tentou compartilhar dados de telecomunicações de milhões de brasileiros sem finalidade suficientemente clara. O STF teve que conter isso na</w:t>
      </w:r>
      <w:r>
        <w:t xml:space="preserve"> </w:t>
      </w:r>
      <w:r>
        <w:rPr>
          <w:b/>
          <w:bCs/>
        </w:rPr>
        <w:t xml:space="preserve">ADI 6.387</w:t>
      </w:r>
      <w:r>
        <w:t xml:space="preserve">.</w:t>
      </w:r>
    </w:p>
    <w:p>
      <w:pPr>
        <w:pStyle w:val="BodyText"/>
      </w:pPr>
      <w:r>
        <w:t xml:space="preserve">Então a autotutela administrativa não bastou — foi preciso outro Poder segurar o regulador. O Estado que edita a regra de proteção é também aquele contra o qual o cidadão precisa ser protegido.</w:t>
      </w:r>
    </w:p>
    <w:p>
      <w:pPr>
        <w:pStyle w:val="BodyText"/>
      </w:pPr>
      <w:r>
        <w:t xml:space="preserve">Vinícius.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Mesmo com LGPD, a defesa não some, porque o Estado é um dos maiores tratadores de dados. A MP 954 mostrou isso, e o STF teve que conter na ADI 6.387. O Estado que regula é também aquele contra o qual o cidadão precisa ser defendido.</w:t>
      </w:r>
    </w:p>
    <w:bookmarkEnd w:id="10"/>
    <w:bookmarkStart w:id="11" w:name="X0fe1146cef93f40988374e13a5cbc27885e2026"/>
    <w:p>
      <w:pPr>
        <w:pStyle w:val="Heading2"/>
      </w:pPr>
      <w:r>
        <w:t xml:space="preserve">Slide 14</w:t>
      </w:r>
      <w:r>
        <w:t xml:space="preserve">Cristóvam &amp; Hahn · opacidade seletiva</w:t>
      </w:r>
    </w:p>
    <w:p>
      <w:pPr>
        <w:pStyle w:val="FirstParagraph"/>
      </w:pPr>
      <w:r>
        <w:t xml:space="preserve">O que eu acho mais importante neste segundo artigo é a</w:t>
      </w:r>
      <w:r>
        <w:t xml:space="preserve"> </w:t>
      </w:r>
      <w:r>
        <w:rPr>
          <w:b/>
          <w:bCs/>
        </w:rPr>
        <w:t xml:space="preserve">assimetria</w:t>
      </w:r>
      <w:r>
        <w:t xml:space="preserve">. Governo aberto aparece como um dever jurídico: transparência, participação, accountability, dados em formato aberto. Mas quem decide o que aparece, em que formato, e o que continua sigiloso, é o próprio Estado.</w:t>
      </w:r>
    </w:p>
    <w:p>
      <w:pPr>
        <w:pStyle w:val="BodyText"/>
      </w:pPr>
      <w:r>
        <w:t xml:space="preserve">A LAI obriga transparência, mas também permite classificar informações como reservadas, secretas e ultrassecretas. A mesma estrutura que promete abertura guarda as chaves da opacidade. Recife, São Paulo e Florianópolis mostram boas práticas, mas um portal pode ser transparente no fiscal e completamente</w:t>
      </w:r>
      <w:r>
        <w:t xml:space="preserve"> </w:t>
      </w:r>
      <w:r>
        <w:rPr>
          <w:b/>
          <w:bCs/>
        </w:rPr>
        <w:t xml:space="preserve">opaco na decisão algorítmica</w:t>
      </w:r>
      <w:r>
        <w:t xml:space="preserve">.</w:t>
      </w:r>
    </w:p>
    <w:p>
      <w:pPr>
        <w:pStyle w:val="BodyText"/>
      </w:pPr>
      <w:r>
        <w:t xml:space="preserve">Vinícius, fecha essa primeira parte.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Governo aberto é promessa de transparência, mas quem controla o que abre e o que fecha é o próprio Estado. A LAI obriga publicidade e também permite sigilo. Mesmo bons portais não dizem como um algoritmo decide.</w:t>
      </w:r>
    </w:p>
    <w:bookmarkEnd w:id="11"/>
    <w:bookmarkStart w:id="12" w:name="Xbfc24bca33ee1d953f9c2a64ad28a6a4261749a"/>
    <w:p>
      <w:pPr>
        <w:pStyle w:val="Heading2"/>
      </w:pPr>
      <w:r>
        <w:t xml:space="preserve">Slide 20</w:t>
      </w:r>
      <w:r>
        <w:t xml:space="preserve">Sarlet &amp; Molinaro · quem controla o controlador</w:t>
      </w:r>
    </w:p>
    <w:p>
      <w:pPr>
        <w:pStyle w:val="FirstParagraph"/>
      </w:pPr>
      <w:r>
        <w:t xml:space="preserve">Em Sarlet e Molinaro, o choque aparece na</w:t>
      </w:r>
      <w:r>
        <w:t xml:space="preserve"> </w:t>
      </w:r>
      <w:r>
        <w:rPr>
          <w:b/>
          <w:bCs/>
        </w:rPr>
        <w:t xml:space="preserve">escala</w:t>
      </w:r>
      <w:r>
        <w:t xml:space="preserve">. A LGPD trabalha com finalidade, minimização, consentimento, anonimização — e o big data pressiona todas essas categorias. Isso fica ainda mais delicado quando o grande coletor é o próprio Estado.</w:t>
      </w:r>
    </w:p>
    <w:p>
      <w:pPr>
        <w:pStyle w:val="BodyText"/>
      </w:pPr>
      <w:r>
        <w:t xml:space="preserve">O Estado não coleta pouco: saúde, educação, assistência, previdência, tributação, segurança. Tem uma visão quase total da vida administrativa do cidadão. Então a pergunta deixa de ser "há base legal para tratar esse dado?" e passa a ser:</w:t>
      </w:r>
      <w:r>
        <w:t xml:space="preserve"> </w:t>
      </w:r>
      <w:r>
        <w:rPr>
          <w:b/>
          <w:bCs/>
        </w:rPr>
        <w:t xml:space="preserve">quem controla o controlador?</w:t>
      </w:r>
      <w:r>
        <w:t xml:space="preserve"> </w:t>
      </w:r>
      <w:r>
        <w:t xml:space="preserve">Se o Estado concentra os dados, regula a proteção e é o maior usuário das bases, a minimização corre o risco de virar promessa retórica.</w:t>
      </w:r>
    </w:p>
    <w:p>
      <w:pPr>
        <w:pStyle w:val="BodyText"/>
      </w:pPr>
      <w:r>
        <w:t xml:space="preserve">Vinícius, vamos para o quarto artigo.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Sarlet e Molinaro mostram que o big data tensiona finalidade, minimização e anonimização. Isso é mais grave quando o grande coletor é o Estado. A pergunta passa a ser: quem controla o controlador?</w:t>
      </w:r>
    </w:p>
    <w:bookmarkEnd w:id="12"/>
    <w:bookmarkStart w:id="13" w:name="Xbc62b67db8872a23090689385b4184c163c92e7"/>
    <w:p>
      <w:pPr>
        <w:pStyle w:val="Heading2"/>
      </w:pPr>
      <w:r>
        <w:t xml:space="preserve">Slides 25–28</w:t>
      </w:r>
      <w:r>
        <w:t xml:space="preserve">INSS · contraditório · black box · SyRI</w:t>
      </w:r>
    </w:p>
    <w:p>
      <w:pPr>
        <w:pStyle w:val="FirstParagraph"/>
      </w:pPr>
      <w:r>
        <w:t xml:space="preserve">Esse é o artigo que encontra a realidade mais diretamente. Tavares e os coautores defendem que o</w:t>
      </w:r>
      <w:r>
        <w:t xml:space="preserve"> </w:t>
      </w:r>
      <w:r>
        <w:rPr>
          <w:b/>
          <w:bCs/>
        </w:rPr>
        <w:t xml:space="preserve">contraditório algorítmico precisa ser prévio</w:t>
      </w:r>
      <w:r>
        <w:t xml:space="preserve">: recurso depois pode até remediar parte do dano, mas não substitui a chance de participar antes da decisão.</w:t>
      </w:r>
    </w:p>
    <w:p>
      <w:pPr>
        <w:pStyle w:val="BodyText"/>
      </w:pPr>
      <w:r>
        <w:t xml:space="preserve">O caso-âncora é o</w:t>
      </w:r>
      <w:r>
        <w:t xml:space="preserve"> </w:t>
      </w:r>
      <w:r>
        <w:rPr>
          <w:b/>
          <w:bCs/>
        </w:rPr>
        <w:t xml:space="preserve">INSS</w:t>
      </w:r>
      <w:r>
        <w:t xml:space="preserve">. A trabalhadora rural pede aposentadoria por idade como segurada especial. O sistema cruza bases — CNIS, CadÚnico, dados fiscais, localização — e</w:t>
      </w:r>
      <w:r>
        <w:t xml:space="preserve"> </w:t>
      </w:r>
      <w:r>
        <w:rPr>
          <w:b/>
          <w:bCs/>
        </w:rPr>
        <w:t xml:space="preserve">infere</w:t>
      </w:r>
      <w:r>
        <w:t xml:space="preserve"> </w:t>
      </w:r>
      <w:r>
        <w:t xml:space="preserve">que ela não comprova atividade rural. Mas inferência não é prova. A negativa chega como fórmula: "não comprovada a qualidade de segurado especial", sem dizer quais dados pesaram, qual critério foi usado, qual contradição ela deveria corrigir.</w:t>
      </w:r>
    </w:p>
    <w:p>
      <w:pPr>
        <w:pStyle w:val="BodyText"/>
      </w:pPr>
      <w:r>
        <w:t xml:space="preserve">Isso viola a</w:t>
      </w:r>
      <w:r>
        <w:t xml:space="preserve"> </w:t>
      </w:r>
      <w:r>
        <w:rPr>
          <w:b/>
          <w:bCs/>
        </w:rPr>
        <w:t xml:space="preserve">IN 128/2022 do próprio INSS</w:t>
      </w:r>
      <w:r>
        <w:t xml:space="preserve">, que exige análise e contraditório. O órgão que edita a regra é o mesmo que automatiza a negativa: aqui o</w:t>
      </w:r>
      <w:r>
        <w:t xml:space="preserve"> </w:t>
      </w:r>
      <w:r>
        <w:rPr>
          <w:b/>
          <w:bCs/>
        </w:rPr>
        <w:t xml:space="preserve">Regulador vira Regulado — e falha</w:t>
      </w:r>
      <w:r>
        <w:t xml:space="preserve">. O que a segurada recebe é uma caixa-preta: dados entram, uma negativa sai. Sem rosto, sem porquê, sem pessoa.</w:t>
      </w:r>
    </w:p>
    <w:p>
      <w:pPr>
        <w:pStyle w:val="BodyText"/>
      </w:pPr>
      <w:r>
        <w:t xml:space="preserve">No plano internacional, o espelho é o</w:t>
      </w:r>
      <w:r>
        <w:t xml:space="preserve"> </w:t>
      </w:r>
      <w:r>
        <w:rPr>
          <w:b/>
          <w:bCs/>
        </w:rPr>
        <w:t xml:space="preserve">SyRI</w:t>
      </w:r>
      <w:r>
        <w:t xml:space="preserve">, na Holanda — sistema estatal de detecção de fraude em benefícios. O Tribunal de Haia o proibiu em 2020 por violar privacidade, finalidade, minimização e devido processo. Lá, um tribunal conteve a opacidade algorítmica do Estado; aqui, ainda estamos no estágio da denúncia.</w:t>
      </w:r>
    </w:p>
    <w:p>
      <w:pPr>
        <w:pStyle w:val="BodyText"/>
      </w:pPr>
      <w:r>
        <w:rPr>
          <w:b/>
          <w:bCs/>
        </w:rPr>
        <w:t xml:space="preserve">E não é hipótese de laboratório:</w:t>
      </w:r>
      <w:r>
        <w:t xml:space="preserve"> </w:t>
      </w:r>
      <w:r>
        <w:t xml:space="preserve">em 2025, o próprio INSS notificou pelo Meu INSS mais de</w:t>
      </w:r>
      <w:r>
        <w:t xml:space="preserve"> </w:t>
      </w:r>
      <w:r>
        <w:rPr>
          <w:b/>
          <w:bCs/>
        </w:rPr>
        <w:t xml:space="preserve">1,6 milhão de aposentados</w:t>
      </w:r>
      <w:r>
        <w:t xml:space="preserve"> </w:t>
      </w:r>
      <w:r>
        <w:t xml:space="preserve">sobre descontos que 97% nunca autorizaram —</w:t>
      </w:r>
      <w:r>
        <w:t xml:space="preserve"> </w:t>
      </w:r>
      <w:r>
        <w:rPr>
          <w:b/>
          <w:bCs/>
        </w:rPr>
        <w:t xml:space="preserve">R$ 6,3 bilhões</w:t>
      </w:r>
      <w:r>
        <w:t xml:space="preserve">. Não foi viés algorítmico, foi fraude de governança — mas é o mesmo app, o mesmo ator e a mesma lógica: o Estado lesa o segurado e devolve a ele,</w:t>
      </w:r>
      <w:r>
        <w:t xml:space="preserve"> </w:t>
      </w:r>
      <w:r>
        <w:rPr>
          <w:i/>
          <w:iCs/>
        </w:rPr>
        <w:t xml:space="preserve">depois</w:t>
      </w:r>
      <w:r>
        <w:t xml:space="preserve">, o ônus de contestar.</w:t>
      </w:r>
    </w:p>
    <w:p>
      <w:pPr>
        <w:pStyle w:val="BodyText"/>
      </w:pPr>
      <w:r>
        <w:t xml:space="preserve">E em vez de só falar disso, a gente vai mostrar. Mas antes, duas camadas que vêm antes do contraditório.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Contraditório tem que ser prévio. No INSS, a segurada rural recebe negativa automática sem saber quais dados pesaram. O órgão que edita a regra é o que automatiza a violação — a caixa-preta da nossa tese. SyRI: lá um tribunal conteve; aqui, ainda na denúncia.</w:t>
      </w:r>
    </w:p>
    <w:bookmarkEnd w:id="13"/>
    <w:bookmarkStart w:id="14" w:name="X62674813c90b67ab7e0fdeb08867afe3c245ad5"/>
    <w:p>
      <w:pPr>
        <w:pStyle w:val="Heading2"/>
      </w:pPr>
      <w:r>
        <w:t xml:space="preserve">Slide 30</w:t>
      </w:r>
      <w:r>
        <w:t xml:space="preserve">Propedêutica · literacia + notícia humana</w:t>
      </w:r>
    </w:p>
    <w:p>
      <w:pPr>
        <w:pStyle w:val="FirstParagraph"/>
      </w:pPr>
      <w:r>
        <w:t xml:space="preserve">Eu queria acrescentar dois degraus que vêm antes do contraditório. O primeiro é a</w:t>
      </w:r>
      <w:r>
        <w:t xml:space="preserve"> </w:t>
      </w:r>
      <w:r>
        <w:rPr>
          <w:b/>
          <w:bCs/>
        </w:rPr>
        <w:t xml:space="preserve">literacia algorítmica</w:t>
      </w:r>
      <w:r>
        <w:t xml:space="preserve">. A pessoa muitas vezes nem sabe que foi uma máquina que decidiu — não sabe o que é inferência, viés de proxy, modelo preditivo. Não se contesta o que não se compreende. Empoderar não é só abrir um canal de recurso: é</w:t>
      </w:r>
      <w:r>
        <w:t xml:space="preserve"> </w:t>
      </w:r>
      <w:r>
        <w:rPr>
          <w:b/>
          <w:bCs/>
        </w:rPr>
        <w:t xml:space="preserve">traduzir a decisão em linguagem que a pessoa entenda</w:t>
      </w:r>
      <w:r>
        <w:t xml:space="preserve">. Transparência não basta; o que falta é inteligibilidade.</w:t>
      </w:r>
    </w:p>
    <w:p>
      <w:pPr>
        <w:pStyle w:val="BodyText"/>
      </w:pPr>
      <w:r>
        <w:t xml:space="preserve">O segundo degrau é uma tese normativa que eu proponho: certas decisões podem até ser automatizadas, mas a</w:t>
      </w:r>
      <w:r>
        <w:t xml:space="preserve"> </w:t>
      </w:r>
      <w:r>
        <w:rPr>
          <w:b/>
          <w:bCs/>
        </w:rPr>
        <w:t xml:space="preserve">comunicação</w:t>
      </w:r>
      <w:r>
        <w:t xml:space="preserve"> </w:t>
      </w:r>
      <w:r>
        <w:t xml:space="preserve">de uma decisão adversa a alguém em situação de vulnerabilidade deveria ser feita por uma pessoa, não por uma máquina. A negativa de uma aposentadoria não deveria chegar como frase fria num aplicativo. A dignidade do administrado também está em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ele é avisado.</w:t>
      </w:r>
    </w:p>
    <w:p>
      <w:pPr>
        <w:pStyle w:val="BodyText"/>
      </w:pPr>
      <w:r>
        <w:t xml:space="preserve">Então o contraditório algorítmico tem dois pressupostos: primeiro, a pessoa precisa compreender; segundo, ela precisa ser tratada como pessoa.</w:t>
      </w:r>
    </w:p>
    <w:p>
      <w:pPr>
        <w:pStyle w:val="BodyText"/>
      </w:pPr>
      <w:r>
        <w:rPr>
          <w:b/>
          <w:bCs/>
        </w:rPr>
        <w:t xml:space="preserve">E isso está virando direito positivo:</w:t>
      </w:r>
      <w:r>
        <w:t xml:space="preserve"> </w:t>
      </w:r>
      <w:r>
        <w:t xml:space="preserve">o PL 2338, aprovado no Senado em dezembro de 2024 e em votação final na Câmara, garante a quem sofre uma decisão automatizada o direito à</w:t>
      </w:r>
      <w:r>
        <w:t xml:space="preserve"> </w:t>
      </w:r>
      <w:r>
        <w:rPr>
          <w:b/>
          <w:bCs/>
        </w:rPr>
        <w:t xml:space="preserve">explicação e à contestação</w:t>
      </w:r>
      <w:r>
        <w:t xml:space="preserve">. A nossa tese é, em boa parte, o que o legislador está prestes a positivar.</w:t>
      </w:r>
    </w:p>
    <w:p>
      <w:pPr>
        <w:pStyle w:val="BodyText"/>
      </w:pPr>
      <w:r>
        <w:t xml:space="preserve">E agora a gente mostra como isso poderia virar uma ferramenta.</w:t>
      </w:r>
    </w:p>
    <w:p>
      <w:pPr>
        <w:pStyle w:val="BodyText"/>
      </w:pPr>
      <w:r>
        <w:rPr>
          <w:b/>
          <w:bCs/>
        </w:rPr>
        <w:t xml:space="preserve">emergência</w:t>
      </w:r>
      <w:r>
        <w:t xml:space="preserve">Antes do contraditório, dois pressupostos. Literacia: não se contesta o que não se compreende. Notícia humana: uma decisão adversa contra pessoa vulnerável não deveria chegar como frase fria num app.</w:t>
      </w:r>
    </w:p>
    <w:bookmarkEnd w:id="14"/>
    <w:bookmarkStart w:id="15" w:name="Xfe71cb426e1d3c8d7b419ef738e2018ba21f850"/>
    <w:p>
      <w:pPr>
        <w:pStyle w:val="Heading2"/>
      </w:pPr>
      <w:r>
        <w:t xml:space="preserve">Slides 31–33</w:t>
      </w:r>
      <w:r>
        <w:t xml:space="preserve">Demo · Conselho de Contestação Algorítmica</w:t>
      </w:r>
    </w:p>
    <w:p>
      <w:pPr>
        <w:pStyle w:val="FirstParagraph"/>
      </w:pPr>
      <w:r>
        <w:t xml:space="preserve">Nós construímos um protótipo chamado</w:t>
      </w:r>
      <w:r>
        <w:t xml:space="preserve"> </w:t>
      </w:r>
      <w:r>
        <w:rPr>
          <w:b/>
          <w:bCs/>
        </w:rPr>
        <w:t xml:space="preserve">Conselho de Contestação Algorítmica</w:t>
      </w:r>
      <w:r>
        <w:t xml:space="preserve">. A ideia é simples: a trabalhadora rural que teve a aposentadoria negada automaticamente. Em vez de receber só uma negativa padronizada, o caso passa por</w:t>
      </w:r>
      <w:r>
        <w:t xml:space="preserve"> </w:t>
      </w:r>
      <w:r>
        <w:rPr>
          <w:b/>
          <w:bCs/>
        </w:rPr>
        <w:t xml:space="preserve">quatro perspectivas</w:t>
      </w:r>
      <w:r>
        <w:t xml:space="preserve">, cada uma traduzindo a tensão de um artigo.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Defensoria Pública</w:t>
      </w:r>
      <w:r>
        <w:t xml:space="preserve"> </w:t>
      </w:r>
      <w:r>
        <w:t xml:space="preserve">olha para contraditório prévio e ampla defesa. O</w:t>
      </w:r>
      <w:r>
        <w:t xml:space="preserve"> </w:t>
      </w:r>
      <w:r>
        <w:rPr>
          <w:b/>
          <w:bCs/>
        </w:rPr>
        <w:t xml:space="preserve">Cientista de Dados</w:t>
      </w:r>
      <w:r>
        <w:t xml:space="preserve"> </w:t>
      </w:r>
      <w:r>
        <w:t xml:space="preserve">olha para explicabilidade, viés de proxy e qualidade da inferência. O</w:t>
      </w:r>
      <w:r>
        <w:t xml:space="preserve"> </w:t>
      </w:r>
      <w:r>
        <w:rPr>
          <w:b/>
          <w:bCs/>
        </w:rPr>
        <w:t xml:space="preserve">Administrador Público</w:t>
      </w:r>
      <w:r>
        <w:t xml:space="preserve"> </w:t>
      </w:r>
      <w:r>
        <w:t xml:space="preserve">olha para governança, motivação e dever de justificar. E o</w:t>
      </w:r>
      <w:r>
        <w:t xml:space="preserve"> </w:t>
      </w:r>
      <w:r>
        <w:rPr>
          <w:b/>
          <w:bCs/>
        </w:rPr>
        <w:t xml:space="preserve">Cidadão</w:t>
      </w:r>
      <w:r>
        <w:t xml:space="preserve"> </w:t>
      </w:r>
      <w:r>
        <w:t xml:space="preserve">olha para exclusão digital, linguagem compreensível e notícia humana.</w:t>
      </w:r>
    </w:p>
    <w:p>
      <w:pPr>
        <w:pStyle w:val="BodyText"/>
      </w:pPr>
      <w:r>
        <w:t xml:space="preserve">O conselho funciona em três fases: na Fase 1, cada conselheiro dá um parecer independente; na Fase 2, eles avaliam os argumentos uns dos outros, tornando visível a tensão entre eficiência e direitos; na Fase 3, um relator sintetiza tudo. O sistema não decide pela pessoa — ele organiza razões, expõe conflitos e</w:t>
      </w:r>
      <w:r>
        <w:t xml:space="preserve"> </w:t>
      </w:r>
      <w:r>
        <w:rPr>
          <w:b/>
          <w:bCs/>
        </w:rPr>
        <w:t xml:space="preserve">devolve à pessoa o contraditório que o Estado suprimiu</w:t>
      </w:r>
      <w:r>
        <w:t xml:space="preserve">.</w:t>
      </w:r>
    </w:p>
    <w:p>
      <w:pPr>
        <w:pStyle w:val="BodyText"/>
      </w:pPr>
      <w:r>
        <w:t xml:space="preserve">Clicar: INSS — Aposentadoria Rural Negada → Fase 1 → Fase 2 → Fase 3. Se travar: versão offline (Conselho.html), mesmo fluxo.</w:t>
      </w:r>
    </w:p>
    <w:p>
      <w:pPr>
        <w:pStyle w:val="BodyText"/>
      </w:pPr>
      <w:r>
        <w:t xml:space="preserve">Este protótipo é conceitual — não é produto comercial nem promessa de solução mágica. É uma maquete acadêmica para mostrar o que falta quando a Administração decide por algoritmo: explicação, contestação, linguagem compreensível e cuidado humano.</w:t>
      </w:r>
    </w:p>
    <w:p>
      <w:pPr>
        <w:pStyle w:val="BodyText"/>
      </w:pPr>
      <w:r>
        <w:t xml:space="preserve">Vinícius, fecha contigo.</w:t>
      </w:r>
    </w:p>
    <w:bookmarkEnd w:id="15"/>
    <w:bookmarkStart w:id="16" w:name="slide-3334fecho"/>
    <w:p>
      <w:pPr>
        <w:pStyle w:val="Heading2"/>
      </w:pPr>
      <w:r>
        <w:t xml:space="preserve">Slide 33/34</w:t>
      </w:r>
      <w:r>
        <w:t xml:space="preserve">Fecho</w:t>
      </w:r>
    </w:p>
    <w:p>
      <w:pPr>
        <w:pStyle w:val="FirstParagraph"/>
      </w:pPr>
      <w:r>
        <w:t xml:space="preserve">O protótipo é a resposta prática à pergunta do início. A Administração 4.0 não fica democrática só por ser digital. Ela só é legítima quando a decisão pode ser</w:t>
      </w:r>
      <w:r>
        <w:t xml:space="preserve"> </w:t>
      </w:r>
      <w:r>
        <w:rPr>
          <w:b/>
          <w:bCs/>
        </w:rPr>
        <w:t xml:space="preserve">compreendida, explicada e contestada</w:t>
      </w:r>
      <w:r>
        <w:t xml:space="preserve"> </w:t>
      </w:r>
      <w:r>
        <w:t xml:space="preserve">— e isso vale com mais força justamente porque o Estado é, ao mesmo tempo, quem faz a regra e quem mais tende a relativizá-la. Se o Estado quer decidir por dados, ele precisa aceitar também ser controlado por direitos.</w:t>
      </w:r>
    </w:p>
    <w:p>
      <w:pPr>
        <w:pStyle w:val="BodyText"/>
      </w:pPr>
      <w:r>
        <w:t xml:space="preserve">A Administração 4.0 não é democrática por ser digital. Ela só é legítima quando a decisão pode ser</w:t>
      </w:r>
      <w:r>
        <w:t xml:space="preserve"> </w:t>
      </w:r>
      <w:r>
        <w:rPr>
          <w:b/>
          <w:bCs/>
        </w:rPr>
        <w:t xml:space="preserve">compreendida, explicada e contestada</w:t>
      </w:r>
      <w:r>
        <w:t xml:space="preserve">. Se o Estado quer decidir por dados, precisa aceitar ser controlado por direitos.</w:t>
      </w:r>
    </w:p>
    <w:bookmarkEnd w:id="16"/>
    <w:bookmarkStart w:id="25" w:name="debatecaixa-de-munição"/>
    <w:p>
      <w:pPr>
        <w:pStyle w:val="Heading2"/>
      </w:pPr>
      <w:r>
        <w:t xml:space="preserve">Debate</w:t>
      </w:r>
      <w:r>
        <w:t xml:space="preserve">Caixa de munição</w:t>
      </w:r>
    </w:p>
    <w:bookmarkStart w:id="17" w:name="robodebt-austrália"/>
    <w:p>
      <w:pPr>
        <w:pStyle w:val="Heading3"/>
      </w:pPr>
      <w:r>
        <w:t xml:space="preserve">Robodebt (Austrália)</w:t>
      </w:r>
    </w:p>
    <w:p>
      <w:pPr>
        <w:pStyle w:val="FirstParagraph"/>
      </w:pPr>
      <w:r>
        <w:t xml:space="preserve">Cobrança automatizada de dívidas sociais sem checagem humana. Cobranças indevidas em massa, dano social gravíssimo. Exemplo de eficiência algorítmica sem governança humana.</w:t>
      </w:r>
    </w:p>
    <w:bookmarkEnd w:id="17"/>
    <w:bookmarkStart w:id="18" w:name="tjma-ia-judicial"/>
    <w:p>
      <w:pPr>
        <w:pStyle w:val="Heading3"/>
      </w:pPr>
      <w:r>
        <w:t xml:space="preserve">TJ/MA — IA judicial</w:t>
      </w:r>
    </w:p>
    <w:p>
      <w:pPr>
        <w:pStyle w:val="FirstParagraph"/>
      </w:pPr>
      <w:r>
        <w:t xml:space="preserve">De 80 para 969 sentenças com IA, com precedentes inexistentes e fundamentação padronizada. Se a decisão é acelerada por IA, a fundamentação precisa ficar mais controlável, não menos. A autoridade usa tecnologia sem se submeter ao dever de motivar.</w:t>
      </w:r>
    </w:p>
    <w:bookmarkEnd w:id="18"/>
    <w:bookmarkStart w:id="19" w:name="syri-holanda-haia-2020"/>
    <w:p>
      <w:pPr>
        <w:pStyle w:val="Heading3"/>
      </w:pPr>
      <w:r>
        <w:t xml:space="preserve">SyRI (Holanda, Haia 2020)</w:t>
      </w:r>
    </w:p>
    <w:p>
      <w:pPr>
        <w:pStyle w:val="FirstParagraph"/>
      </w:pPr>
      <w:r>
        <w:t xml:space="preserve">O Estado cruzava bases para detectar fraude, concentrando impacto em bairros pobres e de imigrantes. O Tribunal de Haia proibiu. Exemplo de um Judiciário contendo a opacidade algorítmica do Executivo.</w:t>
      </w:r>
    </w:p>
    <w:bookmarkEnd w:id="19"/>
    <w:bookmarkStart w:id="20" w:name="eu-ai-act-europa"/>
    <w:p>
      <w:pPr>
        <w:pStyle w:val="Heading3"/>
      </w:pPr>
      <w:r>
        <w:t xml:space="preserve">EU AI Act (Europa)</w:t>
      </w:r>
    </w:p>
    <w:p>
      <w:pPr>
        <w:pStyle w:val="FirstParagraph"/>
      </w:pPr>
      <w:r>
        <w:t xml:space="preserve">Algoritmos que decidem elegibilidade a benefícios sociais são "alto risco" (Anexo III). O caso INSS, na taxonomia europeia, exigiria auditoria, explicabilidade e supervisão humana obrigatórias. Regras de alto risco vigentes a partir de agosto de 2026.</w:t>
      </w:r>
    </w:p>
    <w:bookmarkEnd w:id="20"/>
    <w:bookmarkStart w:id="21" w:name="descontos-do-inss-2025"/>
    <w:p>
      <w:pPr>
        <w:pStyle w:val="Heading3"/>
      </w:pPr>
      <w:r>
        <w:t xml:space="preserve">Descontos do INSS (2025)</w:t>
      </w:r>
    </w:p>
    <w:p>
      <w:pPr>
        <w:pStyle w:val="FirstParagraph"/>
      </w:pPr>
      <w:r>
        <w:t xml:space="preserve">Desde 2019, descontos associativos em benefícios — 97% não autorizados, R$ 6,3 bilhões, mais de 1,6 milhão de aposentados, CPMI no Congresso. Avisados pelo Meu INSS só depois. Mesmo ator, mesmo app: o Estado lesa e terceiriza ao cidadão o ônus de contestar.</w:t>
      </w:r>
    </w:p>
    <w:bookmarkEnd w:id="21"/>
    <w:bookmarkStart w:id="22" w:name="marco-legal-da-ia-pl-23382023"/>
    <w:p>
      <w:pPr>
        <w:pStyle w:val="Heading3"/>
      </w:pPr>
      <w:r>
        <w:t xml:space="preserve">Marco Legal da IA (PL 2338/2023)</w:t>
      </w:r>
    </w:p>
    <w:p>
      <w:pPr>
        <w:pStyle w:val="FirstParagraph"/>
      </w:pPr>
      <w:r>
        <w:t xml:space="preserve">Aprovado no Senado em dez/2024, em votação final na Câmara (aprovação esperada em 2026). Modelo europeu por risco; garante ao afetado direito à informação, explicação e contestação de decisões automatizadas. Apontado vício de iniciativa no trecho sobre competências da ANPD — até a lei da IA esbarra na tensão de quem regula quem.</w:t>
      </w:r>
    </w:p>
    <w:bookmarkEnd w:id="22"/>
    <w:bookmarkStart w:id="23" w:name="se-perguntarem-se-o-protótipo-é-solução"/>
    <w:p>
      <w:pPr>
        <w:pStyle w:val="Heading3"/>
      </w:pPr>
      <w:r>
        <w:t xml:space="preserve">Se perguntarem se o protótipo é "solução"</w:t>
      </w:r>
    </w:p>
    <w:p>
      <w:pPr>
        <w:pStyle w:val="FirstParagraph"/>
      </w:pPr>
      <w:r>
        <w:t xml:space="preserve">Não. É uma maquete crítica. Não resolve a política pública — torna visível a lacuna: hoje a pessoa recebe uma decisão automatizada sem compreender, participar ou contestar tecnicamente.</w:t>
      </w:r>
    </w:p>
    <w:bookmarkEnd w:id="23"/>
    <w:bookmarkStart w:id="24" w:name="Xe0eaf6513dc5b842f5b60587bdc3dcff24f2652"/>
    <w:p>
      <w:pPr>
        <w:pStyle w:val="Heading3"/>
      </w:pPr>
      <w:r>
        <w:t xml:space="preserve">Se perguntarem se isso não deixaria a Administração lenta</w:t>
      </w:r>
    </w:p>
    <w:p>
      <w:pPr>
        <w:pStyle w:val="FirstParagraph"/>
      </w:pPr>
      <w:r>
        <w:t xml:space="preserve">A pergunta não é velocidade contra direitos, é qual velocidade é constitucionalmente aceitável. Decidir rápido uma negativa ilegítima não é eficiência — é dano administrativamente acelerado.</w:t>
      </w:r>
    </w:p>
    <w:bookmarkEnd w:id="24"/>
    <w:bookmarkEnd w:id="25"/>
    <w:bookmarkStart w:id="26" w:name="X0c4e5fcbadea03043bf55361875b65f67943d72"/>
    <w:p>
      <w:pPr>
        <w:pStyle w:val="Heading2"/>
      </w:pPr>
      <w:r>
        <w:t xml:space="preserve">Referência</w:t>
      </w:r>
      <w:r>
        <w:t xml:space="preserve">As quatro leituras (veículo correto)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Revista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Salgado &amp; Saito — privacidade multifuncional</w:t>
            </w:r>
          </w:p>
        </w:tc>
        <w:tc>
          <w:tcPr/>
          <w:p>
            <w:pPr>
              <w:pStyle w:val="Compact"/>
            </w:pPr>
            <w:r>
              <w:t xml:space="preserve">International Journal of Digital Law (IJDL), v.1 n.3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Cristóvam &amp; Hahn — governo aberto / INDA</w:t>
            </w:r>
          </w:p>
        </w:tc>
        <w:tc>
          <w:tcPr/>
          <w:p>
            <w:pPr>
              <w:pStyle w:val="Compact"/>
            </w:pPr>
            <w:r>
              <w:t xml:space="preserve">Rev. de Direito Administrativo e Gestão Pública (RDAGP), v.6 n.1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Sarlet &amp; Molinaro — big data na saúde</w:t>
            </w:r>
          </w:p>
        </w:tc>
        <w:tc>
          <w:tcPr/>
          <w:p>
            <w:pPr>
              <w:pStyle w:val="Compact"/>
            </w:pPr>
            <w:r>
              <w:t xml:space="preserve">Rev. Bras. de Direitos Fundamentais &amp; Justiça, ano 13 n.41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Tavares, Bitencourt &amp; Cristóvam — explicabilidade e contraditório</w:t>
            </w:r>
          </w:p>
        </w:tc>
        <w:tc>
          <w:tcPr/>
          <w:p>
            <w:pPr>
              <w:pStyle w:val="Compact"/>
            </w:pPr>
            <w:r>
              <w:t xml:space="preserve">Diké – Revista Jurídica (UESC), v.23 n.27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bookmarkEnd w:id="26"/>
    <w:bookmarkStart w:id="27" w:name="antes-de-falar30-segundos"/>
    <w:p>
      <w:pPr>
        <w:pStyle w:val="Heading2"/>
      </w:pPr>
      <w:r>
        <w:t xml:space="preserve">Antes de falar</w:t>
      </w:r>
      <w:r>
        <w:t xml:space="preserve">30 segundos</w:t>
      </w:r>
    </w:p>
    <w:p>
      <w:pPr>
        <w:pStyle w:val="FirstParagraph"/>
      </w:pPr>
      <w:r>
        <w:t xml:space="preserve">1. Não correr.   2. Eu não preciso explicar tudo.   3. Minha função é mostrar a tensão.   4. Frase central: quem faz a regra é também quem mais precisa ser controlado por ela.   5. Se travar: "o Estado regulador vira regulado — e falha contra o cidadão."</w:t>
      </w:r>
    </w:p>
    <w:p>
      <w:pPr>
        <w:pStyle w:val="BodyText"/>
      </w:pPr>
      <w:r>
        <w:rPr>
          <w:b/>
          <w:bCs/>
        </w:rPr>
        <w:t xml:space="preserve">Linha única:</w:t>
      </w:r>
      <w:r>
        <w:t xml:space="preserve"> </w:t>
      </w:r>
      <w:r>
        <w:t xml:space="preserve">o Estado digital só é legítimo se a pessoa entende, contesta e é tratada como pessoa.</w:t>
      </w:r>
    </w:p>
    <w:bookmarkEnd w:id="27"/>
    <w:p>
      <w:pPr>
        <w:pStyle w:val="BodyText"/>
      </w:pPr>
      <w:r>
        <w:t xml:space="preserve">Seminário 8 · PPGD/UFSC · roteiro pessoal da Ana — para falar, não ler · gerado em 25/05/2026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Minha Fala — Seminário 8</dc:title>
  <dc:creator/>
  <dc:language>pt-BR</dc:language>
  <cp:keywords/>
  <dcterms:created xsi:type="dcterms:W3CDTF">2026-05-25T21:36:18Z</dcterms:created>
  <dcterms:modified xsi:type="dcterms:W3CDTF">2026-05-25T21:36:18Z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