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Completo — Seminário 8</w:t>
      </w:r>
    </w:p>
    <w:bookmarkStart w:id="36" w:name="Xf7d8f83cde969e6d95727b0478a7753488b10fd"/>
    <w:p>
      <w:pPr>
        <w:pStyle w:val="Heading1"/>
      </w:pPr>
      <w:r>
        <w:t xml:space="preserve">SCRIPT COMPLETO — Seminário 8 · 25 de maio de 2026</w:t>
      </w:r>
    </w:p>
    <w:p>
      <w:pPr>
        <w:pStyle w:val="FirstParagraph"/>
      </w:pPr>
      <w:r>
        <w:rPr>
          <w:b/>
          <w:bCs/>
        </w:rPr>
        <w:t xml:space="preserve">Administração Pública orientada por dados · Governo aberto · LGPD · processo digital · decisão algorítmica</w:t>
      </w:r>
    </w:p>
    <w:p>
      <w:pPr>
        <w:pStyle w:val="BodyText"/>
      </w:pPr>
      <w:r>
        <w:t xml:space="preserve">Ana Vitória Vanzin &amp; Vinícius Oliveira · PPGD/UFSC · Prof. Cristóvam</w:t>
      </w:r>
    </w:p>
    <w:p>
      <w:r>
        <w:pict>
          <v:rect style="width:0;height:1.5pt" o:hralign="center" o:hrstd="t" o:hr="t"/>
        </w:pict>
      </w:r>
    </w:p>
    <w:bookmarkStart w:id="9" w:name="como-usar-este-script"/>
    <w:p>
      <w:pPr>
        <w:pStyle w:val="Heading2"/>
      </w:pPr>
      <w:r>
        <w:t xml:space="preserve">COMO USAR ESTE SCRIPT</w:t>
      </w:r>
    </w:p>
    <w:p>
      <w:pPr>
        <w:pStyle w:val="FirstParagraph"/>
      </w:pPr>
      <w:r>
        <w:t xml:space="preserve">As falas são intercaladas. O Vinícius entrega a</w:t>
      </w:r>
      <w:r>
        <w:t xml:space="preserve"> </w:t>
      </w:r>
      <w:r>
        <w:rPr>
          <w:b/>
          <w:bCs/>
        </w:rPr>
        <w:t xml:space="preserve">dogmática</w:t>
      </w:r>
      <w:r>
        <w:t xml:space="preserve"> </w:t>
      </w:r>
      <w:r>
        <w:t xml:space="preserve">(conceito, artigo, doutrina); a Ana entrega a</w:t>
      </w:r>
      <w:r>
        <w:t xml:space="preserve"> </w:t>
      </w:r>
      <w:r>
        <w:rPr>
          <w:b/>
          <w:bCs/>
        </w:rPr>
        <w:t xml:space="preserve">tensão</w:t>
      </w:r>
      <w:r>
        <w:t xml:space="preserve"> </w:t>
      </w:r>
      <w:r>
        <w:t xml:space="preserve">(o Estado contra si mesmo, o caso brasileiro, a tese Regulador ⇄ Regulado). Cada bloco fecha com a Ana passando a palavra de volta.</w:t>
      </w:r>
    </w:p>
    <w:p>
      <w:pPr>
        <w:pStyle w:val="BodyText"/>
      </w:pPr>
      <w:r>
        <w:rPr>
          <w:b/>
          <w:bCs/>
        </w:rPr>
        <w:t xml:space="preserve">Duração total estimada:</w:t>
      </w:r>
      <w:r>
        <w:t xml:space="preserve"> </w:t>
      </w:r>
      <w:r>
        <w:t xml:space="preserve">~40 minutos de exposição + ~10 minutos de debate.</w:t>
      </w:r>
    </w:p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o Vinícius dá o</w:t>
      </w:r>
      <w:r>
        <w:t xml:space="preserve"> </w:t>
      </w:r>
      <w:r>
        <w:rPr>
          <w:b/>
          <w:bCs/>
        </w:rPr>
        <w:t xml:space="preserve">conceito</w:t>
      </w:r>
      <w:r>
        <w:t xml:space="preserve">; a Ana dá a</w:t>
      </w:r>
      <w:r>
        <w:t xml:space="preserve"> </w:t>
      </w:r>
      <w:r>
        <w:rPr>
          <w:b/>
          <w:bCs/>
        </w:rPr>
        <w:t xml:space="preserve">tensão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caso</w:t>
      </w:r>
      <w:r>
        <w:t xml:space="preserve">. Ninguém lê — todo mundo fala.</w:t>
      </w:r>
    </w:p>
    <w:p>
      <w:r>
        <w:pict>
          <v:rect style="width:0;height:1.5pt" o:hralign="center" o:hrstd="t" o:hr="t"/>
        </w:pict>
      </w:r>
    </w:p>
    <w:bookmarkEnd w:id="9"/>
    <w:bookmarkStart w:id="10" w:name="ato-0-antes-de-começar-checklist-técnico"/>
    <w:p>
      <w:pPr>
        <w:pStyle w:val="Heading2"/>
      </w:pPr>
      <w:r>
        <w:t xml:space="preserve">ATO 0 — ANTES DE COMEÇAR (checklist técnico)</w:t>
      </w:r>
    </w:p>
    <w:p>
      <w:pPr>
        <w:pStyle w:val="Compact"/>
        <w:numPr>
          <w:ilvl w:val="0"/>
          <w:numId w:val="1001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Seminario8.html</w:t>
      </w:r>
      <w:r>
        <w:t xml:space="preserve"> </w:t>
      </w:r>
      <w:r>
        <w:t xml:space="preserve">no navegador. Testar ← →. Checar se fontes carregaram.</w:t>
      </w:r>
    </w:p>
    <w:p>
      <w:pPr>
        <w:pStyle w:val="Compact"/>
        <w:numPr>
          <w:ilvl w:val="0"/>
          <w:numId w:val="1002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Conselho.html</w:t>
      </w:r>
      <w:r>
        <w:t xml:space="preserve"> </w:t>
      </w:r>
      <w:r>
        <w:t xml:space="preserve">em OUTRA aba (rede de segurança — Plano B).</w:t>
      </w:r>
    </w:p>
    <w:p>
      <w:pPr>
        <w:pStyle w:val="Compact"/>
        <w:numPr>
          <w:ilvl w:val="0"/>
          <w:numId w:val="1003"/>
        </w:numPr>
      </w:pPr>
      <w:r>
        <w:t xml:space="preserve">Se for usar Plano A (demo ao vivo):</w:t>
      </w:r>
      <w:r>
        <w:t xml:space="preserve"> </w:t>
      </w:r>
      <w:r>
        <w:rPr>
          <w:rStyle w:val="VerbatimChar"/>
        </w:rPr>
        <w:t xml:space="preserve">cd algoritmo-em-disputa &amp;&amp; ./start.sh</w:t>
      </w:r>
      <w:r>
        <w:t xml:space="preserve">, abrir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, clicar</w:t>
      </w:r>
      <w:r>
        <w:t xml:space="preserve"> </w:t>
      </w:r>
      <w:r>
        <w:t xml:space="preserve">“Carregar caso INSS (demo)”</w:t>
      </w:r>
      <w:r>
        <w:t xml:space="preserve"> </w:t>
      </w:r>
      <w:r>
        <w:t xml:space="preserve">para pré-aquecer.</w:t>
      </w:r>
    </w:p>
    <w:p>
      <w:pPr>
        <w:pStyle w:val="Compact"/>
        <w:numPr>
          <w:ilvl w:val="0"/>
          <w:numId w:val="1004"/>
        </w:numPr>
      </w:pPr>
      <w:r>
        <w:t xml:space="preserve">Decidir: Plano A ou B? (A é mais impactante, B é à prova de falha.)</w:t>
      </w:r>
    </w:p>
    <w:p>
      <w:pPr>
        <w:pStyle w:val="Compact"/>
        <w:numPr>
          <w:ilvl w:val="0"/>
          <w:numId w:val="1005"/>
        </w:numPr>
      </w:pPr>
      <w:r>
        <w:t xml:space="preserve">Celular no silencioso. Garrafa d’água. Relógio visível.</w:t>
      </w:r>
    </w:p>
    <w:p>
      <w:r>
        <w:pict>
          <v:rect style="width:0;height:1.5pt" o:hralign="center" o:hrstd="t" o:hr="t"/>
        </w:pict>
      </w:r>
    </w:p>
    <w:bookmarkEnd w:id="10"/>
    <w:bookmarkStart w:id="14" w:name="ato-1-abertura-2-min"/>
    <w:p>
      <w:pPr>
        <w:pStyle w:val="Heading2"/>
      </w:pPr>
      <w:r>
        <w:t xml:space="preserve">ATO 1 — ABERTURA (~2 min)</w:t>
      </w:r>
    </w:p>
    <w:bookmarkStart w:id="11" w:name="slide-01-capa"/>
    <w:p>
      <w:pPr>
        <w:pStyle w:val="Heading3"/>
      </w:pPr>
      <w:r>
        <w:t xml:space="preserve">SLIDE 01 · Capa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“Bom dia, boa tarde a todos. Obrigado, professor Cristóvam, pela disciplina e pelo espaço. Hoje a Ana e eu vamos apresentar quatro artigos sobre Administração Pública orientada por dados, governo aberto, LGPD e decisão algorítmica, mas não como quatro leituras separadas. A gente vai ler os quatro como um único arco dramático.”</w:t>
      </w:r>
    </w:p>
    <w:p>
      <w:pPr>
        <w:pStyle w:val="BodyText"/>
      </w:pPr>
      <w:r>
        <w:t xml:space="preserve">“Os artigos são: Salgado e Saito, sobre privacidade e multifuncionalidade; Cristóvam e Hahn, sobre governo aberto e INDA; Sarlet e Molinaro, sobre big data e proteção de dados na saúde; e Tavares, Bitencourt e Cristóvam, sobre explicabilidade e contraditório algorítmico.”</w:t>
      </w:r>
    </w:p>
    <w:p>
      <w:pPr>
        <w:pStyle w:val="BodyText"/>
      </w:pPr>
      <w:r>
        <w:t xml:space="preserve">“Eu vou expor a dogmática de cada um. A Ana entra depois com uma leitura crítica que costura os quatro — e que é a nossa contribuição autoral.”</w:t>
      </w:r>
    </w:p>
    <w:bookmarkEnd w:id="11"/>
    <w:bookmarkStart w:id="12" w:name="slide-02-pergunta-orientadora"/>
    <w:p>
      <w:pPr>
        <w:pStyle w:val="Heading3"/>
      </w:pPr>
      <w:r>
        <w:t xml:space="preserve">SLIDE 02 · Pergunta orientadora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“Mas antes de abrir os artigos, a gente precisa de uma pergunta que organize tudo. A pergunta é esta:</w:t>
      </w:r>
      <w:r>
        <w:t xml:space="preserve"> </w:t>
      </w:r>
      <w:r>
        <w:rPr>
          <w:b/>
          <w:bCs/>
        </w:rPr>
        <w:t xml:space="preserve">quando a Administração Pública se torna digital, ela se torna automaticamente mais democrática?</w:t>
      </w:r>
      <w:r>
        <w:t xml:space="preserve">”</w:t>
      </w:r>
    </w:p>
    <w:p>
      <w:pPr>
        <w:pStyle w:val="BodyText"/>
      </w:pPr>
      <w:r>
        <w:t xml:space="preserve">“A resposta curta é não. A digitalização pode ampliar acesso, eficiência e transparência — mas também pode criar novas formas de opacidade administrativa, deslocar decisões públicas para sistemas que ninguém entende, e produzir uma cidadania digital de duas velocidades. A tecnologia não é neutra. E o Direito Administrativo existe exatamente para isso: para domesticar o poder, inclusive o poder algorítmico.”</w:t>
      </w:r>
    </w:p>
    <w:bookmarkEnd w:id="12"/>
    <w:bookmarkStart w:id="13" w:name="slide-03-chave-de-leitura-janus"/>
    <w:p>
      <w:pPr>
        <w:pStyle w:val="Heading3"/>
      </w:pPr>
      <w:r>
        <w:t xml:space="preserve">SLIDE 03 · Chave de leitura (Janus)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“O Vinícius deu o mapa. Deixa eu dar a chave que vai abrir todas as portas.”</w:t>
      </w:r>
    </w:p>
    <w:p>
      <w:pPr>
        <w:pStyle w:val="BodyText"/>
      </w:pPr>
      <w:r>
        <w:t xml:space="preserve">“O Poder Público aparece nestes quatro artigos em</w:t>
      </w:r>
      <w:r>
        <w:t xml:space="preserve"> </w:t>
      </w:r>
      <w:r>
        <w:rPr>
          <w:b/>
          <w:bCs/>
        </w:rPr>
        <w:t xml:space="preserve">duas posições ao mesmo tempo</w:t>
      </w:r>
      <w:r>
        <w:t xml:space="preserve">. Ele é o</w:t>
      </w:r>
      <w:r>
        <w:t xml:space="preserve"> </w:t>
      </w:r>
      <w:r>
        <w:rPr>
          <w:b/>
          <w:bCs/>
        </w:rPr>
        <w:t xml:space="preserve">Regulador</w:t>
      </w:r>
      <w:r>
        <w:t xml:space="preserve"> </w:t>
      </w:r>
      <w:r>
        <w:t xml:space="preserve">— edita a LAI, a LGPD, cria a ANPD, publica resoluções do CNJ, edita instruções normativas como a IN 128 do INSS. E ele é também o</w:t>
      </w:r>
      <w:r>
        <w:t xml:space="preserve"> </w:t>
      </w:r>
      <w:r>
        <w:rPr>
          <w:b/>
          <w:bCs/>
        </w:rPr>
        <w:t xml:space="preserve">Regulado</w:t>
      </w:r>
      <w:r>
        <w:t xml:space="preserve"> </w:t>
      </w:r>
      <w:r>
        <w:t xml:space="preserve">— é o maior controlador de dados pessoais do país, é o maior usuário de algoritmos que decidem sobre direitos, é o maior contratante de plataformas de inteligência artificial.”</w:t>
      </w:r>
    </w:p>
    <w:p>
      <w:pPr>
        <w:pStyle w:val="BodyText"/>
      </w:pPr>
      <w:r>
        <w:t xml:space="preserve">“A pergunta que a gente vai perseguir nos próximos 40 minutos é:</w:t>
      </w:r>
      <w:r>
        <w:t xml:space="preserve"> </w:t>
      </w:r>
      <w:r>
        <w:rPr>
          <w:b/>
          <w:bCs/>
        </w:rPr>
        <w:t xml:space="preserve">o que acontece quando o mesmo aparato que faz a regra é o que mais tem incentivo para descumpri-la contra o cidadão?</w:t>
      </w:r>
      <w:r>
        <w:t xml:space="preserve">”</w:t>
      </w:r>
    </w:p>
    <w:p>
      <w:pPr>
        <w:pStyle w:val="BodyText"/>
      </w:pPr>
      <w:r>
        <w:t xml:space="preserve">“A gente chama esse movimento de</w:t>
      </w:r>
      <w:r>
        <w:t xml:space="preserve"> </w:t>
      </w:r>
      <w:r>
        <w:rPr>
          <w:b/>
          <w:bCs/>
        </w:rPr>
        <w:t xml:space="preserve">‘do poder-dever ao dever-poder’</w:t>
      </w:r>
      <w:r>
        <w:t xml:space="preserve">. O Estado tem o</w:t>
      </w:r>
      <w:r>
        <w:t xml:space="preserve"> </w:t>
      </w:r>
      <w:r>
        <w:rPr>
          <w:i/>
          <w:iCs/>
        </w:rPr>
        <w:t xml:space="preserve">poder-dever</w:t>
      </w:r>
      <w:r>
        <w:t xml:space="preserve"> </w:t>
      </w:r>
      <w:r>
        <w:t xml:space="preserve">de regular — mas quando ele é o principal destinatário da norma que ele mesmo editou, esse poder se inverte. O dever de cumprir a regra que ele criou vira um</w:t>
      </w:r>
      <w:r>
        <w:t xml:space="preserve"> </w:t>
      </w:r>
      <w:r>
        <w:rPr>
          <w:i/>
          <w:iCs/>
        </w:rPr>
        <w:t xml:space="preserve">dever-poder</w:t>
      </w:r>
      <w:r>
        <w:t xml:space="preserve">: uma obrigação que o próprio Estado é o primeiro a relativizar. É isso que costura os quatro artigos.”</w:t>
      </w:r>
    </w:p>
    <w:p>
      <w:pPr>
        <w:pStyle w:val="BodyText"/>
      </w:pPr>
      <w:r>
        <w:t xml:space="preserve">“Vinícius, volta pra ti.”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ato-2-parte-i-promessa-10-min"/>
    <w:p>
      <w:pPr>
        <w:pStyle w:val="Heading2"/>
      </w:pPr>
      <w:r>
        <w:t xml:space="preserve">ATO 2 — PARTE I: PROMESSA (~10 min)</w:t>
      </w:r>
    </w:p>
    <w:bookmarkStart w:id="15" w:name="slide-04-divisor-parte-i"/>
    <w:p>
      <w:pPr>
        <w:pStyle w:val="Heading3"/>
      </w:pPr>
      <w:r>
        <w:t xml:space="preserve">SLIDE 04 · Divisor Parte I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“Vamos aos dois primeiros artigos. Eles formam o que a gente chama de</w:t>
      </w:r>
      <w:r>
        <w:t xml:space="preserve"> </w:t>
      </w:r>
      <w:r>
        <w:rPr>
          <w:b/>
          <w:bCs/>
        </w:rPr>
        <w:t xml:space="preserve">promessa</w:t>
      </w:r>
      <w:r>
        <w:t xml:space="preserve"> </w:t>
      </w:r>
      <w:r>
        <w:t xml:space="preserve">da Administração Pública digital: a ideia de que dados, transparência e proteção podem produzir um Estado mais eficiente e mais democrático.”</w:t>
      </w:r>
    </w:p>
    <w:bookmarkEnd w:id="15"/>
    <w:bookmarkStart w:id="16" w:name="X8e1fc5c659d44cbf6764fee5400c405122ccaf4"/>
    <w:p>
      <w:pPr>
        <w:pStyle w:val="Heading3"/>
      </w:pPr>
      <w:r>
        <w:t xml:space="preserve">SLIDES 05–08 · Salgado &amp; Saito — Privacidade e multifuncionalidade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“Salgado e Saito partem de uma premissa que parece simples mas não é:</w:t>
      </w:r>
      <w:r>
        <w:t xml:space="preserve"> </w:t>
      </w:r>
      <w:r>
        <w:rPr>
          <w:b/>
          <w:bCs/>
        </w:rPr>
        <w:t xml:space="preserve">a privacidade não é uma coisa só</w:t>
      </w:r>
      <w:r>
        <w:t xml:space="preserve">. Eles propõem uma leitura multifuncional do direito à privacidade — três dimensões que operam ao mesmo tempo.”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Primeira: dimensão de defesa.</w:t>
      </w:r>
      <w:r>
        <w:t xml:space="preserve"> </w:t>
      </w:r>
      <w:r>
        <w:t xml:space="preserve">O direito de ser deixado em paz. O Estado não pode invadir a esfera privada sem justificativa constitucional. Essa é a leitura clássica, consolidada desde o célebre artigo de Warren e Brandeis em 1890, e reforçada no Brasil com a ADI 6.387 — que declarou inconstitucional a MP 954, aquela que obrigava as teles a compartilharem dados de usuários com o IBGE durante a pandemia.”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Segunda: prestação normativa.</w:t>
      </w:r>
      <w:r>
        <w:t xml:space="preserve"> </w:t>
      </w:r>
      <w:r>
        <w:t xml:space="preserve">O Estado não pode só se abster de violar — ele tem que criar o aparato institucional que protege. É a LGPD. É a ANPD. São as normas que estruturam a proteção de dados como política pública. A Constituição, no art. 5º, LXXIX, introduzido pela EC 115/2022, tornou a proteção de dados pessoais direito fundamental expresso.”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Terceira: prestação fática.</w:t>
      </w:r>
      <w:r>
        <w:t xml:space="preserve"> </w:t>
      </w:r>
      <w:r>
        <w:t xml:space="preserve">Não basta ter lei. O Estado tem que entregar: fiscalizar, sancionar, educar, orientar. A ANPD não pode ser um conselho de enfeite — e aqui entra o problema crônico brasileiro de criar autarquias sem dar dentes, pessoal e orçamento.”</w:t>
      </w:r>
    </w:p>
    <w:p>
      <w:pPr>
        <w:pStyle w:val="BodyText"/>
      </w:pPr>
      <w:r>
        <w:t xml:space="preserve">“Os autores traçam também uma linha histórica: das</w:t>
      </w:r>
      <w:r>
        <w:t xml:space="preserve"> </w:t>
      </w:r>
      <w:r>
        <w:rPr>
          <w:i/>
          <w:iCs/>
        </w:rPr>
        <w:t xml:space="preserve">gerações</w:t>
      </w:r>
      <w:r>
        <w:t xml:space="preserve"> </w:t>
      </w:r>
      <w:r>
        <w:t xml:space="preserve">legislativas da privacidade. Primeira geração, anos 1970 — leis setoriais, tipo crédito e saúde. Segunda, anos 1980 e 1990 — leis gerais nacionais, como o Data Protection Act inglês. Terceira, 1990 a 2010 — diretivas comunitárias, como a 95/46 da União Europeia. Quarta geração, 2016 em diante — o RGPD europeu e a LGPD brasileira. A cada geração, o direito se expande e a regulação se sofistica.”</w:t>
      </w:r>
    </w:p>
    <w:p>
      <w:pPr>
        <w:pStyle w:val="BodyText"/>
      </w:pPr>
      <w:r>
        <w:t xml:space="preserve">“Agora a Ana entra com a leitura crítica. Ana?”</w:t>
      </w:r>
    </w:p>
    <w:bookmarkEnd w:id="16"/>
    <w:bookmarkStart w:id="17" w:name="slide-09-nossa-leitura-i"/>
    <w:p>
      <w:pPr>
        <w:pStyle w:val="Heading3"/>
      </w:pPr>
      <w:r>
        <w:t xml:space="preserve">SLIDE 09 · ★ Nossa leitura I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“Obrigada. Salgado e Saito fazem uma ressalva que é o coração da nossa tese. Eles dizem assim: mesmo com todo esse aparato — LGPD, ANPD, gerações legislativas —</w:t>
      </w:r>
      <w:r>
        <w:t xml:space="preserve"> </w:t>
      </w:r>
      <w:r>
        <w:rPr>
          <w:b/>
          <w:bCs/>
        </w:rPr>
        <w:t xml:space="preserve">a dimensão de defesa não desaparece</w:t>
      </w:r>
      <w:r>
        <w:t xml:space="preserve">. Por quê? Porque o Estado continua sendo, nas palavras deles,</w:t>
      </w:r>
      <w:r>
        <w:t xml:space="preserve"> </w:t>
      </w:r>
      <w:r>
        <w:t xml:space="preserve">‘um poderoso agente de tratamento de dados’</w:t>
      </w:r>
      <w:r>
        <w:t xml:space="preserve">.”</w:t>
      </w:r>
    </w:p>
    <w:p>
      <w:pPr>
        <w:pStyle w:val="BodyText"/>
      </w:pPr>
      <w:r>
        <w:t xml:space="preserve">“Eles lembram do caso Snowden — uma agência de Estado coletando dados em massa, sem consentimento e sem finalidade. Eles lembram da MP 954 de 2020 — o próprio Executivo quis compartilhar dados de telecomunicação de 200 milhões de brasileiros sem finalidade clara. Resultado: o STF teve que conter o governo na ADI 6.387. A</w:t>
      </w:r>
      <w:r>
        <w:t xml:space="preserve"> </w:t>
      </w:r>
      <w:r>
        <w:rPr>
          <w:b/>
          <w:bCs/>
        </w:rPr>
        <w:t xml:space="preserve">autotutela administrativa não bastou</w:t>
      </w:r>
      <w:r>
        <w:t xml:space="preserve">. Foi preciso outro Poder — o Judiciário — para segurar o regulador.”</w:t>
      </w:r>
    </w:p>
    <w:p>
      <w:pPr>
        <w:pStyle w:val="BodyText"/>
      </w:pPr>
      <w:r>
        <w:t xml:space="preserve">“Isso é o Regulador ⇄ Regulado em estado puro. O mesmo Estado que edita a LGPD é aquele cujo braço executivo tenta furar a LGPD. A autotutela — que é um dos atributos clássicos do ato administrativo — falhou. E se falhou nesse caso, falha em quantos outros que não chegam ao STF?”</w:t>
      </w:r>
    </w:p>
    <w:p>
      <w:pPr>
        <w:pStyle w:val="BodyText"/>
      </w:pPr>
      <w:r>
        <w:t xml:space="preserve">“Essa é a voz da persona</w:t>
      </w:r>
      <w:r>
        <w:t xml:space="preserve"> </w:t>
      </w:r>
      <w:r>
        <w:rPr>
          <w:b/>
          <w:bCs/>
        </w:rPr>
        <w:t xml:space="preserve">Cidadão</w:t>
      </w:r>
      <w:r>
        <w:t xml:space="preserve"> </w:t>
      </w:r>
      <w:r>
        <w:t xml:space="preserve">no nosso protótipo: o sujeito que a norma foi feita para proteger, mas que está exatamente na mira do maior violador.”</w:t>
      </w:r>
    </w:p>
    <w:p>
      <w:pPr>
        <w:pStyle w:val="BodyText"/>
      </w:pPr>
      <w:r>
        <w:t xml:space="preserve">“Vinícius.”</w:t>
      </w:r>
    </w:p>
    <w:p>
      <w:r>
        <w:pict>
          <v:rect style="width:0;height:1.5pt" o:hralign="center" o:hrstd="t" o:hr="t"/>
        </w:pict>
      </w:r>
    </w:p>
    <w:bookmarkEnd w:id="17"/>
    <w:bookmarkStart w:id="18" w:name="Xb2b64c17a476c5b1e1c0cf58ce526bd90e7126e"/>
    <w:p>
      <w:pPr>
        <w:pStyle w:val="Heading3"/>
      </w:pPr>
      <w:r>
        <w:t xml:space="preserve">SLIDES 10–14 · Cristóvam &amp; Hahn — Governo aberto e INDA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“Cristóvam e Hahn deslocam o debate: da proteção de dados para o governo aberto. Eles tratam abertura, transparência, proteção e regulação como um ciclo único. E ancoram isso em três referências teóricas pesadas.”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Mark Moore</w:t>
      </w:r>
      <w:r>
        <w:t xml:space="preserve"> </w:t>
      </w:r>
      <w:r>
        <w:t xml:space="preserve">e a ideia de</w:t>
      </w:r>
      <w:r>
        <w:t xml:space="preserve"> </w:t>
      </w:r>
      <w:r>
        <w:rPr>
          <w:i/>
          <w:iCs/>
        </w:rPr>
        <w:t xml:space="preserve">valor público</w:t>
      </w:r>
      <w:r>
        <w:t xml:space="preserve">: o gestor público não entrega só serviços — ele cria valor. E esse valor não se mede só por eficiência, mas por equidade, accountability e confiança. Um portal pode ser rápido e ainda assim não gerar valor público, se ninguém entende o que está lá.”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Patrick Dunleavy</w:t>
      </w:r>
      <w:r>
        <w:t xml:space="preserve"> </w:t>
      </w:r>
      <w:r>
        <w:t xml:space="preserve">e a</w:t>
      </w:r>
      <w:r>
        <w:t xml:space="preserve"> </w:t>
      </w:r>
      <w:r>
        <w:rPr>
          <w:i/>
          <w:iCs/>
        </w:rPr>
        <w:t xml:space="preserve">governança digital</w:t>
      </w:r>
      <w:r>
        <w:t xml:space="preserve">: a tecnologia não é ferramenta — ela redefine a própria burocracia. O Estado weberiano, com balcão e carimbo, dá lugar ao Estado-plataforma. Mas essa plataforma pode ser um shopping de serviços — ou pode ser um panóptico.”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OCDE 2019</w:t>
      </w:r>
      <w:r>
        <w:t xml:space="preserve"> </w:t>
      </w:r>
      <w:r>
        <w:t xml:space="preserve">e a</w:t>
      </w:r>
      <w:r>
        <w:t xml:space="preserve"> </w:t>
      </w:r>
      <w:r>
        <w:rPr>
          <w:i/>
          <w:iCs/>
        </w:rPr>
        <w:t xml:space="preserve">Recomendação sobre Governo Aberto</w:t>
      </w:r>
      <w:r>
        <w:t xml:space="preserve">: transparência, integridade, accountability e participação. O Brasil internalizou esses princípios na</w:t>
      </w:r>
      <w:r>
        <w:t xml:space="preserve"> </w:t>
      </w:r>
      <w:r>
        <w:rPr>
          <w:b/>
          <w:bCs/>
        </w:rPr>
        <w:t xml:space="preserve">INDA — Infraestrutura Nacional de Dados Abertos</w:t>
      </w:r>
      <w:r>
        <w:t xml:space="preserve">, que o decreto que a instituiu organiza em torno de quatro pilares.”</w:t>
      </w:r>
    </w:p>
    <w:p>
      <w:pPr>
        <w:pStyle w:val="BodyText"/>
      </w:pPr>
      <w:r>
        <w:t xml:space="preserve">“Pilar um:</w:t>
      </w:r>
      <w:r>
        <w:t xml:space="preserve"> </w:t>
      </w:r>
      <w:r>
        <w:rPr>
          <w:b/>
          <w:bCs/>
        </w:rPr>
        <w:t xml:space="preserve">transparência ativa</w:t>
      </w:r>
      <w:r>
        <w:t xml:space="preserve">. Quem já tentou baixar uma planilha de execução orçamentária em CSV e recebeu um PDF escaneado de uma planilha impressa sabe que a diferença entre</w:t>
      </w:r>
      <w:r>
        <w:t xml:space="preserve"> </w:t>
      </w:r>
      <w:r>
        <w:t xml:space="preserve">‘publicar’</w:t>
      </w:r>
      <w:r>
        <w:t xml:space="preserve"> </w:t>
      </w:r>
      <w:r>
        <w:t xml:space="preserve">e</w:t>
      </w:r>
      <w:r>
        <w:t xml:space="preserve"> </w:t>
      </w:r>
      <w:r>
        <w:t xml:space="preserve">‘abrir’</w:t>
      </w:r>
      <w:r>
        <w:t xml:space="preserve"> </w:t>
      </w:r>
      <w:r>
        <w:t xml:space="preserve">é um abismo.”</w:t>
      </w:r>
    </w:p>
    <w:p>
      <w:pPr>
        <w:pStyle w:val="BodyText"/>
      </w:pPr>
      <w:r>
        <w:t xml:space="preserve">“Pilar dois:</w:t>
      </w:r>
      <w:r>
        <w:t xml:space="preserve"> </w:t>
      </w:r>
      <w:r>
        <w:rPr>
          <w:b/>
          <w:bCs/>
        </w:rPr>
        <w:t xml:space="preserve">accountability</w:t>
      </w:r>
      <w:r>
        <w:t xml:space="preserve">. Dado aberto sem trilha de auditoria é anedota.”</w:t>
      </w:r>
    </w:p>
    <w:p>
      <w:pPr>
        <w:pStyle w:val="BodyText"/>
      </w:pPr>
      <w:r>
        <w:t xml:space="preserve">“Pilar três:</w:t>
      </w:r>
      <w:r>
        <w:t xml:space="preserve"> </w:t>
      </w:r>
      <w:r>
        <w:rPr>
          <w:b/>
          <w:bCs/>
        </w:rPr>
        <w:t xml:space="preserve">participação</w:t>
      </w:r>
      <w:r>
        <w:t xml:space="preserve">. A INDA prevê que o cidadão não é só consumidor de dado — ele coproduz. Isso é ambicioso e quase nunca acontece.”</w:t>
      </w:r>
    </w:p>
    <w:p>
      <w:pPr>
        <w:pStyle w:val="BodyText"/>
      </w:pPr>
      <w:r>
        <w:t xml:space="preserve">“Pilar quatro:</w:t>
      </w:r>
      <w:r>
        <w:t xml:space="preserve"> </w:t>
      </w:r>
      <w:r>
        <w:rPr>
          <w:b/>
          <w:bCs/>
        </w:rPr>
        <w:t xml:space="preserve">tecnologia</w:t>
      </w:r>
      <w:r>
        <w:t xml:space="preserve">. Interoperabilidade, APIs, formatos abertos. Na prática, ainda estamos no reino do PDF e do portal que muda de URL a cada troca de gestão.”</w:t>
      </w:r>
    </w:p>
    <w:p>
      <w:pPr>
        <w:pStyle w:val="BodyText"/>
      </w:pPr>
      <w:r>
        <w:t xml:space="preserve">“E eles trazem evidência empírica. Três municípios que ilustram o espectro.”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Recife</w:t>
      </w:r>
      <w:r>
        <w:t xml:space="preserve">: 92,90% no PNTP 2025. Terceiro Selo Ouro consecutivo. Decreto formalizando a Estratégia de Transformação Digital em 2021. Conecta Recife com mais de 120 serviços. Portal da Transparência com 42 mil visitas mensais.”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São Paulo</w:t>
      </w:r>
      <w:r>
        <w:t xml:space="preserve">: 72,95% no PNTP 2023. Classificação Intermediária. Mas tem escala — SP156 com mais de 560 serviços digitais, economia estimada de R$ 3,3 milhões em dois anos. O</w:t>
      </w:r>
      <w:r>
        <w:t xml:space="preserve"> </w:t>
      </w:r>
      <w:r>
        <w:t xml:space="preserve">‘Descomplica Digital’</w:t>
      </w:r>
      <w:r>
        <w:t xml:space="preserve"> </w:t>
      </w:r>
      <w:r>
        <w:t xml:space="preserve">garante atendimento presencial assistido — inclusão digital como política.”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Florianópolis</w:t>
      </w:r>
      <w:r>
        <w:t xml:space="preserve">: 87,51% no PNTP 2025. Selo Ouro. Destaque no GeoPortal — 160 camadas de dados geoespaciais, download vetorial, viabilidades urbanísticas automatizadas. Mas evidências fragmentadas quanto à integração de serviços em plataforma única.”</w:t>
      </w:r>
    </w:p>
    <w:p>
      <w:pPr>
        <w:pStyle w:val="BodyText"/>
      </w:pPr>
      <w:r>
        <w:t xml:space="preserve">“O traço comum entre os três:</w:t>
      </w:r>
      <w:r>
        <w:t xml:space="preserve"> </w:t>
      </w:r>
      <w:r>
        <w:rPr>
          <w:b/>
          <w:bCs/>
        </w:rPr>
        <w:t xml:space="preserve">nenhum exibe instrumentos consolidados de explicabilidade algorítmica ou auditoria de decisões automatizadas</w:t>
      </w:r>
      <w:r>
        <w:t xml:space="preserve">. O PNTP mede publicidade de itens de LAI e LRF — não mede se o algoritmo que negou um benefício é compreensível. Mede transparência fiscal, não transparência algorítmica.”</w:t>
      </w:r>
    </w:p>
    <w:p>
      <w:pPr>
        <w:pStyle w:val="BodyText"/>
      </w:pPr>
      <w:r>
        <w:t xml:space="preserve">“Ana, tua leitura?”</w:t>
      </w:r>
    </w:p>
    <w:bookmarkEnd w:id="18"/>
    <w:bookmarkStart w:id="19" w:name="slide-14-nossa-leitura-ii"/>
    <w:p>
      <w:pPr>
        <w:pStyle w:val="Heading3"/>
      </w:pPr>
      <w:r>
        <w:t xml:space="preserve">SLIDE 14 · ★ Nossa leitura II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“Cristóvam e Hahn tratam abertura e transparência como um ciclo virtuoso. Mas repara na assimetria: a abertura é um</w:t>
      </w:r>
      <w:r>
        <w:t xml:space="preserve"> </w:t>
      </w:r>
      <w:r>
        <w:rPr>
          <w:b/>
          <w:bCs/>
        </w:rPr>
        <w:t xml:space="preserve">dever jurídico</w:t>
      </w:r>
      <w:r>
        <w:t xml:space="preserve"> </w:t>
      </w:r>
      <w:r>
        <w:t xml:space="preserve">do Estado, e ao mesmo tempo é</w:t>
      </w:r>
      <w:r>
        <w:t xml:space="preserve"> </w:t>
      </w:r>
      <w:r>
        <w:rPr>
          <w:b/>
          <w:bCs/>
        </w:rPr>
        <w:t xml:space="preserve">o próprio Estado quem decide o que abre</w:t>
      </w:r>
      <w:r>
        <w:t xml:space="preserve">.”</w:t>
      </w:r>
    </w:p>
    <w:p>
      <w:pPr>
        <w:pStyle w:val="BodyText"/>
      </w:pPr>
      <w:r>
        <w:t xml:space="preserve">“A LAI, no artigo 23, permite classificar informação como reservada, secreta, ultrassecreta. Quem classifica? O Executivo — o maior detentor de informação do país. Ou seja: a mesma lei que obriga a transparência dá ao Estado as chaves do sigilo. O Estado pode</w:t>
      </w:r>
      <w:r>
        <w:t xml:space="preserve"> </w:t>
      </w:r>
      <w:r>
        <w:rPr>
          <w:b/>
          <w:bCs/>
        </w:rPr>
        <w:t xml:space="preserve">opacizar a si mesmo</w:t>
      </w:r>
      <w:r>
        <w:t xml:space="preserve">.”</w:t>
      </w:r>
    </w:p>
    <w:p>
      <w:pPr>
        <w:pStyle w:val="BodyText"/>
      </w:pPr>
      <w:r>
        <w:t xml:space="preserve">“Recife, São Paulo e Florianópolis são boas práticas — e a gente celebra isso. Mas são 3 municípios num país de 5.570. Apenas 22% dos municípios com mais de 200 mil habitantes têm plano de governo digital vigente. O federalismo virou federalismo de adesão: a Lei 14.129 só alcança o município que adota seus comandos por ato próprio. Cada prefeitura é um ponto de decisão soberana — e a maioria decide não decidir.”</w:t>
      </w:r>
    </w:p>
    <w:p>
      <w:pPr>
        <w:pStyle w:val="BodyText"/>
      </w:pPr>
      <w:r>
        <w:t xml:space="preserve">“Os portais são transparentes. Mas o algoritmo que decide não é. E o selo Ouro do PNTP não captura isso. Essa é a persona</w:t>
      </w:r>
      <w:r>
        <w:t xml:space="preserve"> </w:t>
      </w:r>
      <w:r>
        <w:rPr>
          <w:b/>
          <w:bCs/>
        </w:rPr>
        <w:t xml:space="preserve">Administrador Público</w:t>
      </w:r>
      <w:r>
        <w:t xml:space="preserve"> </w:t>
      </w:r>
      <w:r>
        <w:t xml:space="preserve">no nosso protótipo: a governança que promete abertura e controla as chaves do sigilo.”</w:t>
      </w:r>
    </w:p>
    <w:p>
      <w:pPr>
        <w:pStyle w:val="BodyText"/>
      </w:pPr>
      <w:r>
        <w:t xml:space="preserve">“Vinícius, fecha a Parte I?”</w:t>
      </w:r>
    </w:p>
    <w:bookmarkEnd w:id="19"/>
    <w:bookmarkStart w:id="20" w:name="slide-15-síntese-parte-i"/>
    <w:p>
      <w:pPr>
        <w:pStyle w:val="Heading3"/>
      </w:pPr>
      <w:r>
        <w:t xml:space="preserve">SLIDE 15 · Síntese Parte I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“Fecho curto. Os dois primeiros artigos nos dão a promessa: um Estado que protege dados e que se abre ao escrutínio público. A LGPD estrutura a defesa; a INDA estrutura a transparência. Mas a promessa é frágil — porque quem promete é também quem pode descumprir. A Parte II vai mostrar o choque: quando a escala do big data e a opacidade do algoritmo encontram essa promessa, o que acontece?”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to-3-parte-ii-choque-10-min"/>
    <w:p>
      <w:pPr>
        <w:pStyle w:val="Heading2"/>
      </w:pPr>
      <w:r>
        <w:t xml:space="preserve">ATO 3 — PARTE II: CHOQUE (~10 min)</w:t>
      </w:r>
    </w:p>
    <w:bookmarkStart w:id="22" w:name="slide-16-divisor-parte-ii"/>
    <w:p>
      <w:pPr>
        <w:pStyle w:val="Heading3"/>
      </w:pPr>
      <w:r>
        <w:t xml:space="preserve">SLIDE 16 · Divisor Parte II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“Os dois próximos artigos viram a chave. Da promessa, entramos no choque de realidade.”</w:t>
      </w:r>
    </w:p>
    <w:bookmarkEnd w:id="22"/>
    <w:bookmarkStart w:id="23" w:name="X5278957dba9efba44f6bb13537fe8e2a2cff151"/>
    <w:p>
      <w:pPr>
        <w:pStyle w:val="Heading3"/>
      </w:pPr>
      <w:r>
        <w:t xml:space="preserve">SLIDES 17–19 · Sarlet &amp; Molinaro — Big data, saúde e proteção de dados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“Sarlet e Molinaro escolheram o setor mais sensível possível: a saúde. E mostram que a LGPD — que celebramos no artigo anterior como conquista civilizatória — foi concebida num paradigma</w:t>
      </w:r>
      <w:r>
        <w:t xml:space="preserve"> </w:t>
      </w:r>
      <w:r>
        <w:rPr>
          <w:b/>
          <w:bCs/>
        </w:rPr>
        <w:t xml:space="preserve">pré-big data</w:t>
      </w:r>
      <w:r>
        <w:t xml:space="preserve">.”</w:t>
      </w:r>
    </w:p>
    <w:p>
      <w:pPr>
        <w:pStyle w:val="BodyText"/>
      </w:pPr>
      <w:r>
        <w:t xml:space="preserve">“Eles identificam cinco campos em que o big data impacta a saúde.”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Campo um: pesquisa clínica.</w:t>
      </w:r>
      <w:r>
        <w:t xml:space="preserve"> </w:t>
      </w:r>
      <w:r>
        <w:t xml:space="preserve">Dados de pacientes em escala inédita. Potencial enorme para descoberta de padrões, mas também para reidentificação de indivíduos</w:t>
      </w:r>
      <w:r>
        <w:t xml:space="preserve"> </w:t>
      </w:r>
      <w:r>
        <w:t xml:space="preserve">‘anonimizados’</w:t>
      </w:r>
      <w:r>
        <w:t xml:space="preserve">. A anonimização no big data é uma promessa frágil: com datasets suficientemente grandes, a reidentificação é quase sempre possível.”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Campo dois: saúde pública.</w:t>
      </w:r>
      <w:r>
        <w:t xml:space="preserve"> </w:t>
      </w:r>
      <w:r>
        <w:t xml:space="preserve">Modelos preditivos de epidemia, alocação de recursos. Mas quem decide qual variável prediz risco? Se o modelo usa CEP como proxy de vulnerabilidade, ele está usando território como destino.”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Campo três: gestão hospitalar.</w:t>
      </w:r>
      <w:r>
        <w:t xml:space="preserve"> </w:t>
      </w:r>
      <w:r>
        <w:t xml:space="preserve">Eficiência operacional. Só que o hospital que otimiza leitos por algoritmo pode estar, sem saber, triando pacientes por perfil de</w:t>
      </w:r>
      <w:r>
        <w:t xml:space="preserve"> </w:t>
      </w:r>
      <w:r>
        <w:t xml:space="preserve">‘custo esperado’</w:t>
      </w:r>
      <w:r>
        <w:t xml:space="preserve">. Isso é discriminação por proxy.”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Campo quatro: medicina personalizada.</w:t>
      </w:r>
      <w:r>
        <w:t xml:space="preserve"> </w:t>
      </w:r>
      <w:r>
        <w:t xml:space="preserve">Genômica, biomarcadores. A fronteira mais promissora — e a mais perigosa para privacidade. Dado genético não se troca como senha.”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Campo cinco: wearables e Internet das Coisas.</w:t>
      </w:r>
      <w:r>
        <w:t xml:space="preserve"> </w:t>
      </w:r>
      <w:r>
        <w:t xml:space="preserve">O relógio que mede batimentos, o app que registra sono. Esses dados já estão sendo comprados por seguradoras e planos de saúde. Nos Estados Unidos, isso já acontece. No Brasil, é questão de tempo.”</w:t>
      </w:r>
    </w:p>
    <w:p>
      <w:pPr>
        <w:pStyle w:val="BodyText"/>
      </w:pPr>
      <w:r>
        <w:t xml:space="preserve">“Diante disso, os autores interrogam os pilares da LGPD.</w:t>
      </w:r>
      <w:r>
        <w:t xml:space="preserve"> </w:t>
      </w:r>
      <w:r>
        <w:rPr>
          <w:b/>
          <w:bCs/>
        </w:rPr>
        <w:t xml:space="preserve">Finalidade:</w:t>
      </w:r>
      <w:r>
        <w:t xml:space="preserve"> </w:t>
      </w:r>
      <w:r>
        <w:t xml:space="preserve">qual é a finalidade de um algoritmo que encontra correlações que ninguém previu?</w:t>
      </w:r>
      <w:r>
        <w:t xml:space="preserve"> </w:t>
      </w:r>
      <w:r>
        <w:rPr>
          <w:b/>
          <w:bCs/>
        </w:rPr>
        <w:t xml:space="preserve">Minimização:</w:t>
      </w:r>
      <w:r>
        <w:t xml:space="preserve"> </w:t>
      </w:r>
      <w:r>
        <w:t xml:space="preserve">como minimizar dados num regime que vive de maximizá-los?</w:t>
      </w:r>
      <w:r>
        <w:t xml:space="preserve"> </w:t>
      </w:r>
      <w:r>
        <w:rPr>
          <w:b/>
          <w:bCs/>
        </w:rPr>
        <w:t xml:space="preserve">Consentimento:</w:t>
      </w:r>
      <w:r>
        <w:t xml:space="preserve"> </w:t>
      </w:r>
      <w:r>
        <w:t xml:space="preserve">o paciente do SUS consente com o quê, exatamente, quando os dados dele alimentam modelos que ele nunca soube que existiam?”</w:t>
      </w:r>
    </w:p>
    <w:p>
      <w:pPr>
        <w:pStyle w:val="BodyText"/>
      </w:pPr>
      <w:r>
        <w:t xml:space="preserve">“Essa fragilidade é estrutural, e não acidental. A LGPD é uma lei analógica num mundo de dados exponenciais. E o Estado brasileiro é um dos maiores coletores de dados de saúde do planeta.”</w:t>
      </w:r>
    </w:p>
    <w:p>
      <w:pPr>
        <w:pStyle w:val="BodyText"/>
      </w:pPr>
      <w:r>
        <w:t xml:space="preserve">“Ana?”</w:t>
      </w:r>
    </w:p>
    <w:bookmarkEnd w:id="23"/>
    <w:bookmarkStart w:id="24" w:name="slide-20-nossa-leitura-iii"/>
    <w:p>
      <w:pPr>
        <w:pStyle w:val="Heading3"/>
      </w:pPr>
      <w:r>
        <w:t xml:space="preserve">SLIDE 20 · ★ Nossa leitura III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“Sarlet e Molinaro mostram que a LGPD foi concebida num paradigma pré-big data. E isso é grave</w:t>
      </w:r>
      <w:r>
        <w:t xml:space="preserve"> </w:t>
      </w:r>
      <w:r>
        <w:rPr>
          <w:b/>
          <w:bCs/>
        </w:rPr>
        <w:t xml:space="preserve">quando o Estado é o grande coletor</w:t>
      </w:r>
      <w:r>
        <w:t xml:space="preserve">.”</w:t>
      </w:r>
    </w:p>
    <w:p>
      <w:pPr>
        <w:pStyle w:val="BodyText"/>
      </w:pPr>
      <w:r>
        <w:t xml:space="preserve">“O SUS é o maior sistema público de saúde do mundo. São bilhões de registros: atendimentos, internações, medicamentos, exames, vacinas. Em Santa Catarina, mais de 10 milhões de registros preditivos só na educação. Imagina na saúde.”</w:t>
      </w:r>
    </w:p>
    <w:p>
      <w:pPr>
        <w:pStyle w:val="BodyText"/>
      </w:pPr>
      <w:r>
        <w:t xml:space="preserve">“Enquanto isso, o suposto vazamento de</w:t>
      </w:r>
      <w:r>
        <w:t xml:space="preserve"> </w:t>
      </w:r>
      <w:r>
        <w:rPr>
          <w:b/>
          <w:bCs/>
        </w:rPr>
        <w:t xml:space="preserve">251 milhões de CPFs do Gov.br</w:t>
      </w:r>
      <w:r>
        <w:t xml:space="preserve"> </w:t>
      </w:r>
      <w:r>
        <w:t xml:space="preserve">— mais CPFs do que brasileiros vivos — mostra o tamanho do risco. O maior controlador de dados do país é o mesmo ente que deveria fiscalizar a proteção desses dados.”</w:t>
      </w:r>
    </w:p>
    <w:p>
      <w:pPr>
        <w:pStyle w:val="BodyText"/>
      </w:pPr>
      <w:r>
        <w:t xml:space="preserve">“Minimização vira letra morta. Consentimento vira ficção jurídica. Finalidade vira abstração. Quando quem coleta é quem regula, os freios da LGPD viram sugestões. E o cidadão — o titular dos dados — é o último a saber. Essa é a segunda face da persona</w:t>
      </w:r>
      <w:r>
        <w:t xml:space="preserve"> </w:t>
      </w:r>
      <w:r>
        <w:rPr>
          <w:b/>
          <w:bCs/>
        </w:rPr>
        <w:t xml:space="preserve">Cidadão</w:t>
      </w:r>
      <w:r>
        <w:t xml:space="preserve"> </w:t>
      </w:r>
      <w:r>
        <w:t xml:space="preserve">no nosso protótipo: o sujeito que a LGPD diz proteger, mas cujos dados vazam do lugar que deveria ser o mais seguro.”</w:t>
      </w:r>
    </w:p>
    <w:p>
      <w:pPr>
        <w:pStyle w:val="BodyText"/>
      </w:pPr>
      <w:r>
        <w:t xml:space="preserve">“Vinícius, o quarto artigo.”</w:t>
      </w:r>
    </w:p>
    <w:p>
      <w:r>
        <w:pict>
          <v:rect style="width:0;height:1.5pt" o:hralign="center" o:hrstd="t" o:hr="t"/>
        </w:pict>
      </w:r>
    </w:p>
    <w:bookmarkEnd w:id="24"/>
    <w:bookmarkStart w:id="25" w:name="X35fbd66781d55a9df4a22e5a309c234ebd2c1b1"/>
    <w:p>
      <w:pPr>
        <w:pStyle w:val="Heading3"/>
      </w:pPr>
      <w:r>
        <w:t xml:space="preserve">SLIDES 21–24 · Tavares, Bitencourt &amp; Cristóvam — Explicabilidade e contraditório algorítmico</w:t>
      </w:r>
    </w:p>
    <w:p>
      <w:pPr>
        <w:pStyle w:val="FirstParagraph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“Tavares, Bitencourt e Cristóvam fecham o ciclo com o artigo mais ambicioso dos quatro. Eles enfrentam o problema que os três anteriores apenas tangenciaram: quando a decisão automatizada viola direitos, como se contesta?”</w:t>
      </w:r>
    </w:p>
    <w:p>
      <w:pPr>
        <w:pStyle w:val="BodyText"/>
      </w:pPr>
      <w:r>
        <w:t xml:space="preserve">“Primeiro:</w:t>
      </w:r>
      <w:r>
        <w:t xml:space="preserve"> </w:t>
      </w:r>
      <w:r>
        <w:rPr>
          <w:b/>
          <w:bCs/>
        </w:rPr>
        <w:t xml:space="preserve">algoritmo não é inteligência artificial, e IA não é algoritmo</w:t>
      </w:r>
      <w:r>
        <w:t xml:space="preserve">. Algoritmo é uma sequência determinística de passos. Se A, então B. Inteligência artificial — especialmente machine learning — é um sistema que aprende padrões com dados e produz inferências que nem o programador consegue prever completamente. A diferença é crucial, porque a explicabilidade de um é trivial; a do outro, não.”</w:t>
      </w:r>
    </w:p>
    <w:p>
      <w:pPr>
        <w:pStyle w:val="BodyText"/>
      </w:pPr>
      <w:r>
        <w:t xml:space="preserve">“Segundo:</w:t>
      </w:r>
      <w:r>
        <w:t xml:space="preserve"> </w:t>
      </w:r>
      <w:r>
        <w:rPr>
          <w:b/>
          <w:bCs/>
        </w:rPr>
        <w:t xml:space="preserve">três tipologias de decisão</w:t>
      </w:r>
      <w:r>
        <w:t xml:space="preserve">. Decisão humana — um servidor analisa um requerimento. Decisão híbrida — o algoritmo sugere, o humano decide. Decisão algorítmica — o sistema decide e o humano, se existir, só homologa. O problema brasileiro está na terceira: a homologação sem análise.”</w:t>
      </w:r>
    </w:p>
    <w:p>
      <w:pPr>
        <w:pStyle w:val="BodyText"/>
      </w:pPr>
      <w:r>
        <w:t xml:space="preserve">“Terceiro:</w:t>
      </w:r>
      <w:r>
        <w:t xml:space="preserve"> </w:t>
      </w:r>
      <w:r>
        <w:rPr>
          <w:b/>
          <w:bCs/>
        </w:rPr>
        <w:t xml:space="preserve">explicabilidade em três tempos</w:t>
      </w:r>
      <w:r>
        <w:t xml:space="preserve">. Prévia — antes da decisão, o cidadão sabe quais dados serão usados e com que peso. Concomitante — durante o processo, o cidadão pode contestar os dados que o sistema está usando. Posterior — depois da decisão, o cidadão recebe uma explicação compreensível. A maior parte do debate brasileiro foca na posterior. Mas os autores defendem que</w:t>
      </w:r>
      <w:r>
        <w:t xml:space="preserve"> </w:t>
      </w:r>
      <w:r>
        <w:rPr>
          <w:b/>
          <w:bCs/>
        </w:rPr>
        <w:t xml:space="preserve">a explicabilidade prévia e concomitante são mais importantes</w:t>
      </w:r>
      <w:r>
        <w:t xml:space="preserve">, porque permitem evitar o dano, não apenas remediá-lo.”</w:t>
      </w:r>
    </w:p>
    <w:p>
      <w:pPr>
        <w:pStyle w:val="BodyText"/>
      </w:pPr>
      <w:r>
        <w:t xml:space="preserve">“Quarto:</w:t>
      </w:r>
      <w:r>
        <w:t xml:space="preserve"> </w:t>
      </w:r>
      <w:r>
        <w:rPr>
          <w:b/>
          <w:bCs/>
        </w:rPr>
        <w:t xml:space="preserve">contraditório algorítmico</w:t>
      </w:r>
      <w:r>
        <w:t xml:space="preserve">. O art. 5º, LV da Constituição garante contraditório e ampla defesa. Mas o que significa contraditório quando o</w:t>
      </w:r>
      <w:r>
        <w:t xml:space="preserve"> </w:t>
      </w:r>
      <w:r>
        <w:t xml:space="preserve">‘acusador’</w:t>
      </w:r>
      <w:r>
        <w:t xml:space="preserve"> </w:t>
      </w:r>
      <w:r>
        <w:t xml:space="preserve">é um modelo de machine learning? Contestar o quê — o código-fonte? A base de treinamento? O peso de cada variável? O viés do modelo? Os autores propõem uma releitura constitucional:</w:t>
      </w:r>
      <w:r>
        <w:t xml:space="preserve"> </w:t>
      </w:r>
      <w:r>
        <w:rPr>
          <w:b/>
          <w:bCs/>
        </w:rPr>
        <w:t xml:space="preserve">o contraditório em ambiente algorítmico precisa ser prévio à decisão</w:t>
      </w:r>
      <w:r>
        <w:t xml:space="preserve">. Recurso administrativo depois do fato não sana a nulidade — porque o dano já está produzido.”</w:t>
      </w:r>
    </w:p>
    <w:p>
      <w:pPr>
        <w:pStyle w:val="BodyText"/>
      </w:pPr>
      <w:r>
        <w:t xml:space="preserve">“E aqui é onde o artigo encontra a realidade. Ana?”</w:t>
      </w:r>
    </w:p>
    <w:bookmarkEnd w:id="25"/>
    <w:bookmarkStart w:id="26" w:name="X6620a558800a9a0de1476504105940732ed8f22"/>
    <w:p>
      <w:pPr>
        <w:pStyle w:val="Heading3"/>
      </w:pPr>
      <w:r>
        <w:t xml:space="preserve">SLIDES 25–28 · ★ Nossa leitura IV + Transição para o Conflito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“Esse é o artigo que vira software no nosso protótipo. Tavares e os coautores defendem que o contraditório tem que ser prévio — recurso depois não sana a nulidade. E o caso brasileiro é gritante.”</w:t>
      </w:r>
    </w:p>
    <w:p>
      <w:pPr>
        <w:pStyle w:val="BodyText"/>
      </w:pPr>
      <w:r>
        <w:t xml:space="preserve">“O</w:t>
      </w:r>
      <w:r>
        <w:t xml:space="preserve"> </w:t>
      </w:r>
      <w:r>
        <w:rPr>
          <w:b/>
          <w:bCs/>
        </w:rPr>
        <w:t xml:space="preserve">INSS</w:t>
      </w:r>
      <w:r>
        <w:t xml:space="preserve"> </w:t>
      </w:r>
      <w:r>
        <w:t xml:space="preserve">vem indeferindo aposentadoria rural de forma automática. Uma trabalhadora rural — segurada especial — pede a aposentadoria por idade. O sistema cruza CNIS, CadÚnico, dados do ITR, geolocalização. E</w:t>
      </w:r>
      <w:r>
        <w:t xml:space="preserve"> </w:t>
      </w:r>
      <w:r>
        <w:rPr>
          <w:b/>
          <w:bCs/>
        </w:rPr>
        <w:t xml:space="preserve">infere</w:t>
      </w:r>
      <w:r>
        <w:t xml:space="preserve"> </w:t>
      </w:r>
      <w:r>
        <w:t xml:space="preserve">que ela exerce atividade urbana. Inferência — não prova. Ignora a autodeclaração rural — que é o dado primário. E indefere. A notificação no Meu INSS diz apenas:</w:t>
      </w:r>
      <w:r>
        <w:t xml:space="preserve"> </w:t>
      </w:r>
      <w:r>
        <w:t xml:space="preserve">‘NÃO COMPROVADA A QUALIDADE DE SEGURADO ESPECIAL’</w:t>
      </w:r>
      <w:r>
        <w:t xml:space="preserve">. Sem explicar quais dados, qual critério, qual peso.”</w:t>
      </w:r>
    </w:p>
    <w:p>
      <w:pPr>
        <w:pStyle w:val="BodyText"/>
      </w:pPr>
      <w:r>
        <w:t xml:space="preserve">“Isso viola a</w:t>
      </w:r>
      <w:r>
        <w:t xml:space="preserve"> </w:t>
      </w:r>
      <w:r>
        <w:rPr>
          <w:b/>
          <w:bCs/>
        </w:rPr>
        <w:t xml:space="preserve">IN 128/2022 do próprio INSS</w:t>
      </w:r>
      <w:r>
        <w:t xml:space="preserve"> </w:t>
      </w:r>
      <w:r>
        <w:t xml:space="preserve">— que exige análise e contraditório prévio antes do indeferimento. O órgão que editou a norma é o primeiro a descumpri-la. Regulador que edita a IN é o Regulado que automatiza o indeferimento suprimir o contraditório. Do poder-dever ao dever-poder.”</w:t>
      </w:r>
    </w:p>
    <w:p>
      <w:pPr>
        <w:pStyle w:val="BodyText"/>
      </w:pPr>
      <w:r>
        <w:rPr>
          <w:i/>
          <w:iCs/>
        </w:rPr>
        <w:t xml:space="preserve">Aponta para o diagrama Regulador vs Regulado:</w:t>
      </w:r>
    </w:p>
    <w:p>
      <w:pPr>
        <w:pStyle w:val="BodyText"/>
      </w:pPr>
      <w:r>
        <w:t xml:space="preserve">“O que a segurada recebe é uma</w:t>
      </w:r>
      <w:r>
        <w:t xml:space="preserve"> </w:t>
      </w:r>
      <w:r>
        <w:rPr>
          <w:b/>
          <w:bCs/>
        </w:rPr>
        <w:t xml:space="preserve">caixa-preta</w:t>
      </w:r>
      <w:r>
        <w:t xml:space="preserve">. Dados entram — CPF, CNIS, CadÚnico, geolocalização — e uma negativa sai. Sem rosto. Sem porquê. Sem pessoa. A opacidade algorítmica servindo à eficiência arrecadatória contra o direito fundamental. Este é o caso-âncora da nossa tese.”</w:t>
      </w:r>
    </w:p>
    <w:p>
      <w:pPr>
        <w:pStyle w:val="BodyText"/>
      </w:pPr>
      <w:r>
        <w:t xml:space="preserve">“No plano internacional, o espelho é o</w:t>
      </w:r>
      <w:r>
        <w:t xml:space="preserve"> </w:t>
      </w:r>
      <w:r>
        <w:rPr>
          <w:b/>
          <w:bCs/>
        </w:rPr>
        <w:t xml:space="preserve">SyRI</w:t>
      </w:r>
      <w:r>
        <w:t xml:space="preserve"> </w:t>
      </w:r>
      <w:r>
        <w:t xml:space="preserve">— o sistema holandês de detecção de fraude em benefícios sociais. Foi usado para cruzar dados e identificar</w:t>
      </w:r>
      <w:r>
        <w:t xml:space="preserve"> </w:t>
      </w:r>
      <w:r>
        <w:t xml:space="preserve">‘risco de fraude’</w:t>
      </w:r>
      <w:r>
        <w:t xml:space="preserve"> </w:t>
      </w:r>
      <w:r>
        <w:t xml:space="preserve">em bairros pobres, com alta concentração de imigrantes turcos e marroquinos. O Tribunal de Haia, em 2020, proibiu: violava o art. 8º da Convenção Europeia de Direitos Humanos — privacidade, finalidade, minimização, devido processo. Lá, um tribunal conteve a opacidade algorítmica do Estado. Aqui, a gente ainda está no estágio da denúncia.”</w:t>
      </w:r>
    </w:p>
    <w:p>
      <w:pPr>
        <w:pStyle w:val="BodyText"/>
      </w:pPr>
      <w:r>
        <w:t xml:space="preserve">“E em vez de só</w:t>
      </w:r>
      <w:r>
        <w:t xml:space="preserve"> </w:t>
      </w:r>
      <w:r>
        <w:rPr>
          <w:i/>
          <w:iCs/>
        </w:rPr>
        <w:t xml:space="preserve">falar</w:t>
      </w:r>
      <w:r>
        <w:t xml:space="preserve"> </w:t>
      </w:r>
      <w:r>
        <w:t xml:space="preserve">disso, a gente vai</w:t>
      </w:r>
      <w:r>
        <w:t xml:space="preserve"> </w:t>
      </w:r>
      <w:r>
        <w:rPr>
          <w:i/>
          <w:iCs/>
        </w:rPr>
        <w:t xml:space="preserve">mostrar</w:t>
      </w:r>
      <w:r>
        <w:t xml:space="preserve">. Mas antes, deixa eu acrescentar duas camadas que considero decisivas.”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04e2eb7612d2cae6172bd2ab5e023807237532"/>
    <w:p>
      <w:pPr>
        <w:pStyle w:val="Heading2"/>
      </w:pPr>
      <w:r>
        <w:t xml:space="preserve">ATO 4 — MINHA CONTRIBUIÇÃO PROPEDÊUTICA (~2 min)</w:t>
      </w:r>
    </w:p>
    <w:bookmarkStart w:id="28" w:name="X604591928fa80755a4e1cc5e31ec3bb20c69cd1"/>
    <w:p>
      <w:pPr>
        <w:pStyle w:val="Heading3"/>
      </w:pPr>
      <w:r>
        <w:t xml:space="preserve">SLIDE 30 · Propedêutica: literacia algorítmica + notícia humana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“Quero acrescentar dois degraus que vêm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contraditório.”</w:t>
      </w:r>
    </w:p>
    <w:p>
      <w:pPr>
        <w:pStyle w:val="BodyText"/>
      </w:pPr>
      <w:r>
        <w:t xml:space="preserve">“O primeiro é a</w:t>
      </w:r>
      <w:r>
        <w:t xml:space="preserve"> </w:t>
      </w:r>
      <w:r>
        <w:rPr>
          <w:b/>
          <w:bCs/>
        </w:rPr>
        <w:t xml:space="preserve">literacia algorítmica</w:t>
      </w:r>
      <w:r>
        <w:t xml:space="preserve">. A trabalhadora rural muitas vezes nem sabe que foi uma</w:t>
      </w:r>
      <w:r>
        <w:t xml:space="preserve"> </w:t>
      </w:r>
      <w:r>
        <w:rPr>
          <w:i/>
          <w:iCs/>
        </w:rPr>
        <w:t xml:space="preserve">máquina</w:t>
      </w:r>
      <w:r>
        <w:t xml:space="preserve"> </w:t>
      </w:r>
      <w:r>
        <w:t xml:space="preserve">que decidiu. Ela não faz ideia do que é</w:t>
      </w:r>
      <w:r>
        <w:t xml:space="preserve"> </w:t>
      </w:r>
      <w:r>
        <w:t xml:space="preserve">‘inteligência artificial’</w:t>
      </w:r>
      <w:r>
        <w:t xml:space="preserve">,</w:t>
      </w:r>
      <w:r>
        <w:t xml:space="preserve"> </w:t>
      </w:r>
      <w:r>
        <w:t xml:space="preserve">‘viés de proxy’</w:t>
      </w:r>
      <w:r>
        <w:t xml:space="preserve">,</w:t>
      </w:r>
      <w:r>
        <w:t xml:space="preserve"> </w:t>
      </w:r>
      <w:r>
        <w:t xml:space="preserve">‘inferência’</w:t>
      </w:r>
      <w:r>
        <w:t xml:space="preserve">. Ora, não se contesta o que não se compreende. Empoderar não é só abrir um canal de recurso — é</w:t>
      </w:r>
      <w:r>
        <w:t xml:space="preserve"> </w:t>
      </w:r>
      <w:r>
        <w:rPr>
          <w:b/>
          <w:bCs/>
        </w:rPr>
        <w:t xml:space="preserve">traduzir</w:t>
      </w:r>
      <w:r>
        <w:t xml:space="preserve"> </w:t>
      </w:r>
      <w:r>
        <w:t xml:space="preserve">a decisão em linguagem que a pessoa entenda.”</w:t>
      </w:r>
    </w:p>
    <w:p>
      <w:pPr>
        <w:pStyle w:val="BodyText"/>
      </w:pPr>
      <w:r>
        <w:t xml:space="preserve">“Transparência não basta. Um portal pode ser transparente — publicar todos os dados, todos os critérios, todos os pesos — e ainda assim ser incompreensível para quem precisa contestar. Transparência é condição necessária, mas não suficiente. O que falta é</w:t>
      </w:r>
      <w:r>
        <w:t xml:space="preserve"> </w:t>
      </w:r>
      <w:r>
        <w:rPr>
          <w:b/>
          <w:bCs/>
        </w:rPr>
        <w:t xml:space="preserve">inteligibilidade</w:t>
      </w:r>
      <w:r>
        <w:t xml:space="preserve">.”</w:t>
      </w:r>
    </w:p>
    <w:p>
      <w:pPr>
        <w:pStyle w:val="BodyText"/>
      </w:pPr>
      <w:r>
        <w:t xml:space="preserve">“O segundo degrau é uma tese normativa que proponho. Certas decisões podem até ser automatizadas — eu não sou contra a tecnologia. Mas a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de uma decisão adversa a alguém em situação de vulnerabilidade — a negativa de um benefício, o corte de um auxílio, o indeferimento de uma aposentadoria — deveria, em tese, ser feita por</w:t>
      </w:r>
      <w:r>
        <w:t xml:space="preserve"> </w:t>
      </w:r>
      <w:r>
        <w:rPr>
          <w:b/>
          <w:bCs/>
        </w:rPr>
        <w:t xml:space="preserve">uma pessoa, não por uma máquina</w:t>
      </w:r>
      <w:r>
        <w:t xml:space="preserve">. O humano no circuito não apenas na</w:t>
      </w:r>
      <w:r>
        <w:t xml:space="preserve"> </w:t>
      </w:r>
      <w:r>
        <w:rPr>
          <w:i/>
          <w:iCs/>
        </w:rPr>
        <w:t xml:space="preserve">decisão</w:t>
      </w:r>
      <w:r>
        <w:t xml:space="preserve">, mas no</w:t>
      </w:r>
      <w:r>
        <w:t xml:space="preserve"> </w:t>
      </w:r>
      <w:r>
        <w:rPr>
          <w:b/>
          <w:bCs/>
        </w:rPr>
        <w:t xml:space="preserve">cuidado da comunicação</w:t>
      </w:r>
      <w:r>
        <w:t xml:space="preserve">.”</w:t>
      </w:r>
    </w:p>
    <w:p>
      <w:pPr>
        <w:pStyle w:val="BodyText"/>
      </w:pPr>
      <w:r>
        <w:t xml:space="preserve">“Notificar um indeferimento por um app frio —</w:t>
      </w:r>
      <w:r>
        <w:t xml:space="preserve"> </w:t>
      </w:r>
      <w:r>
        <w:t xml:space="preserve">‘NÃO COMPROVADA A QUALIDADE DE SEGURADO ESPECIAL’</w:t>
      </w:r>
      <w:r>
        <w:t xml:space="preserve"> </w:t>
      </w:r>
      <w:r>
        <w:t xml:space="preserve">— a quem depende daquele benefício para comer é uma violência burocrática silenciosa. A dignidade do administrado também está em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ele é avisado. O Estado que se diz eficiente é o mesmo que comunica de forma desumana a quem mais precisa de cuidado. Isso é Regulador ⇄ Regulado no nível mais íntimo.”</w:t>
      </w:r>
    </w:p>
    <w:p>
      <w:pPr>
        <w:pStyle w:val="BodyText"/>
      </w:pPr>
      <w:r>
        <w:t xml:space="preserve">“E agora a gente mostra como isso vira ferramenta.”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to-5-demonstração-4-min"/>
    <w:p>
      <w:pPr>
        <w:pStyle w:val="Heading2"/>
      </w:pPr>
      <w:r>
        <w:t xml:space="preserve">ATO 5 — DEMONSTRAÇÃO (~4 min)</w:t>
      </w:r>
    </w:p>
    <w:bookmarkStart w:id="30" w:name="slides-3133-protótipo-demo"/>
    <w:p>
      <w:pPr>
        <w:pStyle w:val="Heading3"/>
      </w:pPr>
      <w:r>
        <w:t xml:space="preserve">SLIDES 31–33 · Protótipo + Demo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“Nós construímos um protótipo. Ele se chama</w:t>
      </w:r>
      <w:r>
        <w:t xml:space="preserve"> </w:t>
      </w:r>
      <w:r>
        <w:rPr>
          <w:b/>
          <w:bCs/>
        </w:rPr>
        <w:t xml:space="preserve">Conselho de Contestação Algorítmica</w:t>
      </w:r>
      <w:r>
        <w:t xml:space="preserve"> </w:t>
      </w:r>
      <w:r>
        <w:t xml:space="preserve">e é um fork do llm-council, adaptado para o contexto jurídico brasileiro.”</w:t>
      </w:r>
    </w:p>
    <w:p>
      <w:pPr>
        <w:pStyle w:val="BodyText"/>
      </w:pPr>
      <w:r>
        <w:t xml:space="preserve">“A ideia é simples. Imaginem a trabalhadora rural que teve a aposentadoria negada. Em vez de um parecer só — o parecer do INSS que diz</w:t>
      </w:r>
      <w:r>
        <w:t xml:space="preserve"> </w:t>
      </w:r>
      <w:r>
        <w:t xml:space="preserve">‘indeferido’</w:t>
      </w:r>
      <w:r>
        <w:t xml:space="preserve"> </w:t>
      </w:r>
      <w:r>
        <w:t xml:space="preserve">— quatro perspectivas jurídicas analisam o caso.”</w:t>
      </w:r>
    </w:p>
    <w:p>
      <w:pPr>
        <w:pStyle w:val="BodyText"/>
      </w:pPr>
      <w:r>
        <w:t xml:space="preserve">“Cada perspectiva é, na prática, uma das leituras que o Vinícius acabou de apresentar.”</w:t>
      </w:r>
    </w:p>
    <w:p>
      <w:pPr>
        <w:pStyle w:val="BodyText"/>
      </w:pPr>
      <w:r>
        <w:t xml:space="preserve">“Tem a</w:t>
      </w:r>
      <w:r>
        <w:t xml:space="preserve"> </w:t>
      </w:r>
      <w:r>
        <w:rPr>
          <w:b/>
          <w:bCs/>
        </w:rPr>
        <w:t xml:space="preserve">Defensoria Pública</w:t>
      </w:r>
      <w:r>
        <w:t xml:space="preserve"> </w:t>
      </w:r>
      <w:r>
        <w:t xml:space="preserve">— que carrega o artigo do Tavares. Contraditório prévio. Art. 5º, LV. A nulidade não se sana com recurso posterior. A IN 128/2022 foi descumprida pelo próprio INSS.”</w:t>
      </w:r>
    </w:p>
    <w:p>
      <w:pPr>
        <w:pStyle w:val="BodyText"/>
      </w:pPr>
      <w:r>
        <w:t xml:space="preserve">“Tem o</w:t>
      </w:r>
      <w:r>
        <w:t xml:space="preserve"> </w:t>
      </w:r>
      <w:r>
        <w:rPr>
          <w:b/>
          <w:bCs/>
        </w:rPr>
        <w:t xml:space="preserve">Cientista de Dados</w:t>
      </w:r>
      <w:r>
        <w:t xml:space="preserve"> </w:t>
      </w:r>
      <w:r>
        <w:t xml:space="preserve">— que carrega a explicabilidade. Viés de proxy. SHAP values. Feature importance. O modelo inferiu atividade urbana a partir de lacuna contributiva — mas lacuna em CNIS de trabalhador rural é a norma, não a exceção. O modelo penaliza a informalidade que deveria proteger.”</w:t>
      </w:r>
    </w:p>
    <w:p>
      <w:pPr>
        <w:pStyle w:val="BodyText"/>
      </w:pPr>
      <w:r>
        <w:t xml:space="preserve">“Tem o</w:t>
      </w:r>
      <w:r>
        <w:t xml:space="preserve"> </w:t>
      </w:r>
      <w:r>
        <w:rPr>
          <w:b/>
          <w:bCs/>
        </w:rPr>
        <w:t xml:space="preserve">Administrador Público</w:t>
      </w:r>
      <w:r>
        <w:t xml:space="preserve"> </w:t>
      </w:r>
      <w:r>
        <w:t xml:space="preserve">— que carrega Cristóvam e Hahn. Governança. A Lei 14.129, art. 6º, exige que decisões automatizadas sejam explicáveis. A notificação do Meu INSS não é uma explicação — é uma fórmula vazia. Faltou supervisão humana obrigatória, como exige o art. 20, §2º da LGPD.”</w:t>
      </w:r>
    </w:p>
    <w:p>
      <w:pPr>
        <w:pStyle w:val="BodyText"/>
      </w:pPr>
      <w:r>
        <w:t xml:space="preserve">“E tem o</w:t>
      </w:r>
      <w:r>
        <w:t xml:space="preserve"> </w:t>
      </w:r>
      <w:r>
        <w:rPr>
          <w:b/>
          <w:bCs/>
        </w:rPr>
        <w:t xml:space="preserve">Cidadão</w:t>
      </w:r>
      <w:r>
        <w:t xml:space="preserve"> </w:t>
      </w:r>
      <w:r>
        <w:t xml:space="preserve">— que carrega Salgado e Saito, Sarlet e Molinaro, e a nossa camada propedêutica. Exclusão digital — a negativa chega pelo Meu INSS, mas quem vive no campo, sem internet estável e sem letramento digital, precisa viajar até a agência só para entender o que houve. Literacia algorítmica — a pessoa nem sabe que foi uma máquina que decidiu. Notícia humana — ninguém ligou. Ninguém explicou. Foi um app.”</w:t>
      </w:r>
    </w:p>
    <w:p>
      <w:pPr>
        <w:pStyle w:val="BodyText"/>
      </w:pPr>
      <w:r>
        <w:rPr>
          <w:i/>
          <w:iCs/>
        </w:rPr>
        <w:t xml:space="preserve">Transição para a demo:</w:t>
      </w:r>
    </w:p>
    <w:p>
      <w:pPr>
        <w:pStyle w:val="BodyText"/>
      </w:pPr>
      <w:r>
        <w:t xml:space="preserve">“O conselho funciona em três fases.”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Fase 1:</w:t>
      </w:r>
      <w:r>
        <w:t xml:space="preserve"> </w:t>
      </w:r>
      <w:r>
        <w:t xml:space="preserve">cada conselheiro dá seu parecer. Quatro leituras independentes — e frequentemente conflitantes. A Defensoria fala em nulidade. O Cientista fala em viés de proxy. O Administrador fala em governança. O Cidadão fala em fome. Nenhum substitui o outro.”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Fase 2:</w:t>
      </w:r>
      <w:r>
        <w:t xml:space="preserve"> </w:t>
      </w:r>
      <w:r>
        <w:t xml:space="preserve">os conselheiros se avaliam anonimamente. Eles ranqueiam os argumentos uns dos outros por proteção aos direitos do cidadão. Isso produz um ranking que torna visíveis as tensões — e o Administrador Público consistentemente fica em último lugar. O que já é um achado.”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Fase 3:</w:t>
      </w:r>
      <w:r>
        <w:t xml:space="preserve"> </w:t>
      </w:r>
      <w:r>
        <w:t xml:space="preserve">um Relator sintetiza tudo num parecer final com fundamentação jurídica. Ele não substitui as quatro vozes — ele as organiza. E no fim, o sistema não decide pela pessoa. Ele</w:t>
      </w:r>
      <w:r>
        <w:t xml:space="preserve"> </w:t>
      </w:r>
      <w:r>
        <w:rPr>
          <w:b/>
          <w:bCs/>
        </w:rPr>
        <w:t xml:space="preserve">devolve a ela o contraditório que o Estado suprimiu</w:t>
      </w:r>
      <w:r>
        <w:t xml:space="preserve">.”</w:t>
      </w:r>
    </w:p>
    <w:p>
      <w:pPr>
        <w:pStyle w:val="BodyText"/>
      </w:pPr>
      <w:r>
        <w:rPr>
          <w:i/>
          <w:iCs/>
        </w:rPr>
        <w:t xml:space="preserve">Opera a demo — ou abre o fallback:</w:t>
      </w:r>
    </w:p>
    <w:p>
      <w:pPr>
        <w:pStyle w:val="BodyText"/>
      </w:pPr>
      <w:r>
        <w:t xml:space="preserve">“Vou mostrar.”</w:t>
      </w:r>
    </w:p>
    <w:p>
      <w:pPr>
        <w:pStyle w:val="BodyText"/>
      </w:pPr>
      <w:r>
        <w:rPr>
          <w:i/>
          <w:iCs/>
        </w:rPr>
        <w:t xml:space="preserve">[Abre o Conselho. Clica</w:t>
      </w:r>
      <w:r>
        <w:rPr>
          <w:i/>
          <w:iCs/>
        </w:rPr>
        <w:t xml:space="preserve"> </w:t>
      </w:r>
      <w:r>
        <w:rPr>
          <w:i/>
          <w:iCs/>
        </w:rPr>
        <w:t xml:space="preserve">‘INSS — Aposentadoria Rural Negada’</w:t>
      </w:r>
      <w:r>
        <w:rPr>
          <w:i/>
          <w:iCs/>
        </w:rPr>
        <w:t xml:space="preserve">. Navega Fase 1 → Fase 2 → Fase 3. Comenta os cards e o parecer final à medida que aparecem.]</w:t>
      </w:r>
    </w:p>
    <w:p>
      <w:pPr>
        <w:pStyle w:val="BodyText"/>
      </w:pPr>
      <w:r>
        <w:t xml:space="preserve">“Este protótipo é conceitual. Não é um produto comercial — é uma maquete acadêmica para discutir o que falta. Fala.BR e Conteste Aqui existem, mas nenhum deles explica o algoritmo ou gera estratégia jurídica. O valor está na integração crítica, não na invenção de cada peça isolada.”</w:t>
      </w:r>
    </w:p>
    <w:p>
      <w:pPr>
        <w:pStyle w:val="BodyText"/>
      </w:pPr>
      <w:r>
        <w:t xml:space="preserve">“Vinícius, o fecho.”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to-6-fecho-2-min"/>
    <w:p>
      <w:pPr>
        <w:pStyle w:val="Heading2"/>
      </w:pPr>
      <w:r>
        <w:t xml:space="preserve">ATO 6 — FECHO (~2 min)</w:t>
      </w:r>
    </w:p>
    <w:bookmarkStart w:id="32" w:name="slide-3334-tese-final"/>
    <w:p>
      <w:pPr>
        <w:pStyle w:val="Heading3"/>
      </w:pPr>
      <w:r>
        <w:t xml:space="preserve">SLIDE 33/34 · Tese final</w:t>
      </w:r>
    </w:p>
    <w:p>
      <w:pPr>
        <w:pStyle w:val="FirstParagraph"/>
      </w:pPr>
      <w:r>
        <w:rPr>
          <w:b/>
          <w:bCs/>
        </w:rPr>
        <w:t xml:space="preserve">Ana:</w:t>
      </w:r>
    </w:p>
    <w:p>
      <w:pPr>
        <w:pStyle w:val="BodyText"/>
      </w:pPr>
      <w:r>
        <w:t xml:space="preserve">“O protótipo é a resposta prática à pergunta do início. A Administração 4.0 não fica democrática só por ser digital. Ela só é legítima quando a decisão pode ser</w:t>
      </w:r>
      <w:r>
        <w:t xml:space="preserve"> </w:t>
      </w:r>
      <w:r>
        <w:rPr>
          <w:b/>
          <w:bCs/>
        </w:rPr>
        <w:t xml:space="preserve">compreendida, explicada e contestada</w:t>
      </w:r>
      <w:r>
        <w:t xml:space="preserve"> </w:t>
      </w:r>
      <w:r>
        <w:t xml:space="preserve">— e isso vale com mais força justamente porque o Estado é, ao mesmo tempo, quem faz a regra e quem mais a descumpre.”</w:t>
      </w:r>
    </w:p>
    <w:p>
      <w:pPr>
        <w:pStyle w:val="BodyText"/>
      </w:pPr>
      <w:r>
        <w:rPr>
          <w:b/>
          <w:bCs/>
        </w:rPr>
        <w:t xml:space="preserve">Vinícius:</w:t>
      </w:r>
    </w:p>
    <w:p>
      <w:pPr>
        <w:pStyle w:val="BodyText"/>
      </w:pPr>
      <w:r>
        <w:t xml:space="preserve">“A gente fecha com uma releitura constitucional dos institutos que atravessaram os quatro artigos.”</w:t>
      </w:r>
    </w:p>
    <w:p>
      <w:pPr>
        <w:pStyle w:val="BodyText"/>
      </w:pPr>
      <w:r>
        <w:t xml:space="preserve">“A</w:t>
      </w:r>
      <w:r>
        <w:t xml:space="preserve"> </w:t>
      </w:r>
      <w:r>
        <w:rPr>
          <w:b/>
          <w:bCs/>
        </w:rPr>
        <w:t xml:space="preserve">privacidade</w:t>
      </w:r>
      <w:r>
        <w:t xml:space="preserve">, no ambiente digital, não é só o direito de ser deixado em paz — é o direito de saber quais dados o Estado tem sobre você, com que finalidade ele os usa, e de exigir a correção do que está errado. O art. 5º, LXXIX, tornou isso direito fundamental expresso. Mas direito fundamental sem enforcement é promessa.”</w:t>
      </w:r>
    </w:p>
    <w:p>
      <w:pPr>
        <w:pStyle w:val="BodyText"/>
      </w:pPr>
      <w:r>
        <w:t xml:space="preserve">“A</w:t>
      </w:r>
      <w:r>
        <w:t xml:space="preserve"> </w:t>
      </w:r>
      <w:r>
        <w:rPr>
          <w:b/>
          <w:bCs/>
        </w:rPr>
        <w:t xml:space="preserve">publicidade</w:t>
      </w:r>
      <w:r>
        <w:t xml:space="preserve">, no governo digital, não se esgota em portal. É a obrigação de publicar em formato aberto, reutilizável, compreensível — e de não usar a classificação de sigilo como escudo contra o controle social. O art. 37,</w:t>
      </w:r>
      <w:r>
        <w:t xml:space="preserve"> </w:t>
      </w:r>
      <w:r>
        <w:rPr>
          <w:i/>
          <w:iCs/>
        </w:rPr>
        <w:t xml:space="preserve">caput</w:t>
      </w:r>
      <w:r>
        <w:t xml:space="preserve">, da Constituição coloca a publicidade ao lado da legalidade e da moralidade. Não é item decorativo.”</w:t>
      </w:r>
    </w:p>
    <w:p>
      <w:pPr>
        <w:pStyle w:val="BodyText"/>
      </w:pPr>
      <w:r>
        <w:t xml:space="preserve">“O</w:t>
      </w:r>
      <w:r>
        <w:t xml:space="preserve"> </w:t>
      </w:r>
      <w:r>
        <w:rPr>
          <w:b/>
          <w:bCs/>
        </w:rPr>
        <w:t xml:space="preserve">contraditório</w:t>
      </w:r>
      <w:r>
        <w:t xml:space="preserve">, na decisão automatizada, precisa ser prévio. Recurso posterior é paliativo. O art. 5º, LV, não foi escrito para o mundo analógico — foi escrito para qualquer mundo em que o Estado decida e o cidadão sofra. Se a máquina decide, a máquina precisa ser contestada.”</w:t>
      </w:r>
    </w:p>
    <w:p>
      <w:pPr>
        <w:pStyle w:val="BodyText"/>
      </w:pPr>
      <w:r>
        <w:t xml:space="preserve">“E a</w:t>
      </w:r>
      <w:r>
        <w:t xml:space="preserve"> </w:t>
      </w:r>
      <w:r>
        <w:rPr>
          <w:b/>
          <w:bCs/>
        </w:rPr>
        <w:t xml:space="preserve">motivação</w:t>
      </w:r>
      <w:r>
        <w:t xml:space="preserve">, no ato administrativo digital, não pode ser uma fórmula padronizada.</w:t>
      </w:r>
      <w:r>
        <w:t xml:space="preserve"> </w:t>
      </w:r>
      <w:r>
        <w:t xml:space="preserve">‘Inconsistência de dados’</w:t>
      </w:r>
      <w:r>
        <w:t xml:space="preserve">,</w:t>
      </w:r>
      <w:r>
        <w:t xml:space="preserve"> </w:t>
      </w:r>
      <w:r>
        <w:t xml:space="preserve">‘risco elevado’</w:t>
      </w:r>
      <w:r>
        <w:t xml:space="preserve">,</w:t>
      </w:r>
      <w:r>
        <w:t xml:space="preserve"> </w:t>
      </w:r>
      <w:r>
        <w:t xml:space="preserve">‘perfil incompatível’</w:t>
      </w:r>
      <w:r>
        <w:t xml:space="preserve"> </w:t>
      </w:r>
      <w:r>
        <w:t xml:space="preserve">— isso não é motivação. É placeholder. A Lei 9.784/99, art. 50, exige motivação explícita, clara e congruente. Um algoritmo que produz</w:t>
      </w:r>
      <w:r>
        <w:t xml:space="preserve"> </w:t>
      </w:r>
      <w:r>
        <w:t xml:space="preserve">‘indeferido’</w:t>
      </w:r>
      <w:r>
        <w:t xml:space="preserve"> </w:t>
      </w:r>
      <w:r>
        <w:t xml:space="preserve">sem dizer por quê viola esse artigo tanto quanto um despacho manuscrito que só diz</w:t>
      </w:r>
      <w:r>
        <w:t xml:space="preserve"> </w:t>
      </w:r>
      <w:r>
        <w:t xml:space="preserve">‘indefiro’</w:t>
      </w:r>
      <w:r>
        <w:t xml:space="preserve">.”</w:t>
      </w:r>
    </w:p>
    <w:p>
      <w:pPr>
        <w:pStyle w:val="BodyText"/>
      </w:pPr>
      <w:r>
        <w:t xml:space="preserve">“A Administração Pública digital está decidindo</w:t>
      </w:r>
      <w:r>
        <w:t xml:space="preserve"> </w:t>
      </w:r>
      <w:r>
        <w:rPr>
          <w:b/>
          <w:bCs/>
        </w:rPr>
        <w:t xml:space="preserve">melhor</w:t>
      </w:r>
      <w:r>
        <w:t xml:space="preserve"> </w:t>
      </w:r>
      <w:r>
        <w:t xml:space="preserve">— ou apenas decidindo</w:t>
      </w:r>
      <w:r>
        <w:t xml:space="preserve"> </w:t>
      </w:r>
      <w:r>
        <w:rPr>
          <w:b/>
          <w:bCs/>
        </w:rPr>
        <w:t xml:space="preserve">mais rápido</w:t>
      </w:r>
      <w:r>
        <w:t xml:space="preserve">, com menos chance de compreensão, contestação e participação democrática?”</w:t>
      </w:r>
    </w:p>
    <w:p>
      <w:pPr>
        <w:pStyle w:val="BodyText"/>
      </w:pPr>
      <w:r>
        <w:t xml:space="preserve">“Fica a pergunta. Obrigado.”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ixa-de-munição-para-o-debate"/>
    <w:p>
      <w:pPr>
        <w:pStyle w:val="Heading2"/>
      </w:pPr>
      <w:r>
        <w:t xml:space="preserve">CAIXA DE MUNIÇÃO (para o debate)</w:t>
      </w:r>
    </w:p>
    <w:p>
      <w:pPr>
        <w:pStyle w:val="FirstParagraph"/>
      </w:pPr>
      <w:r>
        <w:rPr>
          <w:b/>
          <w:bCs/>
        </w:rPr>
        <w:t xml:space="preserve">Robodebt (Austrália):</w:t>
      </w:r>
      <w:r>
        <w:t xml:space="preserve"> </w:t>
      </w:r>
      <w:r>
        <w:t xml:space="preserve">O governo australiano usou um algoritmo para calcular dívidas de benefícios sociais e emitir cobranças automáticas. Sem checagem humana. Resultado: centenas de milhares de cobranças indevidas, suicídios, dano social massivo. O algoritmo errou, e ninguém revisou. Hoje é estudo de caso global de falha de governança algorítmica.</w:t>
      </w:r>
    </w:p>
    <w:p>
      <w:pPr>
        <w:pStyle w:val="BodyText"/>
      </w:pPr>
      <w:r>
        <w:rPr>
          <w:b/>
          <w:bCs/>
        </w:rPr>
        <w:t xml:space="preserve">Juiz do TJ/MA:</w:t>
      </w:r>
      <w:r>
        <w:t xml:space="preserve"> </w:t>
      </w:r>
      <w:r>
        <w:t xml:space="preserve">De 80 para 969 sentenças usando IA. Decisões padronizadas, precedentes inexistentes (alucinação do modelo), fundamentação genérica. Quem edita a regra — o CNJ, com a Resolução 615/2025 — é o ramo que a viola. Regulador ⇄ Regulado no Judiciário.</w:t>
      </w:r>
    </w:p>
    <w:p>
      <w:pPr>
        <w:pStyle w:val="BodyText"/>
      </w:pPr>
      <w:r>
        <w:rPr>
          <w:b/>
          <w:bCs/>
        </w:rPr>
        <w:t xml:space="preserve">Palantir / Enter (unicórnio jurídico de IA):</w:t>
      </w:r>
      <w:r>
        <w:t xml:space="preserve"> </w:t>
      </w:r>
      <w:r>
        <w:t xml:space="preserve">O mercado de IA jurídica no Brasil cresce mais rápido que a regulação. O Estado contrata plataformas cujo código-fonte é segredo industrial. Isso é terceirização da discricionariedade administrativa.</w:t>
      </w:r>
      <w:r>
        <w:t xml:space="preserve"> </w:t>
      </w:r>
      <w:r>
        <w:t xml:space="preserve">‘O protagonismo privado não exime o Estado’</w:t>
      </w:r>
      <w:r>
        <w:t xml:space="preserve"> </w:t>
      </w:r>
      <w:r>
        <w:t xml:space="preserve">— mas o Estado está cada vez mais confortável sendo coadjuvante.</w:t>
      </w:r>
    </w:p>
    <w:p>
      <w:pPr>
        <w:pStyle w:val="BodyText"/>
      </w:pPr>
      <w:r>
        <w:rPr>
          <w:b/>
          <w:bCs/>
        </w:rPr>
        <w:t xml:space="preserve">SyRI (Holanda, Haia 2020):</w:t>
      </w:r>
      <w:r>
        <w:t xml:space="preserve"> </w:t>
      </w:r>
      <w:r>
        <w:t xml:space="preserve">O precedente internacional. O tribunal holandês proibiu o sistema de detecção de fraude que focava em bairros pobres e imigrantes. Violava privacidade, finalidade, minimização e devido processo. A sentença é um modelo de como o Judiciário pode conter a opacidade algorítmica do Executivo.</w:t>
      </w:r>
      <w:r>
        <w:t xml:space="preserve"> </w:t>
      </w:r>
      <w:r>
        <w:rPr>
          <w:b/>
          <w:bCs/>
        </w:rPr>
        <w:t xml:space="preserve">Lá, um tribunal conteve o Estado. Aqui, ainda estamos no estágio da denúncia.</w:t>
      </w:r>
    </w:p>
    <w:p>
      <w:r>
        <w:pict>
          <v:rect style="width:0;height:1.5pt" o:hralign="center" o:hrstd="t" o:hr="t"/>
        </w:pict>
      </w:r>
    </w:p>
    <w:bookmarkEnd w:id="34"/>
    <w:bookmarkStart w:id="35" w:name="mapa-rápido-slide-quem-fala"/>
    <w:p>
      <w:pPr>
        <w:pStyle w:val="Heading2"/>
      </w:pPr>
      <w:r>
        <w:t xml:space="preserve">MAPA RÁPIDO: slide → quem fala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Conteúdo resumido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Capa, apresentação dos 4 artigos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Pergunta orientadora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Chave de leitura: Regulador ⇄ Regulado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Divisor Parte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05–08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Salgado &amp; Saito: privacidade, 3 dimensões, 4 gerações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★ Nossa leitura I: ADI 6.387, persona Cidadão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10–13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Cristóvam &amp; Hahn: Moore/Dunleavy/OCDE, INDA, 3 municípios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★ Nossa leitura II: opacidade seletiva, persona 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Síntese Parte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Divisor Parte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17–19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Sarlet &amp; Molinaro: 5 campos, LGPD pré-big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★ Nossa leitura III: 251M CPFs, persona Cidadão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21–24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Tavares et al.: IA×algoritmo, 3 tipologias, explicabilidade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25–28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★ Nossa leitura IV: INSS, Black Box, SyRI, anuncia Bloco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Propedêutica: literacia algorítmica + notícia humana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31–33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Demo: 4 personas × 4 artigos, Fase 1→2→3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33/34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Fecho: compreendida, explicada, contestada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33/34</w:t>
            </w:r>
          </w:p>
        </w:tc>
        <w:tc>
          <w:tcPr/>
          <w:p>
            <w:pPr>
              <w:pStyle w:val="Compact"/>
            </w:pPr>
            <w:r>
              <w:t xml:space="preserve">Vinícius</w:t>
            </w:r>
          </w:p>
        </w:tc>
        <w:tc>
          <w:tcPr/>
          <w:p>
            <w:pPr>
              <w:pStyle w:val="Compact"/>
            </w:pPr>
            <w:r>
              <w:t xml:space="preserve">Releitura constitucional + pergunta para debate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Script consolidado em 25 de maio de 2026. Para ser falado, não lido. Tempo total estimado: ~40 minutos de exposição.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Completo — Seminário 8</dc:title>
  <dc:creator/>
  <cp:keywords/>
  <dcterms:created xsi:type="dcterms:W3CDTF">2026-05-25T21:22:56Z</dcterms:created>
  <dcterms:modified xsi:type="dcterms:W3CDTF">2026-05-25T21:22:56Z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