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https://doi.org/10.5281/zenodo.23323560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21169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Validated against ground truth.</w:t>
      </w:r>
      <w:r>
        <w:t xml:space="preserve"> </w:t>
      </w:r>
      <w:r>
        <w:t xml:space="preserve">The inventory path is not a demonstrator. On</w:t>
      </w:r>
      <w:r>
        <w:t xml:space="preserve"> </w:t>
      </w:r>
      <w:r>
        <w:t xml:space="preserve">two TLS plots of the SegmentedForests dataset [12], in which every point is manually</w:t>
      </w:r>
      <w:r>
        <w:t xml:space="preserve"> </w:t>
      </w:r>
      <w:r>
        <w:t xml:space="preserve">classified, stem detection can be scored for accuracy rather than mere agreement</w:t>
      </w:r>
      <w:r>
        <w:t xml:space="preserve"> </w:t>
      </w:r>
      <w:r>
        <w:t xml:space="preserve">(recall / precision; a hit is a detection within 0.6 m of a reference stem):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plot_06 (68 stems)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plot_07 (128 stems)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numpy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60.3 % / 42.3 %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34.4 % / 74.6 %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stem-continuity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70.9 %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lidR [13] (own implementation)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66.2 % / 45.9 %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CspStandSegmentation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57.4 % / 27.7 %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3DFin</w:t>
            </w:r>
            <w:r>
              <w:t xml:space="preserve"> </w:t>
            </w:r>
            <w:r>
              <w:t xml:space="preserve">[11] (authors’ configuration)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98.5 % / 95.7 %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94.5 % / 100 %</w:t>
            </w:r>
          </w:p>
        </w:tc>
      </w:tr>
    </w:tbl>
    <w:p>
      <w:pPr>
        <w:pStyle w:val="BodyText"/>
      </w:pPr>
      <w:r>
        <w:t xml:space="preserve">We report the uncomfortable result openly: the established domain tool 3DFin</w:t>
      </w:r>
      <w:r>
        <w:t xml:space="preserve"> </w:t>
      </w:r>
      <w:r>
        <w:t xml:space="preserve">clearly outperforms our own baseline, consistently across both plots, and the</w:t>
      </w:r>
      <w:r>
        <w:t xml:space="preserve"> </w:t>
      </w:r>
      <w:r>
        <w:t xml:space="preserve">chain therefore uses it as the detector on plot-wide TLS clouds rather than</w:t>
      </w:r>
      <w:r>
        <w:t xml:space="preserve"> </w:t>
      </w:r>
      <w:r>
        <w:t xml:space="preserve">merely as a comparison. Because the dataset also labels shrubs, downed wood,</w:t>
      </w:r>
      <w:r>
        <w:t xml:space="preserve"> </w:t>
      </w:r>
      <w:r>
        <w:t xml:space="preserve">rocks, and stakes, it is further verifiable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the weaker methods detect</w:t>
      </w:r>
      <w:r>
        <w:t xml:space="preserve"> </w:t>
      </w:r>
      <w:r>
        <w:t xml:space="preserve">instead of stems — for the baseline on plot_06, half of the false alarms sit on</w:t>
      </w:r>
      <w:r>
        <w:t xml:space="preserve"> </w:t>
      </w:r>
      <w:r>
        <w:t xml:space="preserve">shrub and ground vegetation.</w:t>
      </w:r>
    </w:p>
    <w:p>
      <w:pPr>
        <w:pStyle w:val="BodyText"/>
      </w:pPr>
      <w:r>
        <w:rPr>
          <w:iCs/>
          <w:i/>
        </w:rPr>
        <w:t xml:space="preserve">Scope.</w:t>
      </w:r>
      <w:r>
        <w:t xml:space="preserve"> </w:t>
      </w:r>
      <w:r>
        <w:t xml:space="preserve">This superiority is conditional on circumferential coverage. On our own</w:t>
      </w:r>
      <w:r>
        <w:t xml:space="preserve"> </w:t>
      </w:r>
      <w:r>
        <w:t xml:space="preserve">Renon stand (median 180° arc versus 280–360° in the reference plots) 3DFin</w:t>
      </w:r>
      <w:r>
        <w:t xml:space="preserve"> </w:t>
      </w:r>
      <w:r>
        <w:t xml:space="preserve">refuses a diameter for 29 of 37 detections — correct behaviour, since the data do</w:t>
      </w:r>
      <w:r>
        <w:t xml:space="preserve"> </w:t>
      </w:r>
      <w:r>
        <w:t xml:space="preserve">not support one; a sweep over the ground-model resolution (cloth simulation</w:t>
      </w:r>
      <w:r>
        <w:t xml:space="preserve"> </w:t>
      </w:r>
      <w:r>
        <w:t xml:space="preserve">filter [14]) does not change this.</w:t>
      </w:r>
      <w:r>
        <w:t xml:space="preserve"> </w:t>
      </w:r>
      <w:r>
        <w:t xml:space="preserve">Our own methods still return numbers there, resting on 180° arcs — a statement</w:t>
      </w:r>
      <w:r>
        <w:t xml:space="preserve"> </w:t>
      </w:r>
      <w:r>
        <w:t xml:space="preserve">about the acquisition, not about the methods.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555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[15, 16]).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[17]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https://doi.org/10.5281/zenodo.23323560.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Roussel, J.-R., et al. (2020). lidR: An R package for analysis of Airborne</w:t>
      </w:r>
      <w:r>
        <w:t xml:space="preserve"> </w:t>
      </w:r>
      <w:r>
        <w:t xml:space="preserve">Laser Scanning (ALS) data.</w:t>
      </w:r>
      <w:r>
        <w:t xml:space="preserve"> </w:t>
      </w:r>
      <w:r>
        <w:rPr>
          <w:iCs/>
          <w:i/>
        </w:rPr>
        <w:t xml:space="preserve">Remote Sensing of Environment</w:t>
      </w:r>
      <w:r>
        <w:t xml:space="preserve"> </w:t>
      </w:r>
      <w:r>
        <w:t xml:space="preserve">251, 112061.</w:t>
      </w:r>
      <w:r>
        <w:t xml:space="preserve"> </w:t>
      </w:r>
      <w:r>
        <w:t xml:space="preserve">https://doi.org/10.1016/j.rse.2020.112061</w:t>
      </w:r>
    </w:p>
    <w:p>
      <w:pPr>
        <w:pStyle w:val="BodyText"/>
      </w:pPr>
      <w:r>
        <w:t xml:space="preserve">[14] Zhang, W., et al. (2016). An easy-to-use airborne LiDAR data filtering method</w:t>
      </w:r>
      <w:r>
        <w:t xml:space="preserve"> </w:t>
      </w:r>
      <w:r>
        <w:t xml:space="preserve">based on cloth simulation.</w:t>
      </w:r>
      <w:r>
        <w:t xml:space="preserve"> </w:t>
      </w:r>
      <w:r>
        <w:rPr>
          <w:iCs/>
          <w:i/>
        </w:rPr>
        <w:t xml:space="preserve">Remote Sensing</w:t>
      </w:r>
      <w:r>
        <w:t xml:space="preserve"> </w:t>
      </w:r>
      <w:r>
        <w:t xml:space="preserve">8(6), 501.</w:t>
      </w:r>
      <w:r>
        <w:t xml:space="preserve"> </w:t>
      </w:r>
      <w:r>
        <w:t xml:space="preserve">https://doi.org/10.3390/rs8060501</w:t>
      </w:r>
    </w:p>
    <w:p>
      <w:pPr>
        <w:pStyle w:val="BodyText"/>
      </w:pPr>
      <w:r>
        <w:t xml:space="preserve">[15]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[16]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[17]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[10]–[14], [17].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2026-10-12T18:09:01Z</dcterms:created>
  <dcterms:modified xsi:type="dcterms:W3CDTF">2026-10-12T18:09:01Z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