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DF3E" w14:textId="77777777" w:rsidR="008B55FA" w:rsidRPr="008B55FA" w:rsidRDefault="008B55FA" w:rsidP="008B55FA">
      <w:pPr>
        <w:jc w:val="center"/>
        <w:rPr>
          <w:sz w:val="28"/>
          <w:szCs w:val="28"/>
        </w:rPr>
      </w:pPr>
      <w:r w:rsidRPr="008B55FA">
        <w:rPr>
          <w:sz w:val="28"/>
          <w:szCs w:val="28"/>
        </w:rPr>
        <w:t>7PAM2000 Applied Data Science 1</w:t>
      </w:r>
    </w:p>
    <w:p w14:paraId="4138D84F" w14:textId="13482857" w:rsidR="0027730B" w:rsidRDefault="008B55FA" w:rsidP="008B55FA">
      <w:pPr>
        <w:jc w:val="center"/>
        <w:rPr>
          <w:sz w:val="28"/>
          <w:szCs w:val="28"/>
        </w:rPr>
      </w:pPr>
      <w:r w:rsidRPr="008B55FA">
        <w:rPr>
          <w:sz w:val="28"/>
          <w:szCs w:val="28"/>
        </w:rPr>
        <w:t>Assignment 1: Visualisation</w:t>
      </w:r>
    </w:p>
    <w:p w14:paraId="3250D3BB" w14:textId="368248E2" w:rsidR="0016728E" w:rsidRDefault="0016728E" w:rsidP="008B55FA">
      <w:pPr>
        <w:jc w:val="center"/>
        <w:rPr>
          <w:sz w:val="28"/>
          <w:szCs w:val="28"/>
        </w:rPr>
      </w:pPr>
      <w:r>
        <w:rPr>
          <w:sz w:val="28"/>
          <w:szCs w:val="28"/>
        </w:rPr>
        <w:t xml:space="preserve">Muhammad </w:t>
      </w:r>
      <w:proofErr w:type="spellStart"/>
      <w:r>
        <w:rPr>
          <w:sz w:val="28"/>
          <w:szCs w:val="28"/>
        </w:rPr>
        <w:t>Awais</w:t>
      </w:r>
      <w:proofErr w:type="spellEnd"/>
      <w:r w:rsidR="00AB1C76">
        <w:rPr>
          <w:sz w:val="28"/>
          <w:szCs w:val="28"/>
        </w:rPr>
        <w:t xml:space="preserve">: </w:t>
      </w:r>
      <w:r w:rsidR="00AB1C76" w:rsidRPr="00AB1C76">
        <w:rPr>
          <w:sz w:val="28"/>
          <w:szCs w:val="28"/>
        </w:rPr>
        <w:t>22027179</w:t>
      </w:r>
    </w:p>
    <w:p w14:paraId="6962016F" w14:textId="77777777" w:rsidR="00AA61B7" w:rsidRPr="00AA61B7" w:rsidRDefault="00AA61B7" w:rsidP="00AA61B7">
      <w:pPr>
        <w:rPr>
          <w:sz w:val="28"/>
          <w:szCs w:val="28"/>
        </w:rPr>
      </w:pPr>
      <w:r>
        <w:rPr>
          <w:sz w:val="28"/>
          <w:szCs w:val="28"/>
        </w:rPr>
        <w:t xml:space="preserve">Introduction: </w:t>
      </w:r>
    </w:p>
    <w:p w14:paraId="63BBB566" w14:textId="5FB17D28" w:rsidR="00AA61B7" w:rsidRPr="00066DBE" w:rsidRDefault="00AA61B7" w:rsidP="004D797A">
      <w:pPr>
        <w:jc w:val="both"/>
        <w:rPr>
          <w:sz w:val="24"/>
          <w:szCs w:val="24"/>
        </w:rPr>
      </w:pPr>
      <w:r w:rsidRPr="00066DBE">
        <w:rPr>
          <w:sz w:val="24"/>
          <w:szCs w:val="24"/>
        </w:rPr>
        <w:t>The World Bank climate change dataset is a comprehensive collection of data that provides valuable insights into the various aspects of climate change across countries and regions around the world. This dataset encompasses a wide range of indicators, including greenhouse gas emissions, energy consumption, renewable energy capacity, forest area, temperature changes, sea level rise, and more. It offers a rich resource for researchers, policymakers, and stakeholders to analyze and monitor the impacts of climate change, track progress in mitigation and adaptation efforts, and make informed decisions to address the challenges posed by climate change. The World Bank climate change dataset serves as a crucial tool in understanding the global trends, patterns, and dynamics of climate change, facilitating evidence-based actions and policies towards building a more sustainable and resilient future.</w:t>
      </w:r>
    </w:p>
    <w:p w14:paraId="1EAEA95D" w14:textId="4C59F7B9" w:rsidR="008B55FA" w:rsidRDefault="004D797A" w:rsidP="00AA61B7">
      <w:pPr>
        <w:pStyle w:val="ListParagraph"/>
        <w:numPr>
          <w:ilvl w:val="0"/>
          <w:numId w:val="2"/>
        </w:numPr>
        <w:rPr>
          <w:sz w:val="28"/>
          <w:szCs w:val="28"/>
        </w:rPr>
      </w:pPr>
      <w:r>
        <w:rPr>
          <w:sz w:val="28"/>
          <w:szCs w:val="28"/>
        </w:rPr>
        <w:t>Line Plot:</w:t>
      </w:r>
    </w:p>
    <w:p w14:paraId="0C8C1199" w14:textId="77777777" w:rsidR="00B01BE4" w:rsidRDefault="00AA61B7" w:rsidP="00B01BE4">
      <w:pPr>
        <w:pStyle w:val="ListParagraph"/>
        <w:keepNext/>
      </w:pPr>
      <w:r>
        <w:rPr>
          <w:noProof/>
        </w:rPr>
        <w:drawing>
          <wp:inline distT="0" distB="0" distL="0" distR="0" wp14:anchorId="5FDCA098" wp14:editId="1B415E05">
            <wp:extent cx="5731510" cy="4023995"/>
            <wp:effectExtent l="0" t="0" r="0" b="0"/>
            <wp:docPr id="200415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9452" name=""/>
                    <pic:cNvPicPr/>
                  </pic:nvPicPr>
                  <pic:blipFill>
                    <a:blip r:embed="rId5"/>
                    <a:stretch>
                      <a:fillRect/>
                    </a:stretch>
                  </pic:blipFill>
                  <pic:spPr>
                    <a:xfrm>
                      <a:off x="0" y="0"/>
                      <a:ext cx="5731510" cy="4023995"/>
                    </a:xfrm>
                    <a:prstGeom prst="rect">
                      <a:avLst/>
                    </a:prstGeom>
                  </pic:spPr>
                </pic:pic>
              </a:graphicData>
            </a:graphic>
          </wp:inline>
        </w:drawing>
      </w:r>
    </w:p>
    <w:p w14:paraId="5255CEAA" w14:textId="6B02CC47" w:rsidR="00AA61B7" w:rsidRPr="0016728E" w:rsidRDefault="00B01BE4" w:rsidP="0016728E">
      <w:pPr>
        <w:pStyle w:val="ListParagraph"/>
        <w:jc w:val="center"/>
        <w:rPr>
          <w:sz w:val="24"/>
          <w:szCs w:val="24"/>
        </w:rPr>
      </w:pPr>
      <w:r w:rsidRPr="0016728E">
        <w:rPr>
          <w:sz w:val="24"/>
          <w:szCs w:val="24"/>
        </w:rPr>
        <w:t xml:space="preserve">Figure </w:t>
      </w:r>
      <w:r w:rsidRPr="0016728E">
        <w:rPr>
          <w:sz w:val="24"/>
          <w:szCs w:val="24"/>
        </w:rPr>
        <w:fldChar w:fldCharType="begin"/>
      </w:r>
      <w:r w:rsidRPr="0016728E">
        <w:rPr>
          <w:sz w:val="24"/>
          <w:szCs w:val="24"/>
        </w:rPr>
        <w:instrText xml:space="preserve"> SEQ Figure \* ARABIC </w:instrText>
      </w:r>
      <w:r w:rsidRPr="0016728E">
        <w:rPr>
          <w:sz w:val="24"/>
          <w:szCs w:val="24"/>
        </w:rPr>
        <w:fldChar w:fldCharType="separate"/>
      </w:r>
      <w:r w:rsidR="000856C5">
        <w:rPr>
          <w:noProof/>
          <w:sz w:val="24"/>
          <w:szCs w:val="24"/>
        </w:rPr>
        <w:t>1</w:t>
      </w:r>
      <w:r w:rsidRPr="0016728E">
        <w:rPr>
          <w:sz w:val="24"/>
          <w:szCs w:val="24"/>
        </w:rPr>
        <w:fldChar w:fldCharType="end"/>
      </w:r>
      <w:r w:rsidR="0016728E" w:rsidRPr="0016728E">
        <w:rPr>
          <w:sz w:val="24"/>
          <w:szCs w:val="24"/>
        </w:rPr>
        <w:t xml:space="preserve">: </w:t>
      </w:r>
      <w:r w:rsidR="0016728E" w:rsidRPr="00066DBE">
        <w:rPr>
          <w:sz w:val="24"/>
          <w:szCs w:val="24"/>
        </w:rPr>
        <w:t>urbanization and concentration of population</w:t>
      </w:r>
    </w:p>
    <w:p w14:paraId="19573254" w14:textId="77777777" w:rsidR="0016728E" w:rsidRDefault="0016728E" w:rsidP="00066DBE">
      <w:pPr>
        <w:pStyle w:val="ListParagraph"/>
        <w:jc w:val="both"/>
        <w:rPr>
          <w:sz w:val="24"/>
          <w:szCs w:val="24"/>
        </w:rPr>
      </w:pPr>
    </w:p>
    <w:p w14:paraId="709B50D7" w14:textId="0B1E029F" w:rsidR="00AA61B7" w:rsidRDefault="004D797A" w:rsidP="00066DBE">
      <w:pPr>
        <w:pStyle w:val="ListParagraph"/>
        <w:jc w:val="both"/>
        <w:rPr>
          <w:sz w:val="24"/>
          <w:szCs w:val="24"/>
        </w:rPr>
      </w:pPr>
      <w:r w:rsidRPr="00066DBE">
        <w:rPr>
          <w:sz w:val="24"/>
          <w:szCs w:val="24"/>
        </w:rPr>
        <w:t>This indicator provides insights into the level of urbanization and concentration of population in large cities within a country.</w:t>
      </w:r>
      <w:r w:rsidRPr="00066DBE">
        <w:rPr>
          <w:sz w:val="24"/>
          <w:szCs w:val="24"/>
        </w:rPr>
        <w:t xml:space="preserve"> This line plot displays a comparison of seven countries such as Afghanistan, Argentina, Australia, Germany, Japan, </w:t>
      </w:r>
      <w:r w:rsidR="00066DBE" w:rsidRPr="00066DBE">
        <w:rPr>
          <w:sz w:val="24"/>
          <w:szCs w:val="24"/>
        </w:rPr>
        <w:t>Mexico,</w:t>
      </w:r>
      <w:r w:rsidRPr="00066DBE">
        <w:rPr>
          <w:sz w:val="24"/>
          <w:szCs w:val="24"/>
        </w:rPr>
        <w:t xml:space="preserve"> and Sub-</w:t>
      </w:r>
      <w:r w:rsidRPr="00066DBE">
        <w:rPr>
          <w:sz w:val="24"/>
          <w:szCs w:val="24"/>
        </w:rPr>
        <w:lastRenderedPageBreak/>
        <w:t>Saharan Africa with the years ranging from 1960 till 2021. As we can see in the graph, only Sub-Saharan Africa and Japan have made significant improvements. For other countries the indicator is either uniform or with a minimal change.</w:t>
      </w:r>
    </w:p>
    <w:p w14:paraId="12333125" w14:textId="77777777" w:rsidR="00B01BE4" w:rsidRPr="00066DBE" w:rsidRDefault="00B01BE4" w:rsidP="00066DBE">
      <w:pPr>
        <w:pStyle w:val="ListParagraph"/>
        <w:jc w:val="both"/>
        <w:rPr>
          <w:sz w:val="24"/>
          <w:szCs w:val="24"/>
        </w:rPr>
      </w:pPr>
    </w:p>
    <w:p w14:paraId="716E058C" w14:textId="1C01387F" w:rsidR="00AA61B7" w:rsidRDefault="00066DBE" w:rsidP="00AA61B7">
      <w:pPr>
        <w:pStyle w:val="ListParagraph"/>
        <w:numPr>
          <w:ilvl w:val="0"/>
          <w:numId w:val="2"/>
        </w:numPr>
        <w:rPr>
          <w:sz w:val="28"/>
          <w:szCs w:val="28"/>
        </w:rPr>
      </w:pPr>
      <w:r>
        <w:rPr>
          <w:sz w:val="28"/>
          <w:szCs w:val="28"/>
        </w:rPr>
        <w:t>Other two Visualizations:</w:t>
      </w:r>
    </w:p>
    <w:p w14:paraId="3F3DAA01" w14:textId="1F5EEC22" w:rsidR="00AA61B7" w:rsidRDefault="00AA61B7" w:rsidP="00AA61B7">
      <w:pPr>
        <w:pStyle w:val="ListParagraph"/>
        <w:numPr>
          <w:ilvl w:val="0"/>
          <w:numId w:val="3"/>
        </w:numPr>
        <w:rPr>
          <w:sz w:val="28"/>
          <w:szCs w:val="28"/>
        </w:rPr>
      </w:pPr>
      <w:r>
        <w:rPr>
          <w:sz w:val="28"/>
          <w:szCs w:val="28"/>
        </w:rPr>
        <w:t>Pie Chart</w:t>
      </w:r>
    </w:p>
    <w:p w14:paraId="1751A12C" w14:textId="77777777" w:rsidR="000856C5" w:rsidRDefault="00AA61B7" w:rsidP="000856C5">
      <w:pPr>
        <w:keepNext/>
        <w:ind w:left="720"/>
      </w:pPr>
      <w:r>
        <w:rPr>
          <w:noProof/>
        </w:rPr>
        <w:drawing>
          <wp:inline distT="0" distB="0" distL="0" distR="0" wp14:anchorId="1C4F2534" wp14:editId="23530180">
            <wp:extent cx="5381625" cy="4991100"/>
            <wp:effectExtent l="0" t="0" r="9525" b="0"/>
            <wp:docPr id="14353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327" name=""/>
                    <pic:cNvPicPr/>
                  </pic:nvPicPr>
                  <pic:blipFill>
                    <a:blip r:embed="rId6"/>
                    <a:stretch>
                      <a:fillRect/>
                    </a:stretch>
                  </pic:blipFill>
                  <pic:spPr>
                    <a:xfrm>
                      <a:off x="0" y="0"/>
                      <a:ext cx="5381625" cy="4991100"/>
                    </a:xfrm>
                    <a:prstGeom prst="rect">
                      <a:avLst/>
                    </a:prstGeom>
                  </pic:spPr>
                </pic:pic>
              </a:graphicData>
            </a:graphic>
          </wp:inline>
        </w:drawing>
      </w:r>
    </w:p>
    <w:p w14:paraId="5EED3D29" w14:textId="60E90ECC" w:rsidR="00AA61B7" w:rsidRDefault="000856C5" w:rsidP="000856C5">
      <w:pPr>
        <w:pStyle w:val="ListParagraph"/>
        <w:jc w:val="center"/>
        <w:rPr>
          <w:sz w:val="24"/>
          <w:szCs w:val="24"/>
        </w:rPr>
      </w:pPr>
      <w:r w:rsidRPr="000856C5">
        <w:rPr>
          <w:sz w:val="24"/>
          <w:szCs w:val="24"/>
        </w:rPr>
        <w:t xml:space="preserve">Figure </w:t>
      </w:r>
      <w:r w:rsidRPr="000856C5">
        <w:rPr>
          <w:sz w:val="24"/>
          <w:szCs w:val="24"/>
        </w:rPr>
        <w:fldChar w:fldCharType="begin"/>
      </w:r>
      <w:r w:rsidRPr="000856C5">
        <w:rPr>
          <w:sz w:val="24"/>
          <w:szCs w:val="24"/>
        </w:rPr>
        <w:instrText xml:space="preserve"> SEQ Figure \* ARABIC </w:instrText>
      </w:r>
      <w:r w:rsidRPr="000856C5">
        <w:rPr>
          <w:sz w:val="24"/>
          <w:szCs w:val="24"/>
        </w:rPr>
        <w:fldChar w:fldCharType="separate"/>
      </w:r>
      <w:r>
        <w:rPr>
          <w:noProof/>
          <w:sz w:val="24"/>
          <w:szCs w:val="24"/>
        </w:rPr>
        <w:t>2</w:t>
      </w:r>
      <w:r w:rsidRPr="000856C5">
        <w:rPr>
          <w:sz w:val="24"/>
          <w:szCs w:val="24"/>
        </w:rPr>
        <w:fldChar w:fldCharType="end"/>
      </w:r>
      <w:r w:rsidRPr="000856C5">
        <w:rPr>
          <w:sz w:val="24"/>
          <w:szCs w:val="24"/>
        </w:rPr>
        <w:t xml:space="preserve">: </w:t>
      </w:r>
      <w:r w:rsidRPr="00B01BE4">
        <w:rPr>
          <w:sz w:val="24"/>
          <w:szCs w:val="24"/>
        </w:rPr>
        <w:t>Terrestrial and marine protected areas (% of total territorial area</w:t>
      </w:r>
    </w:p>
    <w:p w14:paraId="192DFD0D" w14:textId="77777777" w:rsidR="000856C5" w:rsidRPr="000856C5" w:rsidRDefault="000856C5" w:rsidP="000856C5">
      <w:pPr>
        <w:pStyle w:val="ListParagraph"/>
        <w:jc w:val="center"/>
        <w:rPr>
          <w:sz w:val="24"/>
          <w:szCs w:val="24"/>
        </w:rPr>
      </w:pPr>
    </w:p>
    <w:p w14:paraId="4D8503F6" w14:textId="1CFBDAC2" w:rsidR="00B01BE4" w:rsidRPr="00B01BE4" w:rsidRDefault="00B01BE4" w:rsidP="00B01BE4">
      <w:pPr>
        <w:pStyle w:val="ListParagraph"/>
        <w:jc w:val="both"/>
        <w:rPr>
          <w:sz w:val="24"/>
          <w:szCs w:val="24"/>
        </w:rPr>
      </w:pPr>
      <w:r w:rsidRPr="00B01BE4">
        <w:rPr>
          <w:sz w:val="24"/>
          <w:szCs w:val="24"/>
        </w:rPr>
        <w:t>Th</w:t>
      </w:r>
      <w:r>
        <w:rPr>
          <w:sz w:val="24"/>
          <w:szCs w:val="24"/>
        </w:rPr>
        <w:t>is</w:t>
      </w:r>
      <w:r w:rsidRPr="00B01BE4">
        <w:rPr>
          <w:sz w:val="24"/>
          <w:szCs w:val="24"/>
        </w:rPr>
        <w:t xml:space="preserve"> pie chart represents the distribution of "Terrestrial and marine protected areas (% of total territorial area)" across different countries. This indicator measures the percentage of a country's total territorial area that is designated as protected areas, including both terrestrial (land-based) and marine (oceanic) environments.</w:t>
      </w:r>
      <w:r>
        <w:rPr>
          <w:sz w:val="24"/>
          <w:szCs w:val="24"/>
        </w:rPr>
        <w:t xml:space="preserve"> The largest area which is 32% is covered by Germany, followed by France with 30%. The lowest area covered by Indonesia is 4%.</w:t>
      </w:r>
    </w:p>
    <w:p w14:paraId="0AFE11E2" w14:textId="77777777" w:rsidR="00B01BE4" w:rsidRDefault="00B01BE4" w:rsidP="00B01BE4">
      <w:pPr>
        <w:pStyle w:val="ListParagraph"/>
        <w:ind w:left="1080"/>
        <w:rPr>
          <w:sz w:val="28"/>
          <w:szCs w:val="28"/>
        </w:rPr>
      </w:pPr>
    </w:p>
    <w:p w14:paraId="1797EDD2" w14:textId="50F120D2" w:rsidR="00AA61B7" w:rsidRDefault="00AA61B7" w:rsidP="00AA61B7">
      <w:pPr>
        <w:pStyle w:val="ListParagraph"/>
        <w:numPr>
          <w:ilvl w:val="0"/>
          <w:numId w:val="3"/>
        </w:numPr>
        <w:rPr>
          <w:sz w:val="28"/>
          <w:szCs w:val="28"/>
        </w:rPr>
      </w:pPr>
      <w:r>
        <w:rPr>
          <w:sz w:val="28"/>
          <w:szCs w:val="28"/>
        </w:rPr>
        <w:t>Grouped Bar Chart</w:t>
      </w:r>
    </w:p>
    <w:p w14:paraId="29B8A3CE" w14:textId="77777777" w:rsidR="0016728E" w:rsidRDefault="0016728E" w:rsidP="0016728E">
      <w:pPr>
        <w:pStyle w:val="ListParagraph"/>
        <w:jc w:val="both"/>
        <w:rPr>
          <w:sz w:val="24"/>
          <w:szCs w:val="24"/>
        </w:rPr>
      </w:pPr>
    </w:p>
    <w:p w14:paraId="5F539E41" w14:textId="63756536" w:rsidR="00AA61B7" w:rsidRPr="0016728E" w:rsidRDefault="00283B29" w:rsidP="0016728E">
      <w:pPr>
        <w:pStyle w:val="ListParagraph"/>
        <w:jc w:val="both"/>
        <w:rPr>
          <w:sz w:val="24"/>
          <w:szCs w:val="24"/>
        </w:rPr>
      </w:pPr>
      <w:r w:rsidRPr="0016728E">
        <w:rPr>
          <w:sz w:val="24"/>
          <w:szCs w:val="24"/>
        </w:rPr>
        <w:lastRenderedPageBreak/>
        <w:t xml:space="preserve">To create a grouped bar chart for "School </w:t>
      </w:r>
      <w:r w:rsidRPr="0016728E">
        <w:rPr>
          <w:sz w:val="24"/>
          <w:szCs w:val="24"/>
        </w:rPr>
        <w:t>enrolment</w:t>
      </w:r>
      <w:r w:rsidRPr="0016728E">
        <w:rPr>
          <w:sz w:val="24"/>
          <w:szCs w:val="24"/>
        </w:rPr>
        <w:t xml:space="preserve">, primary and secondary (gross), gender parity index (GPI)," </w:t>
      </w:r>
      <w:r w:rsidRPr="0016728E">
        <w:rPr>
          <w:sz w:val="24"/>
          <w:szCs w:val="24"/>
        </w:rPr>
        <w:t>The climate change</w:t>
      </w:r>
      <w:r w:rsidRPr="0016728E">
        <w:rPr>
          <w:sz w:val="24"/>
          <w:szCs w:val="24"/>
        </w:rPr>
        <w:t xml:space="preserve"> dataset contains the relevant data for different regions or countries.</w:t>
      </w:r>
    </w:p>
    <w:p w14:paraId="5FD27A20" w14:textId="77777777" w:rsidR="000856C5" w:rsidRDefault="00AA61B7" w:rsidP="000856C5">
      <w:pPr>
        <w:pStyle w:val="ListParagraph"/>
        <w:keepNext/>
      </w:pPr>
      <w:r>
        <w:rPr>
          <w:noProof/>
        </w:rPr>
        <w:drawing>
          <wp:inline distT="0" distB="0" distL="0" distR="0" wp14:anchorId="25468DE9" wp14:editId="0B7F8A00">
            <wp:extent cx="5731510" cy="3847465"/>
            <wp:effectExtent l="0" t="0" r="0" b="0"/>
            <wp:docPr id="44945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3860" name=""/>
                    <pic:cNvPicPr/>
                  </pic:nvPicPr>
                  <pic:blipFill>
                    <a:blip r:embed="rId7"/>
                    <a:stretch>
                      <a:fillRect/>
                    </a:stretch>
                  </pic:blipFill>
                  <pic:spPr>
                    <a:xfrm>
                      <a:off x="0" y="0"/>
                      <a:ext cx="5731510" cy="3847465"/>
                    </a:xfrm>
                    <a:prstGeom prst="rect">
                      <a:avLst/>
                    </a:prstGeom>
                  </pic:spPr>
                </pic:pic>
              </a:graphicData>
            </a:graphic>
          </wp:inline>
        </w:drawing>
      </w:r>
    </w:p>
    <w:p w14:paraId="25FF06B9" w14:textId="785E32A1" w:rsidR="00AA61B7" w:rsidRDefault="000856C5" w:rsidP="000856C5">
      <w:pPr>
        <w:pStyle w:val="ListParagraph"/>
        <w:jc w:val="both"/>
        <w:rPr>
          <w:sz w:val="24"/>
          <w:szCs w:val="24"/>
        </w:rPr>
      </w:pPr>
      <w:r w:rsidRPr="000856C5">
        <w:rPr>
          <w:sz w:val="24"/>
          <w:szCs w:val="24"/>
        </w:rPr>
        <w:t xml:space="preserve">Figure </w:t>
      </w:r>
      <w:r w:rsidRPr="000856C5">
        <w:rPr>
          <w:sz w:val="24"/>
          <w:szCs w:val="24"/>
        </w:rPr>
        <w:fldChar w:fldCharType="begin"/>
      </w:r>
      <w:r w:rsidRPr="000856C5">
        <w:rPr>
          <w:sz w:val="24"/>
          <w:szCs w:val="24"/>
        </w:rPr>
        <w:instrText xml:space="preserve"> SEQ Figure \* ARABIC </w:instrText>
      </w:r>
      <w:r w:rsidRPr="000856C5">
        <w:rPr>
          <w:sz w:val="24"/>
          <w:szCs w:val="24"/>
        </w:rPr>
        <w:fldChar w:fldCharType="separate"/>
      </w:r>
      <w:r w:rsidRPr="000856C5">
        <w:rPr>
          <w:sz w:val="24"/>
          <w:szCs w:val="24"/>
        </w:rPr>
        <w:t>3</w:t>
      </w:r>
      <w:r w:rsidRPr="000856C5">
        <w:rPr>
          <w:sz w:val="24"/>
          <w:szCs w:val="24"/>
        </w:rPr>
        <w:fldChar w:fldCharType="end"/>
      </w:r>
      <w:r w:rsidRPr="000856C5">
        <w:rPr>
          <w:sz w:val="24"/>
          <w:szCs w:val="24"/>
        </w:rPr>
        <w:t xml:space="preserve">: </w:t>
      </w:r>
      <w:r w:rsidRPr="0016728E">
        <w:rPr>
          <w:sz w:val="24"/>
          <w:szCs w:val="24"/>
        </w:rPr>
        <w:t>School enrolment, primary and secondary (gross), gender parity index (GPI</w:t>
      </w:r>
      <w:r>
        <w:rPr>
          <w:sz w:val="24"/>
          <w:szCs w:val="24"/>
        </w:rPr>
        <w:t>)</w:t>
      </w:r>
    </w:p>
    <w:p w14:paraId="07FD6A19" w14:textId="77777777" w:rsidR="000856C5" w:rsidRPr="00AA61B7" w:rsidRDefault="000856C5" w:rsidP="000856C5">
      <w:pPr>
        <w:pStyle w:val="ListParagraph"/>
        <w:jc w:val="both"/>
        <w:rPr>
          <w:sz w:val="28"/>
          <w:szCs w:val="28"/>
        </w:rPr>
      </w:pPr>
    </w:p>
    <w:p w14:paraId="7B03E420" w14:textId="6714DC3D" w:rsidR="00AA61B7" w:rsidRPr="0016728E" w:rsidRDefault="00283B29" w:rsidP="0016728E">
      <w:pPr>
        <w:pStyle w:val="ListParagraph"/>
        <w:jc w:val="both"/>
        <w:rPr>
          <w:sz w:val="24"/>
          <w:szCs w:val="24"/>
        </w:rPr>
      </w:pPr>
      <w:r w:rsidRPr="0016728E">
        <w:rPr>
          <w:sz w:val="24"/>
          <w:szCs w:val="24"/>
        </w:rPr>
        <w:t xml:space="preserve">In this </w:t>
      </w:r>
      <w:r w:rsidRPr="0016728E">
        <w:rPr>
          <w:sz w:val="24"/>
          <w:szCs w:val="24"/>
        </w:rPr>
        <w:t>grouped</w:t>
      </w:r>
      <w:r w:rsidRPr="0016728E">
        <w:rPr>
          <w:sz w:val="24"/>
          <w:szCs w:val="24"/>
        </w:rPr>
        <w:t xml:space="preserve">, we </w:t>
      </w:r>
      <w:r w:rsidRPr="0016728E">
        <w:rPr>
          <w:sz w:val="24"/>
          <w:szCs w:val="24"/>
        </w:rPr>
        <w:t>read the</w:t>
      </w:r>
      <w:r w:rsidRPr="0016728E">
        <w:rPr>
          <w:sz w:val="24"/>
          <w:szCs w:val="24"/>
        </w:rPr>
        <w:t xml:space="preserve"> </w:t>
      </w:r>
      <w:r w:rsidR="001A26FF" w:rsidRPr="0016728E">
        <w:rPr>
          <w:sz w:val="24"/>
          <w:szCs w:val="24"/>
        </w:rPr>
        <w:t>dataframe</w:t>
      </w:r>
      <w:r w:rsidRPr="0016728E">
        <w:rPr>
          <w:sz w:val="24"/>
          <w:szCs w:val="24"/>
        </w:rPr>
        <w:t xml:space="preserve"> </w:t>
      </w:r>
      <w:r w:rsidRPr="0016728E">
        <w:rPr>
          <w:sz w:val="24"/>
          <w:szCs w:val="24"/>
        </w:rPr>
        <w:t xml:space="preserve">that </w:t>
      </w:r>
      <w:r w:rsidRPr="0016728E">
        <w:rPr>
          <w:sz w:val="24"/>
          <w:szCs w:val="24"/>
        </w:rPr>
        <w:t>contains the relevant data, including columns for 'Country Name', and years such as '</w:t>
      </w:r>
      <w:r w:rsidR="0016728E">
        <w:rPr>
          <w:sz w:val="24"/>
          <w:szCs w:val="24"/>
        </w:rPr>
        <w:t>1996</w:t>
      </w:r>
      <w:r w:rsidRPr="0016728E">
        <w:rPr>
          <w:sz w:val="24"/>
          <w:szCs w:val="24"/>
        </w:rPr>
        <w:t>', '</w:t>
      </w:r>
      <w:r w:rsidR="0016728E">
        <w:rPr>
          <w:sz w:val="24"/>
          <w:szCs w:val="24"/>
        </w:rPr>
        <w:t>1999</w:t>
      </w:r>
      <w:r w:rsidRPr="0016728E">
        <w:rPr>
          <w:sz w:val="24"/>
          <w:szCs w:val="24"/>
        </w:rPr>
        <w:t>', '20</w:t>
      </w:r>
      <w:r w:rsidR="0016728E">
        <w:rPr>
          <w:sz w:val="24"/>
          <w:szCs w:val="24"/>
        </w:rPr>
        <w:t>00</w:t>
      </w:r>
      <w:r w:rsidRPr="0016728E">
        <w:rPr>
          <w:sz w:val="24"/>
          <w:szCs w:val="24"/>
        </w:rPr>
        <w:t>', '20</w:t>
      </w:r>
      <w:r w:rsidR="0016728E">
        <w:rPr>
          <w:sz w:val="24"/>
          <w:szCs w:val="24"/>
        </w:rPr>
        <w:t>02</w:t>
      </w:r>
      <w:r w:rsidRPr="0016728E">
        <w:rPr>
          <w:sz w:val="24"/>
          <w:szCs w:val="24"/>
        </w:rPr>
        <w:t>',</w:t>
      </w:r>
      <w:r w:rsidR="0016728E">
        <w:rPr>
          <w:sz w:val="24"/>
          <w:szCs w:val="24"/>
        </w:rPr>
        <w:t xml:space="preserve"> ‘2004’, ‘2006’</w:t>
      </w:r>
      <w:r w:rsidRPr="0016728E">
        <w:rPr>
          <w:sz w:val="24"/>
          <w:szCs w:val="24"/>
        </w:rPr>
        <w:t xml:space="preserve"> and '20</w:t>
      </w:r>
      <w:r w:rsidR="0016728E">
        <w:rPr>
          <w:sz w:val="24"/>
          <w:szCs w:val="24"/>
        </w:rPr>
        <w:t>08</w:t>
      </w:r>
      <w:r w:rsidRPr="0016728E">
        <w:rPr>
          <w:sz w:val="24"/>
          <w:szCs w:val="24"/>
        </w:rPr>
        <w:t xml:space="preserve">'. We filter the data to include only the rows with the desired indicator, 'School </w:t>
      </w:r>
      <w:r w:rsidR="001A26FF" w:rsidRPr="0016728E">
        <w:rPr>
          <w:sz w:val="24"/>
          <w:szCs w:val="24"/>
        </w:rPr>
        <w:t>enrolment</w:t>
      </w:r>
      <w:r w:rsidRPr="0016728E">
        <w:rPr>
          <w:sz w:val="24"/>
          <w:szCs w:val="24"/>
        </w:rPr>
        <w:t>, primary and secondary (gross), gender parity index (GPI)'.</w:t>
      </w:r>
      <w:r w:rsidRPr="0016728E">
        <w:rPr>
          <w:sz w:val="24"/>
          <w:szCs w:val="24"/>
        </w:rPr>
        <w:t xml:space="preserve"> The graph shows a comparison of various countries such as Argent</w:t>
      </w:r>
      <w:r w:rsidR="001A26FF" w:rsidRPr="0016728E">
        <w:rPr>
          <w:sz w:val="24"/>
          <w:szCs w:val="24"/>
        </w:rPr>
        <w:t xml:space="preserve">ina, France, Germany, Finland, Indonesia, </w:t>
      </w:r>
      <w:r w:rsidR="0016728E" w:rsidRPr="0016728E">
        <w:rPr>
          <w:sz w:val="24"/>
          <w:szCs w:val="24"/>
        </w:rPr>
        <w:t>Mexico,</w:t>
      </w:r>
      <w:r w:rsidR="001A26FF" w:rsidRPr="0016728E">
        <w:rPr>
          <w:sz w:val="24"/>
          <w:szCs w:val="24"/>
        </w:rPr>
        <w:t xml:space="preserve"> and Sub-Saharan Africa. For Sub-Saharan Africa the index has been the same throughout the years. The highest value of this index was reported in 1996 for Finland but that decreased gradually until 2010. Germany and France </w:t>
      </w:r>
      <w:r w:rsidR="0016728E" w:rsidRPr="0016728E">
        <w:rPr>
          <w:sz w:val="24"/>
          <w:szCs w:val="24"/>
        </w:rPr>
        <w:t>have</w:t>
      </w:r>
      <w:r w:rsidR="001A26FF" w:rsidRPr="0016728E">
        <w:rPr>
          <w:sz w:val="24"/>
          <w:szCs w:val="24"/>
        </w:rPr>
        <w:t xml:space="preserve"> also been consistent during the mentioned years.</w:t>
      </w:r>
    </w:p>
    <w:sectPr w:rsidR="00AA61B7" w:rsidRPr="0016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F70"/>
    <w:multiLevelType w:val="hybridMultilevel"/>
    <w:tmpl w:val="4EA45D58"/>
    <w:lvl w:ilvl="0" w:tplc="9696616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7B52377"/>
    <w:multiLevelType w:val="hybridMultilevel"/>
    <w:tmpl w:val="782EE3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5E2F4A"/>
    <w:multiLevelType w:val="hybridMultilevel"/>
    <w:tmpl w:val="E99E07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22781930">
    <w:abstractNumId w:val="1"/>
  </w:num>
  <w:num w:numId="2" w16cid:durableId="1946497550">
    <w:abstractNumId w:val="2"/>
  </w:num>
  <w:num w:numId="3" w16cid:durableId="122606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A"/>
    <w:rsid w:val="00000527"/>
    <w:rsid w:val="00066DBE"/>
    <w:rsid w:val="000856C5"/>
    <w:rsid w:val="0016728E"/>
    <w:rsid w:val="0017392C"/>
    <w:rsid w:val="001A26FF"/>
    <w:rsid w:val="001A2BDE"/>
    <w:rsid w:val="001E0CE0"/>
    <w:rsid w:val="00210245"/>
    <w:rsid w:val="00253F63"/>
    <w:rsid w:val="0027730B"/>
    <w:rsid w:val="00277A1E"/>
    <w:rsid w:val="00283B29"/>
    <w:rsid w:val="00374531"/>
    <w:rsid w:val="003C1291"/>
    <w:rsid w:val="004D797A"/>
    <w:rsid w:val="005358CD"/>
    <w:rsid w:val="00654F53"/>
    <w:rsid w:val="007925E3"/>
    <w:rsid w:val="007B5492"/>
    <w:rsid w:val="007F358F"/>
    <w:rsid w:val="008928C6"/>
    <w:rsid w:val="008B55FA"/>
    <w:rsid w:val="00953E0C"/>
    <w:rsid w:val="00974D45"/>
    <w:rsid w:val="009E1E35"/>
    <w:rsid w:val="00AA61B7"/>
    <w:rsid w:val="00AB1C76"/>
    <w:rsid w:val="00AB67D9"/>
    <w:rsid w:val="00AC554C"/>
    <w:rsid w:val="00AD36B3"/>
    <w:rsid w:val="00B01BE4"/>
    <w:rsid w:val="00BD6E32"/>
    <w:rsid w:val="00CB7399"/>
    <w:rsid w:val="00CC04E4"/>
    <w:rsid w:val="00D21C38"/>
    <w:rsid w:val="00DB5913"/>
    <w:rsid w:val="00E903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F951"/>
  <w15:chartTrackingRefBased/>
  <w15:docId w15:val="{B1B92714-641F-41B3-9745-9116CC15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B7"/>
    <w:pPr>
      <w:ind w:left="720"/>
      <w:contextualSpacing/>
    </w:pPr>
  </w:style>
  <w:style w:type="paragraph" w:styleId="Caption">
    <w:name w:val="caption"/>
    <w:basedOn w:val="Normal"/>
    <w:next w:val="Normal"/>
    <w:uiPriority w:val="35"/>
    <w:unhideWhenUsed/>
    <w:qFormat/>
    <w:rsid w:val="00B01BE4"/>
    <w:pPr>
      <w:spacing w:after="200" w:line="240" w:lineRule="auto"/>
    </w:pPr>
    <w:rPr>
      <w:i/>
      <w:iCs/>
      <w:color w:val="44546A" w:themeColor="text2"/>
      <w:sz w:val="18"/>
      <w:szCs w:val="18"/>
    </w:rPr>
  </w:style>
  <w:style w:type="character" w:customStyle="1" w:styleId="selectable-text">
    <w:name w:val="selectable-text"/>
    <w:basedOn w:val="DefaultParagraphFont"/>
    <w:rsid w:val="00AB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Hassan</dc:creator>
  <cp:keywords/>
  <dc:description/>
  <cp:lastModifiedBy>Farrukh Hassan</cp:lastModifiedBy>
  <cp:revision>2</cp:revision>
  <dcterms:created xsi:type="dcterms:W3CDTF">2023-05-17T06:57:00Z</dcterms:created>
  <dcterms:modified xsi:type="dcterms:W3CDTF">2023-05-17T06:57:00Z</dcterms:modified>
</cp:coreProperties>
</file>