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#6</w:t>
              <w:br/>
            </w:r>
          </w:p>
          <w:p>
            <w:r>
              <w:rPr>
                <w:b/>
                <w:color w:val="FFFFFF"/>
                <w:sz w:val="34"/>
              </w:rPr>
              <w:t>MVC Architectural Pattern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'MVC Architectural Pattern'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MVC Paradigm in MERN Stack</w:t>
      </w:r>
    </w:p>
    <w:p>
      <w:pPr>
        <w:spacing w:line="276" w:lineRule="auto" w:after="120"/>
      </w:pPr>
    </w:p>
    <w:p>
      <w:r>
        <w:t>The Model-View-Controller (MVC) architectural pattern isolates application concerns into three interconnected components, ensuring maintainability, code reusability, and rapid feature development.</w:t>
      </w:r>
    </w:p>
    <w:p>
      <w:pPr>
        <w:pStyle w:val="Heading2"/>
      </w:pPr>
      <w:r>
        <w:rPr>
          <w:b/>
          <w:color w:val="1E1E1E"/>
          <w:sz w:val="26"/>
        </w:rPr>
        <w:t>2. Layer Breakdown</w:t>
      </w:r>
    </w:p>
    <w:p>
      <w:pPr>
        <w:spacing w:line="276" w:lineRule="auto" w:after="120"/>
      </w:pPr>
    </w:p>
    <w:p>
      <w:pPr>
        <w:pStyle w:val="ListBullet"/>
      </w:pPr>
      <w:r>
        <w:t>Model Layer (Data): Mongoose schemas (userModel, movieModel, showModel, etc.) governing business rules, validation, and data persistence in MongoDB.</w:t>
      </w:r>
    </w:p>
    <w:p>
      <w:pPr>
        <w:pStyle w:val="ListBullet"/>
      </w:pPr>
      <w:r>
        <w:t>Controller Layer (Logic): Route handlers and controllers coordinating input validation, authentication verification, seat concurrency locking, and response formatting.</w:t>
      </w:r>
    </w:p>
    <w:p>
      <w:pPr>
        <w:pStyle w:val="ListBullet"/>
      </w:pPr>
      <w:r>
        <w:t>View Layer (Presentation): React single-page application (SPA) acting as the visual interface, with REST API endpoints functioning as the data views.</w:t>
      </w:r>
    </w:p>
    <w:p>
      <w:pPr>
        <w:pStyle w:val="Heading2"/>
      </w:pPr>
      <w:r>
        <w:rPr>
          <w:b/>
          <w:color w:val="1E1E1E"/>
          <w:sz w:val="26"/>
        </w:rPr>
        <w:t>3. Advantages for iMovies</w:t>
      </w:r>
    </w:p>
    <w:p>
      <w:pPr>
        <w:spacing w:line="276" w:lineRule="auto" w:after="120"/>
      </w:pPr>
    </w:p>
    <w:p>
      <w:pPr>
        <w:pStyle w:val="ListBullet"/>
      </w:pPr>
      <w:r>
        <w:t>Separation of Concerns: Independent maintenance of UI styling and server database operations.</w:t>
      </w:r>
    </w:p>
    <w:p>
      <w:pPr>
        <w:pStyle w:val="ListBullet"/>
      </w:pPr>
      <w:r>
        <w:t>Testability: Modular controllers can be tested via automated API test suites.</w:t>
      </w:r>
    </w:p>
    <w:p>
      <w:pPr>
        <w:pStyle w:val="ListBullet"/>
      </w:pPr>
      <w:r>
        <w:t>Scalability: New features (such as promo codes or loyalty tiers) can be integrated without modifying the database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