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DATABASE DEVELOPMENT | TASK #13</w:t>
              <w:br/>
            </w:r>
          </w:p>
          <w:p>
            <w:r>
              <w:rPr>
                <w:b/>
                <w:color w:val="FFFFFF"/>
                <w:sz w:val="34"/>
              </w:rPr>
              <w:t>Create Database Connection &amp; Resilience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'Create Database Connection &amp; Resilience' under the 'Database Development'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Connection Workflow</w:t>
      </w:r>
    </w:p>
    <w:p>
      <w:pPr>
        <w:spacing w:line="276" w:lineRule="auto" w:after="120"/>
      </w:pPr>
    </w:p>
    <w:p>
      <w:r>
        <w:t>The application initiates database connectivity upon server startup before serving client requests, ensuring data consistency across all operations.</w:t>
      </w:r>
    </w:p>
    <w:p>
      <w:pPr>
        <w:pStyle w:val="Heading2"/>
      </w:pPr>
      <w:r>
        <w:rPr>
          <w:b/>
          <w:color w:val="1E1E1E"/>
          <w:sz w:val="26"/>
        </w:rPr>
        <w:t>2. Resilient Hybrid Fallback</w:t>
      </w:r>
    </w:p>
    <w:p>
      <w:pPr>
        <w:spacing w:line="276" w:lineRule="auto" w:after="120"/>
      </w:pPr>
    </w:p>
    <w:p>
      <w:r>
        <w:t>To ensure the application functions immediately without crashing in environments where a local MongoDB daemon or cloud connection string is temporarily absent, a dual-layer strategy was implemented:</w:t>
      </w:r>
    </w:p>
    <w:p>
      <w:r>
        <w:rPr>
          <w:b/>
        </w:rPr>
        <w:t xml:space="preserve">1. First tries to connect to MONGODB_CONNECTION_LINK or local localhost: </w:t>
      </w:r>
      <w:r>
        <w:t>27017/imovies.</w:t>
      </w:r>
    </w:p>
    <w:p>
      <w:r>
        <w:t>2. If unreachable, gracefully spins up an embedded in-memory MongoDB server via mongodb-memory-server and automatically seeds default movies, theatres, and admin accounts.</w:t>
      </w:r>
    </w:p>
    <w:p>
      <w:pPr>
        <w:pStyle w:val="Heading2"/>
      </w:pPr>
      <w:r>
        <w:rPr>
          <w:b/>
          <w:color w:val="1E1E1E"/>
          <w:sz w:val="26"/>
        </w:rPr>
        <w:t>3. Connection Verification</w:t>
      </w:r>
    </w:p>
    <w:p>
      <w:pPr>
        <w:spacing w:line="276" w:lineRule="auto" w:after="120"/>
      </w:pPr>
    </w:p>
    <w:p>
      <w:r>
        <w:t>When connected, the server prints 'Connected to MongoDB successfully' and triggers initial data verification.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