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26"/>
        </w:rPr>
        <w:t>Ideation Phase</w:t>
      </w:r>
    </w:p>
    <w:p>
      <w:pPr>
        <w:spacing w:after="240"/>
      </w:pPr>
      <w:r>
        <w:rPr>
          <w:rFonts w:ascii="Calibri" w:hAnsi="Calibri"/>
          <w:b/>
          <w:color w:val="0F172A"/>
          <w:sz w:val="44"/>
        </w:rPr>
        <w:t>Brainstorm &amp; Idea Prioritization Template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100" w:type="dxa"/>
              <w:bottom w:w="100" w:type="dxa"/>
              <w:left w:w="150" w:type="dxa"/>
              <w:right w:w="150" w:type="dxa"/>
            </w:tcMar>
          </w:tcPr>
          <w:p>
            <w:pPr>
              <w:spacing w:after="0"/>
            </w:pPr>
            <w:r>
              <w:rPr>
                <w:rFonts w:ascii="Calibri" w:hAnsi="Calibri"/>
                <w:b/>
                <w:color w:val="1E293B"/>
                <w:sz w:val="21"/>
              </w:rPr>
              <w:t>Date</w:t>
            </w:r>
          </w:p>
        </w:tc>
        <w:tc>
          <w:tcPr>
            <w:tcW w:type="dxa" w:w="6192"/>
            <w:shd w:fill="FFFFFF"/>
            <w:tcMar>
              <w:top w:w="100" w:type="dxa"/>
              <w:bottom w:w="100" w:type="dxa"/>
              <w:left w:w="150" w:type="dxa"/>
              <w:right w:w="150" w:type="dxa"/>
            </w:tcMar>
          </w:tcPr>
          <w:p>
            <w:pPr>
              <w:spacing w:after="0"/>
            </w:pPr>
            <w:r>
              <w:rPr>
                <w:rFonts w:ascii="Calibri" w:hAnsi="Calibri"/>
                <w:color w:val="334155"/>
                <w:sz w:val="21"/>
              </w:rPr>
              <w:t>24 October 2026</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Team ID</w:t>
            </w:r>
          </w:p>
        </w:tc>
        <w:tc>
          <w:tcPr>
            <w:tcW w:type="dxa" w:w="6192"/>
            <w:shd w:fill="FFFFFF"/>
            <w:tcMar>
              <w:top w:w="100" w:type="dxa"/>
              <w:bottom w:w="100" w:type="dxa"/>
              <w:left w:w="150" w:type="dxa"/>
              <w:right w:w="150" w:type="dxa"/>
            </w:tcMar>
          </w:tcPr>
          <w:p>
            <w:pPr>
              <w:spacing w:after="0"/>
            </w:pPr>
            <w:r>
              <w:rPr>
                <w:rFonts w:ascii="Calibri" w:hAnsi="Calibri"/>
                <w:color w:val="334155"/>
                <w:sz w:val="21"/>
              </w:rPr>
              <w:t>[Individual Project Submission]</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Project Name</w:t>
            </w:r>
          </w:p>
        </w:tc>
        <w:tc>
          <w:tcPr>
            <w:tcW w:type="dxa" w:w="6192"/>
            <w:shd w:fill="FFFFFF"/>
            <w:tcMar>
              <w:top w:w="100" w:type="dxa"/>
              <w:bottom w:w="100" w:type="dxa"/>
              <w:left w:w="150" w:type="dxa"/>
              <w:right w:w="150" w:type="dxa"/>
            </w:tcMar>
          </w:tcPr>
          <w:p>
            <w:pPr>
              <w:spacing w:after="0"/>
            </w:pPr>
            <w:r>
              <w:rPr>
                <w:rFonts w:ascii="Calibri" w:hAnsi="Calibri"/>
                <w:color w:val="334155"/>
                <w:sz w:val="21"/>
              </w:rPr>
              <w:t>IMovies — Movie Ticket Booking Made Simple</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Maximum Marks</w:t>
            </w:r>
          </w:p>
        </w:tc>
        <w:tc>
          <w:tcPr>
            <w:tcW w:type="dxa" w:w="6192"/>
            <w:shd w:fill="FFFFFF"/>
            <w:tcMar>
              <w:top w:w="100" w:type="dxa"/>
              <w:bottom w:w="100" w:type="dxa"/>
              <w:left w:w="150" w:type="dxa"/>
              <w:right w:w="150" w:type="dxa"/>
            </w:tcMar>
          </w:tcPr>
          <w:p>
            <w:pPr>
              <w:spacing w:after="0"/>
            </w:pPr>
            <w:r>
              <w:rPr>
                <w:rFonts w:ascii="Calibri" w:hAnsi="Calibri"/>
                <w:color w:val="334155"/>
                <w:sz w:val="21"/>
              </w:rPr>
              <w:t>4 Marks</w:t>
            </w:r>
          </w:p>
        </w:tc>
      </w:tr>
    </w:tbl>
    <w:p>
      <w:pPr>
        <w:spacing w:after="280"/>
      </w:pPr>
    </w:p>
    <w:p>
      <w:pPr>
        <w:spacing w:after="120" w:line="276" w:lineRule="auto"/>
      </w:pPr>
      <w:r>
        <w:rPr>
          <w:rFonts w:ascii="Calibri" w:hAnsi="Calibri"/>
          <w:b/>
          <w:color w:val="0F172A"/>
          <w:sz w:val="21"/>
        </w:rPr>
        <w:t xml:space="preserve">Brainstorm &amp; Idea Prioritization Template: </w:t>
      </w:r>
      <w:r>
        <w:rPr>
          <w:rFonts w:ascii="Calibri" w:hAnsi="Calibri"/>
          <w:color w:val="334155"/>
          <w:sz w:val="21"/>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spacing w:after="120" w:line="276" w:lineRule="auto"/>
      </w:pPr>
      <w:r>
        <w:rPr>
          <w:rFonts w:ascii="Calibri" w:hAnsi="Calibri"/>
          <w:color w:val="334155"/>
          <w:sz w:val="21"/>
        </w:rPr>
        <w:t>Use this template in your own brainstorming sessions so your team can unleash their imagination and start shaping concepts even if you're not sitting in the same room.</w:t>
      </w:r>
    </w:p>
    <w:p>
      <w:pPr>
        <w:spacing w:after="120" w:line="276" w:lineRule="auto"/>
      </w:pPr>
      <w:r>
        <w:rPr>
          <w:rFonts w:ascii="Calibri" w:hAnsi="Calibri"/>
          <w:b/>
          <w:color w:val="0F172A"/>
          <w:sz w:val="21"/>
        </w:rPr>
        <w:t xml:space="preserve">Reference: </w:t>
      </w:r>
      <w:r>
        <w:rPr>
          <w:rFonts w:ascii="Calibri" w:hAnsi="Calibri"/>
          <w:color w:val="334155"/>
          <w:sz w:val="21"/>
        </w:rPr>
        <w:t>https://www.mural.co/templates/brainstorm-and-idea-prioritization</w:t>
      </w:r>
    </w:p>
    <w:p>
      <w:pPr>
        <w:spacing w:before="280" w:after="80"/>
      </w:pPr>
      <w:r>
        <w:rPr>
          <w:rFonts w:ascii="Calibri" w:hAnsi="Calibri"/>
          <w:b/>
          <w:color w:val="1E293B"/>
          <w:sz w:val="28"/>
        </w:rPr>
        <w:t>Step-1: Team Gathering, Collaboration and Select the Problem Statement</w:t>
      </w:r>
    </w:p>
    <w:p>
      <w:pPr>
        <w:spacing w:after="120" w:line="276" w:lineRule="auto"/>
      </w:pPr>
      <w:r>
        <w:rPr>
          <w:rFonts w:ascii="Calibri" w:hAnsi="Calibri"/>
          <w:color w:val="334155"/>
          <w:sz w:val="21"/>
        </w:rPr>
        <w:t>The brainstorming initiative was structured into a dedicated collaborative session with focused preparation, goal setting, and facilitation guidelines:</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brainstorm_image1_imovies.png"/>
                    <pic:cNvPicPr/>
                  </pic:nvPicPr>
                  <pic:blipFill>
                    <a:blip r:embed="rId9"/>
                    <a:stretch>
                      <a:fillRect/>
                    </a:stretch>
                  </pic:blipFill>
                  <pic:spPr>
                    <a:xfrm>
                      <a:off x="0" y="0"/>
                      <a:ext cx="5943600" cy="3962400"/>
                    </a:xfrm>
                    <a:prstGeom prst="rect"/>
                  </pic:spPr>
                </pic:pic>
              </a:graphicData>
            </a:graphic>
          </wp:inline>
        </w:drawing>
      </w:r>
    </w:p>
    <w:p>
      <w:pPr>
        <w:spacing w:after="200"/>
        <w:jc w:val="center"/>
      </w:pPr>
      <w:r>
        <w:rPr>
          <w:rFonts w:ascii="Calibri" w:hAnsi="Calibri"/>
          <w:i/>
          <w:color w:val="64748B"/>
          <w:sz w:val="19"/>
        </w:rPr>
        <w:t>Figure 3.1: Mural Step 1 — Before You Collaborate &amp; Define Problem Statement</w:t>
      </w:r>
    </w:p>
    <w:p>
      <w:pPr>
        <w:pStyle w:val="ListBullet"/>
        <w:spacing w:after="80" w:line="276" w:lineRule="auto"/>
      </w:pPr>
      <w:r>
        <w:rPr>
          <w:rFonts w:ascii="Calibri" w:hAnsi="Calibri"/>
          <w:b/>
          <w:color w:val="0F172A"/>
          <w:sz w:val="21"/>
        </w:rPr>
        <w:t xml:space="preserve">A. Team Gathering: </w:t>
      </w:r>
      <w:r>
        <w:rPr>
          <w:rFonts w:ascii="Calibri" w:hAnsi="Calibri"/>
          <w:color w:val="334155"/>
          <w:sz w:val="21"/>
        </w:rPr>
        <w:t>Define participant roles, review user empathy discoveries, and align on project objectives before commencing ideation.</w:t>
      </w:r>
    </w:p>
    <w:p>
      <w:pPr>
        <w:pStyle w:val="ListBullet"/>
        <w:spacing w:after="80" w:line="276" w:lineRule="auto"/>
      </w:pPr>
      <w:r>
        <w:rPr>
          <w:rFonts w:ascii="Calibri" w:hAnsi="Calibri"/>
          <w:b/>
          <w:color w:val="0F172A"/>
          <w:sz w:val="21"/>
        </w:rPr>
        <w:t xml:space="preserve">B. Set the Goal: </w:t>
      </w:r>
      <w:r>
        <w:rPr>
          <w:rFonts w:ascii="Calibri" w:hAnsi="Calibri"/>
          <w:color w:val="334155"/>
          <w:sz w:val="21"/>
        </w:rPr>
        <w:t>Design a lightweight, lightning-fast, and concurrency-safe MERN stack movie ticket booking platform called IMovies.</w:t>
      </w:r>
    </w:p>
    <w:p>
      <w:pPr>
        <w:pStyle w:val="ListBullet"/>
        <w:spacing w:after="80" w:line="276" w:lineRule="auto"/>
      </w:pPr>
      <w:r>
        <w:rPr>
          <w:rFonts w:ascii="Calibri" w:hAnsi="Calibri"/>
          <w:b/>
          <w:color w:val="0F172A"/>
          <w:sz w:val="21"/>
        </w:rPr>
        <w:t xml:space="preserve">C. Facilitation Tools: </w:t>
      </w:r>
      <w:r>
        <w:rPr>
          <w:rFonts w:ascii="Calibri" w:hAnsi="Calibri"/>
          <w:color w:val="334155"/>
          <w:sz w:val="21"/>
        </w:rPr>
        <w:t>Apply Mural facilitation principles, customer journey mapping, and the Impact vs. Feasibility matrix.</w:t>
      </w:r>
    </w:p>
    <w:p>
      <w:pPr>
        <w:spacing w:before="200" w:after="60"/>
      </w:pPr>
      <w:r>
        <w:rPr>
          <w:rFonts w:ascii="Calibri" w:hAnsi="Calibri"/>
          <w:b/>
          <w:color w:val="2563EB"/>
          <w:sz w:val="24"/>
        </w:rPr>
        <w:t>Core 'How Might We' (HMW) Question</w:t>
      </w:r>
    </w:p>
    <w:p>
      <w:pPr>
        <w:spacing w:after="120" w:line="276" w:lineRule="auto"/>
      </w:pPr>
      <w:r>
        <w:rPr>
          <w:rFonts w:ascii="Calibri" w:hAnsi="Calibri"/>
          <w:color w:val="334155"/>
          <w:sz w:val="21"/>
        </w:rPr>
        <w:t>"How might we empower moviegoers to discover movies, explore accurate theatre showtimes, select seats interactively in real time, and manage tickets seamlessly without UI clutter or booking race conditions?"</w:t>
      </w:r>
    </w:p>
    <w:p>
      <w:pPr>
        <w:spacing w:before="200" w:after="60"/>
      </w:pPr>
      <w:r>
        <w:rPr>
          <w:rFonts w:ascii="Calibri" w:hAnsi="Calibri"/>
          <w:b/>
          <w:color w:val="2563EB"/>
          <w:sz w:val="24"/>
        </w:rPr>
        <w:t>Key Rules of Brainstorming Adopted</w:t>
      </w:r>
    </w:p>
    <w:p>
      <w:pPr>
        <w:pStyle w:val="ListBullet"/>
        <w:spacing w:after="80" w:line="276" w:lineRule="auto"/>
      </w:pPr>
      <w:r>
        <w:rPr>
          <w:rFonts w:ascii="Calibri" w:hAnsi="Calibri"/>
          <w:b/>
          <w:color w:val="0F172A"/>
          <w:sz w:val="21"/>
        </w:rPr>
        <w:t xml:space="preserve">1. Stay on Topic: </w:t>
      </w:r>
      <w:r>
        <w:rPr>
          <w:rFonts w:ascii="Calibri" w:hAnsi="Calibri"/>
          <w:color w:val="334155"/>
          <w:sz w:val="21"/>
        </w:rPr>
        <w:t>Maintain strict focus on movie discovery, showtimes, seating grids, and booking lifecycle.</w:t>
      </w:r>
    </w:p>
    <w:p>
      <w:pPr>
        <w:pStyle w:val="ListBullet"/>
        <w:spacing w:after="80" w:line="276" w:lineRule="auto"/>
      </w:pPr>
      <w:r>
        <w:rPr>
          <w:rFonts w:ascii="Calibri" w:hAnsi="Calibri"/>
          <w:b/>
          <w:color w:val="0F172A"/>
          <w:sz w:val="21"/>
        </w:rPr>
        <w:t xml:space="preserve">2. Defer Judgment: </w:t>
      </w:r>
      <w:r>
        <w:rPr>
          <w:rFonts w:ascii="Calibri" w:hAnsi="Calibri"/>
          <w:color w:val="334155"/>
          <w:sz w:val="21"/>
        </w:rPr>
        <w:t>Every feature suggestion is valid during initial idea generation; criticism is deferred until the prioritization stage.</w:t>
      </w:r>
    </w:p>
    <w:p>
      <w:pPr>
        <w:pStyle w:val="ListBullet"/>
        <w:spacing w:after="80" w:line="276" w:lineRule="auto"/>
      </w:pPr>
      <w:r>
        <w:rPr>
          <w:rFonts w:ascii="Calibri" w:hAnsi="Calibri"/>
          <w:b/>
          <w:color w:val="0F172A"/>
          <w:sz w:val="21"/>
        </w:rPr>
        <w:t xml:space="preserve">3. Go for Volume: </w:t>
      </w:r>
      <w:r>
        <w:rPr>
          <w:rFonts w:ascii="Calibri" w:hAnsi="Calibri"/>
          <w:color w:val="334155"/>
          <w:sz w:val="21"/>
        </w:rPr>
        <w:t>Maximize the volume of ideas across frontend, backend, database, security, and administrative domains.</w:t>
      </w:r>
    </w:p>
    <w:p>
      <w:pPr>
        <w:pStyle w:val="ListBullet"/>
        <w:spacing w:after="80" w:line="276" w:lineRule="auto"/>
      </w:pPr>
      <w:r>
        <w:rPr>
          <w:rFonts w:ascii="Calibri" w:hAnsi="Calibri"/>
          <w:b/>
          <w:color w:val="0F172A"/>
          <w:sz w:val="21"/>
        </w:rPr>
        <w:t xml:space="preserve">4. Encourage Wild Ideas: </w:t>
      </w:r>
      <w:r>
        <w:rPr>
          <w:rFonts w:ascii="Calibri" w:hAnsi="Calibri"/>
          <w:color w:val="334155"/>
          <w:sz w:val="21"/>
        </w:rPr>
        <w:t>Propose innovative capabilities such as real-time seat locks, dynamic radar seating charts, and instant cancellation.</w:t>
      </w:r>
    </w:p>
    <w:p>
      <w:pPr>
        <w:pStyle w:val="ListBullet"/>
        <w:spacing w:after="80" w:line="276" w:lineRule="auto"/>
      </w:pPr>
      <w:r>
        <w:rPr>
          <w:rFonts w:ascii="Calibri" w:hAnsi="Calibri"/>
          <w:b/>
          <w:color w:val="0F172A"/>
          <w:sz w:val="21"/>
        </w:rPr>
        <w:t xml:space="preserve">5. If Possible, Be Visual: </w:t>
      </w:r>
      <w:r>
        <w:rPr>
          <w:rFonts w:ascii="Calibri" w:hAnsi="Calibri"/>
          <w:color w:val="334155"/>
          <w:sz w:val="21"/>
        </w:rPr>
        <w:t>Translate concepts into visual grids, user flows, and coordinate matrices.</w:t>
      </w:r>
    </w:p>
    <w:p>
      <w:pPr>
        <w:spacing w:before="280" w:after="80"/>
      </w:pPr>
      <w:r>
        <w:rPr>
          <w:rFonts w:ascii="Calibri" w:hAnsi="Calibri"/>
          <w:b/>
          <w:color w:val="1E293B"/>
          <w:sz w:val="28"/>
        </w:rPr>
        <w:t>Step-2: Brainstorm, Idea Listing and Grouping</w:t>
      </w:r>
    </w:p>
    <w:p>
      <w:pPr>
        <w:spacing w:after="120" w:line="276" w:lineRule="auto"/>
      </w:pPr>
      <w:r>
        <w:rPr>
          <w:rFonts w:ascii="Calibri" w:hAnsi="Calibri"/>
          <w:color w:val="334155"/>
          <w:sz w:val="21"/>
        </w:rPr>
        <w:t>Ideation was carried out across four complementary technical and user-centric perspectives to capture end-to-end functionality:</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brainstorm_image2_imovies.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rFonts w:ascii="Calibri" w:hAnsi="Calibri"/>
          <w:i/>
          <w:color w:val="64748B"/>
          <w:sz w:val="19"/>
        </w:rPr>
        <w:t>Figure 3.2: Mural Step 2 — Brainstorm Idea Listing Across Functional Roles</w:t>
      </w:r>
    </w:p>
    <w:p>
      <w:pPr>
        <w:pStyle w:val="ListBullet"/>
        <w:spacing w:after="80" w:line="276" w:lineRule="auto"/>
      </w:pPr>
      <w:r>
        <w:rPr>
          <w:rFonts w:ascii="Calibri" w:hAnsi="Calibri"/>
          <w:b/>
          <w:color w:val="0F172A"/>
          <w:sz w:val="21"/>
        </w:rPr>
        <w:t xml:space="preserve">Person 1 (Frontend &amp; UX Focus): </w:t>
      </w:r>
      <w:r>
        <w:rPr>
          <w:rFonts w:ascii="Calibri" w:hAnsi="Calibri"/>
          <w:color w:val="334155"/>
          <w:sz w:val="21"/>
        </w:rPr>
        <w:t>Dark cinema-themed aesthetic; real-time movie search input; genre filter pills; high-resolution movie cards; interactive seat selection grid with hover states; real-time selected seats price counter; responsive mobile-first navigation.</w:t>
      </w:r>
    </w:p>
    <w:p>
      <w:pPr>
        <w:pStyle w:val="ListBullet"/>
        <w:spacing w:after="80" w:line="276" w:lineRule="auto"/>
      </w:pPr>
      <w:r>
        <w:rPr>
          <w:rFonts w:ascii="Calibri" w:hAnsi="Calibri"/>
          <w:b/>
          <w:color w:val="0F172A"/>
          <w:sz w:val="21"/>
        </w:rPr>
        <w:t xml:space="preserve">Person 2 (Backend &amp; Transaction Engine Focus): </w:t>
      </w:r>
      <w:r>
        <w:rPr>
          <w:rFonts w:ascii="Calibri" w:hAnsi="Calibri"/>
          <w:color w:val="334155"/>
          <w:sz w:val="21"/>
        </w:rPr>
        <w:t>Modular Express REST API; MongoDB data schema with Mongoose models; dynamic showtime query endpoints; atomic seat reservation logic; server-side double-booking prevention; clean error status codes and structured JSON responses.</w:t>
      </w:r>
    </w:p>
    <w:p>
      <w:pPr>
        <w:pStyle w:val="ListBullet"/>
        <w:spacing w:after="80" w:line="276" w:lineRule="auto"/>
      </w:pPr>
      <w:r>
        <w:rPr>
          <w:rFonts w:ascii="Calibri" w:hAnsi="Calibri"/>
          <w:b/>
          <w:color w:val="0F172A"/>
          <w:sz w:val="21"/>
        </w:rPr>
        <w:t xml:space="preserve">Person 3 (Security &amp; Identity Focus): </w:t>
      </w:r>
      <w:r>
        <w:rPr>
          <w:rFonts w:ascii="Calibri" w:hAnsi="Calibri"/>
          <w:color w:val="334155"/>
          <w:sz w:val="21"/>
        </w:rPr>
        <w:t>User registration and login; bcrypt password hashing with salt; JSON Web Token (JWT) stateless auth; protected route middleware; secure HTTP headers; token expiration and persistent local session state.</w:t>
      </w:r>
    </w:p>
    <w:p>
      <w:pPr>
        <w:pStyle w:val="ListBullet"/>
        <w:spacing w:after="80" w:line="276" w:lineRule="auto"/>
      </w:pPr>
      <w:r>
        <w:rPr>
          <w:rFonts w:ascii="Calibri" w:hAnsi="Calibri"/>
          <w:b/>
          <w:color w:val="0F172A"/>
          <w:sz w:val="21"/>
        </w:rPr>
        <w:t xml:space="preserve">Person 4 (Booking Lifecycle &amp; Operations Focus): </w:t>
      </w:r>
      <w:r>
        <w:rPr>
          <w:rFonts w:ascii="Calibri" w:hAnsi="Calibri"/>
          <w:color w:val="334155"/>
          <w:sz w:val="21"/>
        </w:rPr>
        <w:t>Instant booking confirmation card with unique Reference ID; dedicated 'My Bookings' history dashboard; seat tier pricing (Standard, VIP); printable booking summary; database seeder script with realistic movie and theatre data.</w:t>
      </w:r>
    </w:p>
    <w:p>
      <w:pPr>
        <w:spacing w:before="200" w:after="60"/>
      </w:pPr>
      <w:r>
        <w:rPr>
          <w:rFonts w:ascii="Calibri" w:hAnsi="Calibri"/>
          <w:b/>
          <w:color w:val="2563EB"/>
          <w:sz w:val="24"/>
        </w:rPr>
        <w:t>Grouping Ideas into Thematic Functional Clusters</w:t>
      </w:r>
    </w:p>
    <w:p>
      <w:pPr>
        <w:spacing w:after="120" w:line="276" w:lineRule="auto"/>
      </w:pPr>
      <w:r>
        <w:rPr>
          <w:rFonts w:ascii="Calibri" w:hAnsi="Calibri"/>
          <w:color w:val="334155"/>
          <w:sz w:val="21"/>
        </w:rPr>
        <w:t>The brainstormed ideas were categorized into four distinct functional clusters:</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brainstorm_image3_imovies.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rFonts w:ascii="Calibri" w:hAnsi="Calibri"/>
          <w:i/>
          <w:color w:val="64748B"/>
          <w:sz w:val="19"/>
        </w:rPr>
        <w:t>Figure 3.3: Mural Step 3 — Grouping Brainstormed Ideas into Functional Clusters</w:t>
      </w:r>
    </w:p>
    <w:p>
      <w:pPr>
        <w:pStyle w:val="ListBullet"/>
        <w:spacing w:after="80" w:line="276" w:lineRule="auto"/>
      </w:pPr>
      <w:r>
        <w:rPr>
          <w:rFonts w:ascii="Calibri" w:hAnsi="Calibri"/>
          <w:b/>
          <w:color w:val="0F172A"/>
          <w:sz w:val="21"/>
        </w:rPr>
        <w:t xml:space="preserve">Cluster A: Discovery &amp; Catalog Architecture: </w:t>
      </w:r>
      <w:r>
        <w:rPr>
          <w:rFonts w:ascii="Calibri" w:hAnsi="Calibri"/>
          <w:color w:val="334155"/>
          <w:sz w:val="21"/>
        </w:rPr>
        <w:t>Covers movie search, genre filtering, poster displays, synopsis, runtime, rating badges, theatre locations, and show schedules.</w:t>
      </w:r>
    </w:p>
    <w:p>
      <w:pPr>
        <w:pStyle w:val="ListBullet"/>
        <w:spacing w:after="80" w:line="276" w:lineRule="auto"/>
      </w:pPr>
      <w:r>
        <w:rPr>
          <w:rFonts w:ascii="Calibri" w:hAnsi="Calibri"/>
          <w:b/>
          <w:color w:val="0F172A"/>
          <w:sz w:val="21"/>
        </w:rPr>
        <w:t xml:space="preserve">Cluster B: Seat Engine &amp; Concurrency Control: </w:t>
      </w:r>
      <w:r>
        <w:rPr>
          <w:rFonts w:ascii="Calibri" w:hAnsi="Calibri"/>
          <w:color w:val="334155"/>
          <w:sz w:val="21"/>
        </w:rPr>
        <w:t>Encompasses the visual cinema seat grid, seat status toggling, pricing calculations, backend concurrency checks, and atomic seat locking.</w:t>
      </w:r>
    </w:p>
    <w:p>
      <w:pPr>
        <w:pStyle w:val="ListBullet"/>
        <w:spacing w:after="80" w:line="276" w:lineRule="auto"/>
      </w:pPr>
      <w:r>
        <w:rPr>
          <w:rFonts w:ascii="Calibri" w:hAnsi="Calibri"/>
          <w:b/>
          <w:color w:val="0F172A"/>
          <w:sz w:val="21"/>
        </w:rPr>
        <w:t xml:space="preserve">Cluster C: User Identity, Security &amp; Booking Records: </w:t>
      </w:r>
      <w:r>
        <w:rPr>
          <w:rFonts w:ascii="Calibri" w:hAnsi="Calibri"/>
          <w:color w:val="334155"/>
          <w:sz w:val="21"/>
        </w:rPr>
        <w:t>Encompasses JWT authentication, encrypted credentials, user profile management, instant confirmation receipts, and the booking history dashboard.</w:t>
      </w:r>
    </w:p>
    <w:p>
      <w:pPr>
        <w:pStyle w:val="ListBullet"/>
        <w:spacing w:after="80" w:line="276" w:lineRule="auto"/>
      </w:pPr>
      <w:r>
        <w:rPr>
          <w:rFonts w:ascii="Calibri" w:hAnsi="Calibri"/>
          <w:b/>
          <w:color w:val="0F172A"/>
          <w:sz w:val="21"/>
        </w:rPr>
        <w:t xml:space="preserve">Cluster D: Post-MVP &amp; Future Enhancements: </w:t>
      </w:r>
      <w:r>
        <w:rPr>
          <w:rFonts w:ascii="Calibri" w:hAnsi="Calibri"/>
          <w:color w:val="334155"/>
          <w:sz w:val="21"/>
        </w:rPr>
        <w:t>Includes external live payment gateways (Stripe/Razorpay), WebSocket broadcasting, food/concession pre-ordering, and QR code gate validation.</w:t>
      </w:r>
    </w:p>
    <w:p>
      <w:pPr>
        <w:spacing w:before="280" w:after="80"/>
      </w:pPr>
      <w:r>
        <w:rPr>
          <w:rFonts w:ascii="Calibri" w:hAnsi="Calibri"/>
          <w:b/>
          <w:color w:val="1E293B"/>
          <w:sz w:val="28"/>
        </w:rPr>
        <w:t>Step-3: Idea Prioritization</w:t>
      </w:r>
    </w:p>
    <w:p>
      <w:pPr>
        <w:spacing w:after="120" w:line="276" w:lineRule="auto"/>
      </w:pPr>
      <w:r>
        <w:rPr>
          <w:rFonts w:ascii="Calibri" w:hAnsi="Calibri"/>
          <w:color w:val="334155"/>
          <w:sz w:val="21"/>
        </w:rPr>
        <w:t>To establish an achievable, rigorous, and high-impact development roadmap, ideas were evaluated on an Impact vs. Feasibility Matrix. Impact represents user value and core business necessity, while Feasibility represents technical feasibility, development velocity, and suitability for the individual MERN stack scope.</w:t>
      </w:r>
    </w:p>
    <w:p>
      <w:r>
        <w:drawing>
          <wp:inline xmlns:a="http://schemas.openxmlformats.org/drawingml/2006/main" xmlns:pic="http://schemas.openxmlformats.org/drawingml/2006/picture">
            <wp:extent cx="5943600" cy="4705350"/>
            <wp:docPr id="4" name="Picture 4"/>
            <wp:cNvGraphicFramePr>
              <a:graphicFrameLocks noChangeAspect="1"/>
            </wp:cNvGraphicFramePr>
            <a:graphic>
              <a:graphicData uri="http://schemas.openxmlformats.org/drawingml/2006/picture">
                <pic:pic>
                  <pic:nvPicPr>
                    <pic:cNvPr id="0" name="brainstorm_image4_imovies.png"/>
                    <pic:cNvPicPr/>
                  </pic:nvPicPr>
                  <pic:blipFill>
                    <a:blip r:embed="rId12"/>
                    <a:stretch>
                      <a:fillRect/>
                    </a:stretch>
                  </pic:blipFill>
                  <pic:spPr>
                    <a:xfrm>
                      <a:off x="0" y="0"/>
                      <a:ext cx="5943600" cy="4705350"/>
                    </a:xfrm>
                    <a:prstGeom prst="rect"/>
                  </pic:spPr>
                </pic:pic>
              </a:graphicData>
            </a:graphic>
          </wp:inline>
        </w:drawing>
      </w:r>
    </w:p>
    <w:p>
      <w:pPr>
        <w:spacing w:after="200"/>
        <w:jc w:val="center"/>
      </w:pPr>
      <w:r>
        <w:rPr>
          <w:rFonts w:ascii="Calibri" w:hAnsi="Calibri"/>
          <w:i/>
          <w:color w:val="64748B"/>
          <w:sz w:val="19"/>
        </w:rPr>
        <w:t>Figure 3.4: Mural Step 4 — Impact vs. Feasibility Prioritization Matrix</w:t>
      </w:r>
    </w:p>
    <w:p>
      <w:pPr>
        <w:spacing w:before="200" w:after="60"/>
      </w:pPr>
      <w:r>
        <w:rPr>
          <w:rFonts w:ascii="Calibri" w:hAnsi="Calibri"/>
          <w:b/>
          <w:color w:val="2563EB"/>
          <w:sz w:val="24"/>
        </w:rPr>
        <w:t>Detailed Feature Prioritization &amp; Scope Decision Table</w:t>
      </w:r>
    </w:p>
    <w:p>
      <w:pPr>
        <w:spacing w:after="120" w:line="276" w:lineRule="auto"/>
      </w:pPr>
      <w:r>
        <w:rPr>
          <w:rFonts w:ascii="Calibri" w:hAnsi="Calibri"/>
          <w:color w:val="334155"/>
          <w:sz w:val="21"/>
        </w:rPr>
        <w:t>The table below provides a systematic evaluation of all brainstormed features, establishing the final agreed project scope: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160"/>
            <w:shd w:fill="1E293B"/>
            <w:tcMar>
              <w:top w:w="120" w:type="dxa"/>
              <w:bottom w:w="120" w:type="dxa"/>
              <w:left w:w="100" w:type="dxa"/>
              <w:right w:w="100" w:type="dxa"/>
            </w:tcMar>
          </w:tcPr>
          <w:p>
            <w:pPr>
              <w:spacing w:after="0"/>
            </w:pPr>
            <w:r>
              <w:rPr>
                <w:rFonts w:ascii="Calibri" w:hAnsi="Calibri"/>
                <w:b/>
                <w:color w:val="FFFFFF"/>
                <w:sz w:val="19"/>
              </w:rPr>
              <w:t>Feature Name</w:t>
            </w:r>
          </w:p>
        </w:tc>
        <w:tc>
          <w:tcPr>
            <w:tcW w:type="dxa" w:w="1872"/>
            <w:shd w:fill="1E293B"/>
            <w:tcMar>
              <w:top w:w="120" w:type="dxa"/>
              <w:bottom w:w="120" w:type="dxa"/>
              <w:left w:w="100" w:type="dxa"/>
              <w:right w:w="100" w:type="dxa"/>
            </w:tcMar>
          </w:tcPr>
          <w:p>
            <w:pPr>
              <w:spacing w:after="0"/>
            </w:pPr>
            <w:r>
              <w:rPr>
                <w:rFonts w:ascii="Calibri" w:hAnsi="Calibri"/>
                <w:b/>
                <w:color w:val="FFFFFF"/>
                <w:sz w:val="19"/>
              </w:rPr>
              <w:t>Functional Domain</w:t>
            </w:r>
          </w:p>
        </w:tc>
        <w:tc>
          <w:tcPr>
            <w:tcW w:type="dxa" w:w="1152"/>
            <w:shd w:fill="1E293B"/>
            <w:tcMar>
              <w:top w:w="120" w:type="dxa"/>
              <w:bottom w:w="120" w:type="dxa"/>
              <w:left w:w="100" w:type="dxa"/>
              <w:right w:w="100" w:type="dxa"/>
            </w:tcMar>
          </w:tcPr>
          <w:p>
            <w:pPr>
              <w:spacing w:after="0"/>
            </w:pPr>
            <w:r>
              <w:rPr>
                <w:rFonts w:ascii="Calibri" w:hAnsi="Calibri"/>
                <w:b/>
                <w:color w:val="FFFFFF"/>
                <w:sz w:val="19"/>
              </w:rPr>
              <w:t>Impact</w:t>
            </w:r>
          </w:p>
        </w:tc>
        <w:tc>
          <w:tcPr>
            <w:tcW w:type="dxa" w:w="1152"/>
            <w:shd w:fill="1E293B"/>
            <w:tcMar>
              <w:top w:w="120" w:type="dxa"/>
              <w:bottom w:w="120" w:type="dxa"/>
              <w:left w:w="100" w:type="dxa"/>
              <w:right w:w="100" w:type="dxa"/>
            </w:tcMar>
          </w:tcPr>
          <w:p>
            <w:pPr>
              <w:spacing w:after="0"/>
            </w:pPr>
            <w:r>
              <w:rPr>
                <w:rFonts w:ascii="Calibri" w:hAnsi="Calibri"/>
                <w:b/>
                <w:color w:val="FFFFFF"/>
                <w:sz w:val="19"/>
              </w:rPr>
              <w:t>Feasibility</w:t>
            </w:r>
          </w:p>
        </w:tc>
        <w:tc>
          <w:tcPr>
            <w:tcW w:type="dxa" w:w="1584"/>
            <w:shd w:fill="1E293B"/>
            <w:tcMar>
              <w:top w:w="120" w:type="dxa"/>
              <w:bottom w:w="120" w:type="dxa"/>
              <w:left w:w="100" w:type="dxa"/>
              <w:right w:w="100" w:type="dxa"/>
            </w:tcMar>
          </w:tcPr>
          <w:p>
            <w:pPr>
              <w:spacing w:after="0"/>
            </w:pPr>
            <w:r>
              <w:rPr>
                <w:rFonts w:ascii="Calibri" w:hAnsi="Calibri"/>
                <w:b/>
                <w:color w:val="FFFFFF"/>
                <w:sz w:val="19"/>
              </w:rPr>
              <w:t>Quadrant</w:t>
            </w:r>
          </w:p>
        </w:tc>
        <w:tc>
          <w:tcPr>
            <w:tcW w:type="dxa" w:w="1440"/>
            <w:shd w:fill="1E293B"/>
            <w:tcMar>
              <w:top w:w="120" w:type="dxa"/>
              <w:bottom w:w="120" w:type="dxa"/>
              <w:left w:w="100" w:type="dxa"/>
              <w:right w:w="100" w:type="dxa"/>
            </w:tcMar>
          </w:tcPr>
          <w:p>
            <w:pPr>
              <w:spacing w:after="0"/>
            </w:pPr>
            <w:r>
              <w:rPr>
                <w:rFonts w:ascii="Calibri" w:hAnsi="Calibri"/>
                <w:b/>
                <w:color w:val="FFFFFF"/>
                <w:sz w:val="19"/>
              </w:rPr>
              <w:t>Agreed Scope</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User Auth (JWT + Bcrypt)</w:t>
            </w:r>
          </w:p>
        </w:tc>
        <w:tc>
          <w:tcPr>
            <w:tcW w:type="dxa" w:w="1872"/>
            <w:shd w:fill="FFFFFF"/>
            <w:tcMar>
              <w:top w:w="100" w:type="dxa"/>
              <w:bottom w:w="100" w:type="dxa"/>
              <w:left w:w="100" w:type="dxa"/>
              <w:right w:w="100" w:type="dxa"/>
            </w:tcMar>
          </w:tcPr>
          <w:p>
            <w:pPr>
              <w:spacing w:after="0"/>
            </w:pPr>
            <w:r>
              <w:rPr>
                <w:rFonts w:ascii="Calibri" w:hAnsi="Calibri"/>
                <w:color w:val="334155"/>
                <w:sz w:val="18"/>
              </w:rPr>
              <w:t>Security &amp; Identity</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FFFFF"/>
            <w:tcMar>
              <w:top w:w="100" w:type="dxa"/>
              <w:bottom w:w="100" w:type="dxa"/>
              <w:left w:w="100" w:type="dxa"/>
              <w:right w:w="100" w:type="dxa"/>
            </w:tcMar>
          </w:tcPr>
          <w:p>
            <w:pPr>
              <w:spacing w:after="0"/>
            </w:pPr>
            <w:r>
              <w:rPr>
                <w:rFonts w:ascii="Calibri" w:hAnsi="Calibri"/>
                <w:b/>
                <w:color w:val="15803D"/>
                <w:sz w:val="18"/>
              </w:rPr>
              <w:t>Core Scope (Sprint 1)</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Movie Catalog &amp; Title Search</w:t>
            </w:r>
          </w:p>
        </w:tc>
        <w:tc>
          <w:tcPr>
            <w:tcW w:type="dxa" w:w="1872"/>
            <w:shd w:fill="F8FAFC"/>
            <w:tcMar>
              <w:top w:w="100" w:type="dxa"/>
              <w:bottom w:w="100" w:type="dxa"/>
              <w:left w:w="100" w:type="dxa"/>
              <w:right w:w="100" w:type="dxa"/>
            </w:tcMar>
          </w:tcPr>
          <w:p>
            <w:pPr>
              <w:spacing w:after="0"/>
            </w:pPr>
            <w:r>
              <w:rPr>
                <w:rFonts w:ascii="Calibri" w:hAnsi="Calibri"/>
                <w:color w:val="334155"/>
                <w:sz w:val="18"/>
              </w:rPr>
              <w:t>Discovery &amp; Catalog</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584"/>
            <w:shd w:fill="F8FAFC"/>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8FAFC"/>
            <w:tcMar>
              <w:top w:w="100" w:type="dxa"/>
              <w:bottom w:w="100" w:type="dxa"/>
              <w:left w:w="100" w:type="dxa"/>
              <w:right w:w="100" w:type="dxa"/>
            </w:tcMar>
          </w:tcPr>
          <w:p>
            <w:pPr>
              <w:spacing w:after="0"/>
            </w:pPr>
            <w:r>
              <w:rPr>
                <w:rFonts w:ascii="Calibri" w:hAnsi="Calibri"/>
                <w:b/>
                <w:color w:val="15803D"/>
                <w:sz w:val="18"/>
              </w:rPr>
              <w:t>Core Scope (Sprint 1)</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Genre &amp; Language Filtering</w:t>
            </w:r>
          </w:p>
        </w:tc>
        <w:tc>
          <w:tcPr>
            <w:tcW w:type="dxa" w:w="1872"/>
            <w:shd w:fill="FFFFFF"/>
            <w:tcMar>
              <w:top w:w="100" w:type="dxa"/>
              <w:bottom w:w="100" w:type="dxa"/>
              <w:left w:w="100" w:type="dxa"/>
              <w:right w:w="100" w:type="dxa"/>
            </w:tcMar>
          </w:tcPr>
          <w:p>
            <w:pPr>
              <w:spacing w:after="0"/>
            </w:pPr>
            <w:r>
              <w:rPr>
                <w:rFonts w:ascii="Calibri" w:hAnsi="Calibri"/>
                <w:color w:val="334155"/>
                <w:sz w:val="18"/>
              </w:rPr>
              <w:t>Discovery &amp; Catalog</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FFFFF"/>
            <w:tcMar>
              <w:top w:w="100" w:type="dxa"/>
              <w:bottom w:w="100" w:type="dxa"/>
              <w:left w:w="100" w:type="dxa"/>
              <w:right w:w="100" w:type="dxa"/>
            </w:tcMar>
          </w:tcPr>
          <w:p>
            <w:pPr>
              <w:spacing w:after="0"/>
            </w:pPr>
            <w:r>
              <w:rPr>
                <w:rFonts w:ascii="Calibri" w:hAnsi="Calibri"/>
                <w:b/>
                <w:color w:val="15803D"/>
                <w:sz w:val="18"/>
              </w:rPr>
              <w:t>Core Scope (Sprint 1)</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Theatre &amp; Showtime Explorer</w:t>
            </w:r>
          </w:p>
        </w:tc>
        <w:tc>
          <w:tcPr>
            <w:tcW w:type="dxa" w:w="1872"/>
            <w:shd w:fill="F8FAFC"/>
            <w:tcMar>
              <w:top w:w="100" w:type="dxa"/>
              <w:bottom w:w="100" w:type="dxa"/>
              <w:left w:w="100" w:type="dxa"/>
              <w:right w:w="100" w:type="dxa"/>
            </w:tcMar>
          </w:tcPr>
          <w:p>
            <w:pPr>
              <w:spacing w:after="0"/>
            </w:pPr>
            <w:r>
              <w:rPr>
                <w:rFonts w:ascii="Calibri" w:hAnsi="Calibri"/>
                <w:color w:val="334155"/>
                <w:sz w:val="18"/>
              </w:rPr>
              <w:t>Discovery &amp; Catalog</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584"/>
            <w:shd w:fill="F8FAFC"/>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8FAFC"/>
            <w:tcMar>
              <w:top w:w="100" w:type="dxa"/>
              <w:bottom w:w="100" w:type="dxa"/>
              <w:left w:w="100" w:type="dxa"/>
              <w:right w:w="100" w:type="dxa"/>
            </w:tcMar>
          </w:tcPr>
          <w:p>
            <w:pPr>
              <w:spacing w:after="0"/>
            </w:pPr>
            <w:r>
              <w:rPr>
                <w:rFonts w:ascii="Calibri" w:hAnsi="Calibri"/>
                <w:b/>
                <w:color w:val="15803D"/>
                <w:sz w:val="18"/>
              </w:rPr>
              <w:t>Core Scope (Sprint 2)</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Interactive Seating Grid</w:t>
            </w:r>
          </w:p>
        </w:tc>
        <w:tc>
          <w:tcPr>
            <w:tcW w:type="dxa" w:w="1872"/>
            <w:shd w:fill="FFFFFF"/>
            <w:tcMar>
              <w:top w:w="100" w:type="dxa"/>
              <w:bottom w:w="100" w:type="dxa"/>
              <w:left w:w="100" w:type="dxa"/>
              <w:right w:w="100" w:type="dxa"/>
            </w:tcMar>
          </w:tcPr>
          <w:p>
            <w:pPr>
              <w:spacing w:after="0"/>
            </w:pPr>
            <w:r>
              <w:rPr>
                <w:rFonts w:ascii="Calibri" w:hAnsi="Calibri"/>
                <w:color w:val="334155"/>
                <w:sz w:val="18"/>
              </w:rPr>
              <w:t>Seat Engine</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FFFFF"/>
            <w:tcMar>
              <w:top w:w="100" w:type="dxa"/>
              <w:bottom w:w="100" w:type="dxa"/>
              <w:left w:w="100" w:type="dxa"/>
              <w:right w:w="100" w:type="dxa"/>
            </w:tcMar>
          </w:tcPr>
          <w:p>
            <w:pPr>
              <w:spacing w:after="0"/>
            </w:pPr>
            <w:r>
              <w:rPr>
                <w:rFonts w:ascii="Calibri" w:hAnsi="Calibri"/>
                <w:b/>
                <w:color w:val="15803D"/>
                <w:sz w:val="18"/>
              </w:rPr>
              <w:t>Core Scope (Sprint 2)</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Atomic Double-Booking Lock</w:t>
            </w:r>
          </w:p>
        </w:tc>
        <w:tc>
          <w:tcPr>
            <w:tcW w:type="dxa" w:w="1872"/>
            <w:shd w:fill="F8FAFC"/>
            <w:tcMar>
              <w:top w:w="100" w:type="dxa"/>
              <w:bottom w:w="100" w:type="dxa"/>
              <w:left w:w="100" w:type="dxa"/>
              <w:right w:w="100" w:type="dxa"/>
            </w:tcMar>
          </w:tcPr>
          <w:p>
            <w:pPr>
              <w:spacing w:after="0"/>
            </w:pPr>
            <w:r>
              <w:rPr>
                <w:rFonts w:ascii="Calibri" w:hAnsi="Calibri"/>
                <w:color w:val="334155"/>
                <w:sz w:val="18"/>
              </w:rPr>
              <w:t>Concurrency Engine</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584"/>
            <w:shd w:fill="F8FAFC"/>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8FAFC"/>
            <w:tcMar>
              <w:top w:w="100" w:type="dxa"/>
              <w:bottom w:w="100" w:type="dxa"/>
              <w:left w:w="100" w:type="dxa"/>
              <w:right w:w="100" w:type="dxa"/>
            </w:tcMar>
          </w:tcPr>
          <w:p>
            <w:pPr>
              <w:spacing w:after="0"/>
            </w:pPr>
            <w:r>
              <w:rPr>
                <w:rFonts w:ascii="Calibri" w:hAnsi="Calibri"/>
                <w:b/>
                <w:color w:val="15803D"/>
                <w:sz w:val="18"/>
              </w:rPr>
              <w:t>Core Scope (Sprint 2)</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Booking Confirmation Screen</w:t>
            </w:r>
          </w:p>
        </w:tc>
        <w:tc>
          <w:tcPr>
            <w:tcW w:type="dxa" w:w="1872"/>
            <w:shd w:fill="FFFFFF"/>
            <w:tcMar>
              <w:top w:w="100" w:type="dxa"/>
              <w:bottom w:w="100" w:type="dxa"/>
              <w:left w:w="100" w:type="dxa"/>
              <w:right w:w="100" w:type="dxa"/>
            </w:tcMar>
          </w:tcPr>
          <w:p>
            <w:pPr>
              <w:spacing w:after="0"/>
            </w:pPr>
            <w:r>
              <w:rPr>
                <w:rFonts w:ascii="Calibri" w:hAnsi="Calibri"/>
                <w:color w:val="334155"/>
                <w:sz w:val="18"/>
              </w:rPr>
              <w:t>Booking Records</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FFFFF"/>
            <w:tcMar>
              <w:top w:w="100" w:type="dxa"/>
              <w:bottom w:w="100" w:type="dxa"/>
              <w:left w:w="100" w:type="dxa"/>
              <w:right w:w="100" w:type="dxa"/>
            </w:tcMar>
          </w:tcPr>
          <w:p>
            <w:pPr>
              <w:spacing w:after="0"/>
            </w:pPr>
            <w:r>
              <w:rPr>
                <w:rFonts w:ascii="Calibri" w:hAnsi="Calibri"/>
                <w:b/>
                <w:color w:val="15803D"/>
                <w:sz w:val="18"/>
              </w:rPr>
              <w:t>Core Scope (Sprint 2)</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My Bookings History Dashboard</w:t>
            </w:r>
          </w:p>
        </w:tc>
        <w:tc>
          <w:tcPr>
            <w:tcW w:type="dxa" w:w="1872"/>
            <w:shd w:fill="F8FAFC"/>
            <w:tcMar>
              <w:top w:w="100" w:type="dxa"/>
              <w:bottom w:w="100" w:type="dxa"/>
              <w:left w:w="100" w:type="dxa"/>
              <w:right w:w="100" w:type="dxa"/>
            </w:tcMar>
          </w:tcPr>
          <w:p>
            <w:pPr>
              <w:spacing w:after="0"/>
            </w:pPr>
            <w:r>
              <w:rPr>
                <w:rFonts w:ascii="Calibri" w:hAnsi="Calibri"/>
                <w:color w:val="334155"/>
                <w:sz w:val="18"/>
              </w:rPr>
              <w:t>Booking Records</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584"/>
            <w:shd w:fill="F8FAFC"/>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8FAFC"/>
            <w:tcMar>
              <w:top w:w="100" w:type="dxa"/>
              <w:bottom w:w="100" w:type="dxa"/>
              <w:left w:w="100" w:type="dxa"/>
              <w:right w:w="100" w:type="dxa"/>
            </w:tcMar>
          </w:tcPr>
          <w:p>
            <w:pPr>
              <w:spacing w:after="0"/>
            </w:pPr>
            <w:r>
              <w:rPr>
                <w:rFonts w:ascii="Calibri" w:hAnsi="Calibri"/>
                <w:b/>
                <w:color w:val="15803D"/>
                <w:sz w:val="18"/>
              </w:rPr>
              <w:t>Core Scope (Sprint 3)</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Responsive Dark Cinema UI</w:t>
            </w:r>
          </w:p>
        </w:tc>
        <w:tc>
          <w:tcPr>
            <w:tcW w:type="dxa" w:w="1872"/>
            <w:shd w:fill="FFFFFF"/>
            <w:tcMar>
              <w:top w:w="100" w:type="dxa"/>
              <w:bottom w:w="100" w:type="dxa"/>
              <w:left w:w="100" w:type="dxa"/>
              <w:right w:w="100" w:type="dxa"/>
            </w:tcMar>
          </w:tcPr>
          <w:p>
            <w:pPr>
              <w:spacing w:after="0"/>
            </w:pPr>
            <w:r>
              <w:rPr>
                <w:rFonts w:ascii="Calibri" w:hAnsi="Calibri"/>
                <w:color w:val="334155"/>
                <w:sz w:val="18"/>
              </w:rPr>
              <w:t>UX &amp; Design</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High Feas</w:t>
            </w:r>
          </w:p>
        </w:tc>
        <w:tc>
          <w:tcPr>
            <w:tcW w:type="dxa" w:w="1440"/>
            <w:shd w:fill="FFFFFF"/>
            <w:tcMar>
              <w:top w:w="100" w:type="dxa"/>
              <w:bottom w:w="100" w:type="dxa"/>
              <w:left w:w="100" w:type="dxa"/>
              <w:right w:w="100" w:type="dxa"/>
            </w:tcMar>
          </w:tcPr>
          <w:p>
            <w:pPr>
              <w:spacing w:after="0"/>
            </w:pPr>
            <w:r>
              <w:rPr>
                <w:rFonts w:ascii="Calibri" w:hAnsi="Calibri"/>
                <w:b/>
                <w:color w:val="15803D"/>
                <w:sz w:val="18"/>
              </w:rPr>
              <w:t>Core Scope (Sprint 1-3)</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Tiered Seat Pricing (Std/VIP)</w:t>
            </w:r>
          </w:p>
        </w:tc>
        <w:tc>
          <w:tcPr>
            <w:tcW w:type="dxa" w:w="1872"/>
            <w:shd w:fill="F8FAFC"/>
            <w:tcMar>
              <w:top w:w="100" w:type="dxa"/>
              <w:bottom w:w="100" w:type="dxa"/>
              <w:left w:w="100" w:type="dxa"/>
              <w:right w:w="100" w:type="dxa"/>
            </w:tcMar>
          </w:tcPr>
          <w:p>
            <w:pPr>
              <w:spacing w:after="0"/>
            </w:pPr>
            <w:r>
              <w:rPr>
                <w:rFonts w:ascii="Calibri" w:hAnsi="Calibri"/>
                <w:color w:val="334155"/>
                <w:sz w:val="18"/>
              </w:rPr>
              <w:t>Seat Engine</w:t>
            </w:r>
          </w:p>
        </w:tc>
        <w:tc>
          <w:tcPr>
            <w:tcW w:type="dxa" w:w="1152"/>
            <w:shd w:fill="F8FAFC"/>
            <w:tcMar>
              <w:top w:w="100" w:type="dxa"/>
              <w:bottom w:w="100" w:type="dxa"/>
              <w:left w:w="100" w:type="dxa"/>
              <w:right w:w="100" w:type="dxa"/>
            </w:tcMar>
          </w:tcPr>
          <w:p>
            <w:pPr>
              <w:spacing w:after="0"/>
            </w:pPr>
            <w:r>
              <w:rPr>
                <w:rFonts w:ascii="Calibri" w:hAnsi="Calibri"/>
                <w:color w:val="334155"/>
                <w:sz w:val="18"/>
              </w:rPr>
              <w:t>Medium</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584"/>
            <w:shd w:fill="F8FAFC"/>
            <w:tcMar>
              <w:top w:w="100" w:type="dxa"/>
              <w:bottom w:w="100" w:type="dxa"/>
              <w:left w:w="100" w:type="dxa"/>
              <w:right w:w="100" w:type="dxa"/>
            </w:tcMar>
          </w:tcPr>
          <w:p>
            <w:pPr>
              <w:spacing w:after="0"/>
            </w:pPr>
            <w:r>
              <w:rPr>
                <w:rFonts w:ascii="Calibri" w:hAnsi="Calibri"/>
                <w:color w:val="334155"/>
                <w:sz w:val="18"/>
              </w:rPr>
              <w:t>Med Imp / High Feas</w:t>
            </w:r>
          </w:p>
        </w:tc>
        <w:tc>
          <w:tcPr>
            <w:tcW w:type="dxa" w:w="1440"/>
            <w:shd w:fill="F8FAFC"/>
            <w:tcMar>
              <w:top w:w="100" w:type="dxa"/>
              <w:bottom w:w="100" w:type="dxa"/>
              <w:left w:w="100" w:type="dxa"/>
              <w:right w:w="100" w:type="dxa"/>
            </w:tcMar>
          </w:tcPr>
          <w:p>
            <w:pPr>
              <w:spacing w:after="0"/>
            </w:pPr>
            <w:r>
              <w:rPr>
                <w:rFonts w:ascii="Calibri" w:hAnsi="Calibri"/>
                <w:b/>
                <w:color w:val="B45309"/>
                <w:sz w:val="18"/>
              </w:rPr>
              <w:t>Secondary (Sprint 3)</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Booking Cancellation System</w:t>
            </w:r>
          </w:p>
        </w:tc>
        <w:tc>
          <w:tcPr>
            <w:tcW w:type="dxa" w:w="1872"/>
            <w:shd w:fill="FFFFFF"/>
            <w:tcMar>
              <w:top w:w="100" w:type="dxa"/>
              <w:bottom w:w="100" w:type="dxa"/>
              <w:left w:w="100" w:type="dxa"/>
              <w:right w:w="100" w:type="dxa"/>
            </w:tcMar>
          </w:tcPr>
          <w:p>
            <w:pPr>
              <w:spacing w:after="0"/>
            </w:pPr>
            <w:r>
              <w:rPr>
                <w:rFonts w:ascii="Calibri" w:hAnsi="Calibri"/>
                <w:color w:val="334155"/>
                <w:sz w:val="18"/>
              </w:rPr>
              <w:t>Booking Records</w:t>
            </w:r>
          </w:p>
        </w:tc>
        <w:tc>
          <w:tcPr>
            <w:tcW w:type="dxa" w:w="1152"/>
            <w:shd w:fill="FFFFFF"/>
            <w:tcMar>
              <w:top w:w="100" w:type="dxa"/>
              <w:bottom w:w="100" w:type="dxa"/>
              <w:left w:w="100" w:type="dxa"/>
              <w:right w:w="100" w:type="dxa"/>
            </w:tcMar>
          </w:tcPr>
          <w:p>
            <w:pPr>
              <w:spacing w:after="0"/>
            </w:pPr>
            <w:r>
              <w:rPr>
                <w:rFonts w:ascii="Calibri" w:hAnsi="Calibri"/>
                <w:color w:val="334155"/>
                <w:sz w:val="18"/>
              </w:rPr>
              <w:t>Medium</w:t>
            </w:r>
          </w:p>
        </w:tc>
        <w:tc>
          <w:tcPr>
            <w:tcW w:type="dxa" w:w="1152"/>
            <w:shd w:fill="FFFFFF"/>
            <w:tcMar>
              <w:top w:w="100" w:type="dxa"/>
              <w:bottom w:w="100" w:type="dxa"/>
              <w:left w:w="100" w:type="dxa"/>
              <w:right w:w="100" w:type="dxa"/>
            </w:tcMar>
          </w:tcPr>
          <w:p>
            <w:pPr>
              <w:spacing w:after="0"/>
            </w:pPr>
            <w:r>
              <w:rPr>
                <w:rFonts w:ascii="Calibri" w:hAnsi="Calibri"/>
                <w:color w:val="334155"/>
                <w:sz w:val="18"/>
              </w:rPr>
              <w:t>Medium</w:t>
            </w:r>
          </w:p>
        </w:tc>
        <w:tc>
          <w:tcPr>
            <w:tcW w:type="dxa" w:w="1584"/>
            <w:shd w:fill="FFFFFF"/>
            <w:tcMar>
              <w:top w:w="100" w:type="dxa"/>
              <w:bottom w:w="100" w:type="dxa"/>
              <w:left w:w="100" w:type="dxa"/>
              <w:right w:w="100" w:type="dxa"/>
            </w:tcMar>
          </w:tcPr>
          <w:p>
            <w:pPr>
              <w:spacing w:after="0"/>
            </w:pPr>
            <w:r>
              <w:rPr>
                <w:rFonts w:ascii="Calibri" w:hAnsi="Calibri"/>
                <w:color w:val="334155"/>
                <w:sz w:val="18"/>
              </w:rPr>
              <w:t>Med Imp / Med Feas</w:t>
            </w:r>
          </w:p>
        </w:tc>
        <w:tc>
          <w:tcPr>
            <w:tcW w:type="dxa" w:w="1440"/>
            <w:shd w:fill="FFFFFF"/>
            <w:tcMar>
              <w:top w:w="100" w:type="dxa"/>
              <w:bottom w:w="100" w:type="dxa"/>
              <w:left w:w="100" w:type="dxa"/>
              <w:right w:w="100" w:type="dxa"/>
            </w:tcMar>
          </w:tcPr>
          <w:p>
            <w:pPr>
              <w:spacing w:after="0"/>
            </w:pPr>
            <w:r>
              <w:rPr>
                <w:rFonts w:ascii="Calibri" w:hAnsi="Calibri"/>
                <w:b/>
                <w:color w:val="B45309"/>
                <w:sz w:val="18"/>
              </w:rPr>
              <w:t>Secondary (Sprint 3)</w:t>
            </w:r>
          </w:p>
        </w:tc>
      </w:tr>
      <w:tr>
        <w:tc>
          <w:tcPr>
            <w:tcW w:type="dxa" w:w="2160"/>
            <w:shd w:fill="F8FAFC"/>
            <w:tcMar>
              <w:top w:w="100" w:type="dxa"/>
              <w:bottom w:w="100" w:type="dxa"/>
              <w:left w:w="100" w:type="dxa"/>
              <w:right w:w="100" w:type="dxa"/>
            </w:tcMar>
          </w:tcPr>
          <w:p>
            <w:pPr>
              <w:spacing w:after="0"/>
            </w:pPr>
            <w:r>
              <w:rPr>
                <w:rFonts w:ascii="Calibri" w:hAnsi="Calibri"/>
                <w:b/>
                <w:color w:val="1E293B"/>
                <w:sz w:val="18"/>
              </w:rPr>
              <w:t>Live Payment Gateway (Stripe)</w:t>
            </w:r>
          </w:p>
        </w:tc>
        <w:tc>
          <w:tcPr>
            <w:tcW w:type="dxa" w:w="1872"/>
            <w:shd w:fill="F8FAFC"/>
            <w:tcMar>
              <w:top w:w="100" w:type="dxa"/>
              <w:bottom w:w="100" w:type="dxa"/>
              <w:left w:w="100" w:type="dxa"/>
              <w:right w:w="100" w:type="dxa"/>
            </w:tcMar>
          </w:tcPr>
          <w:p>
            <w:pPr>
              <w:spacing w:after="0"/>
            </w:pPr>
            <w:r>
              <w:rPr>
                <w:rFonts w:ascii="Calibri" w:hAnsi="Calibri"/>
                <w:color w:val="334155"/>
                <w:sz w:val="18"/>
              </w:rPr>
              <w:t>Financial / Payments</w:t>
            </w:r>
          </w:p>
        </w:tc>
        <w:tc>
          <w:tcPr>
            <w:tcW w:type="dxa" w:w="1152"/>
            <w:shd w:fill="F8FAFC"/>
            <w:tcMar>
              <w:top w:w="100" w:type="dxa"/>
              <w:bottom w:w="100" w:type="dxa"/>
              <w:left w:w="100" w:type="dxa"/>
              <w:right w:w="100" w:type="dxa"/>
            </w:tcMar>
          </w:tcPr>
          <w:p>
            <w:pPr>
              <w:spacing w:after="0"/>
            </w:pPr>
            <w:r>
              <w:rPr>
                <w:rFonts w:ascii="Calibri" w:hAnsi="Calibri"/>
                <w:color w:val="334155"/>
                <w:sz w:val="18"/>
              </w:rPr>
              <w:t>High</w:t>
            </w:r>
          </w:p>
        </w:tc>
        <w:tc>
          <w:tcPr>
            <w:tcW w:type="dxa" w:w="1152"/>
            <w:shd w:fill="F8FAFC"/>
            <w:tcMar>
              <w:top w:w="100" w:type="dxa"/>
              <w:bottom w:w="100" w:type="dxa"/>
              <w:left w:w="100" w:type="dxa"/>
              <w:right w:w="100" w:type="dxa"/>
            </w:tcMar>
          </w:tcPr>
          <w:p>
            <w:pPr>
              <w:spacing w:after="0"/>
            </w:pPr>
            <w:r>
              <w:rPr>
                <w:rFonts w:ascii="Calibri" w:hAnsi="Calibri"/>
                <w:color w:val="334155"/>
                <w:sz w:val="18"/>
              </w:rPr>
              <w:t>Low</w:t>
            </w:r>
          </w:p>
        </w:tc>
        <w:tc>
          <w:tcPr>
            <w:tcW w:type="dxa" w:w="1584"/>
            <w:shd w:fill="F8FAFC"/>
            <w:tcMar>
              <w:top w:w="100" w:type="dxa"/>
              <w:bottom w:w="100" w:type="dxa"/>
              <w:left w:w="100" w:type="dxa"/>
              <w:right w:w="100" w:type="dxa"/>
            </w:tcMar>
          </w:tcPr>
          <w:p>
            <w:pPr>
              <w:spacing w:after="0"/>
            </w:pPr>
            <w:r>
              <w:rPr>
                <w:rFonts w:ascii="Calibri" w:hAnsi="Calibri"/>
                <w:color w:val="334155"/>
                <w:sz w:val="18"/>
              </w:rPr>
              <w:t>High Imp / Low Feas</w:t>
            </w:r>
          </w:p>
        </w:tc>
        <w:tc>
          <w:tcPr>
            <w:tcW w:type="dxa" w:w="1440"/>
            <w:shd w:fill="F8FAFC"/>
            <w:tcMar>
              <w:top w:w="100" w:type="dxa"/>
              <w:bottom w:w="100" w:type="dxa"/>
              <w:left w:w="100" w:type="dxa"/>
              <w:right w:w="100" w:type="dxa"/>
            </w:tcMar>
          </w:tcPr>
          <w:p>
            <w:pPr>
              <w:spacing w:after="0"/>
            </w:pPr>
            <w:r>
              <w:rPr>
                <w:rFonts w:ascii="Calibri" w:hAnsi="Calibri"/>
                <w:b/>
                <w:color w:val="64748B"/>
                <w:sz w:val="18"/>
              </w:rPr>
              <w:t>Future (Post-Submission)</w:t>
            </w:r>
          </w:p>
        </w:tc>
      </w:tr>
      <w:tr>
        <w:tc>
          <w:tcPr>
            <w:tcW w:type="dxa" w:w="2160"/>
            <w:shd w:fill="FFFFFF"/>
            <w:tcMar>
              <w:top w:w="100" w:type="dxa"/>
              <w:bottom w:w="100" w:type="dxa"/>
              <w:left w:w="100" w:type="dxa"/>
              <w:right w:w="100" w:type="dxa"/>
            </w:tcMar>
          </w:tcPr>
          <w:p>
            <w:pPr>
              <w:spacing w:after="0"/>
            </w:pPr>
            <w:r>
              <w:rPr>
                <w:rFonts w:ascii="Calibri" w:hAnsi="Calibri"/>
                <w:b/>
                <w:color w:val="1E293B"/>
                <w:sz w:val="18"/>
              </w:rPr>
              <w:t>WebSocket Live Seat Sync</w:t>
            </w:r>
          </w:p>
        </w:tc>
        <w:tc>
          <w:tcPr>
            <w:tcW w:type="dxa" w:w="1872"/>
            <w:shd w:fill="FFFFFF"/>
            <w:tcMar>
              <w:top w:w="100" w:type="dxa"/>
              <w:bottom w:w="100" w:type="dxa"/>
              <w:left w:w="100" w:type="dxa"/>
              <w:right w:w="100" w:type="dxa"/>
            </w:tcMar>
          </w:tcPr>
          <w:p>
            <w:pPr>
              <w:spacing w:after="0"/>
            </w:pPr>
            <w:r>
              <w:rPr>
                <w:rFonts w:ascii="Calibri" w:hAnsi="Calibri"/>
                <w:color w:val="334155"/>
                <w:sz w:val="18"/>
              </w:rPr>
              <w:t>Real-Time Comms</w:t>
            </w:r>
          </w:p>
        </w:tc>
        <w:tc>
          <w:tcPr>
            <w:tcW w:type="dxa" w:w="1152"/>
            <w:shd w:fill="FFFFFF"/>
            <w:tcMar>
              <w:top w:w="100" w:type="dxa"/>
              <w:bottom w:w="100" w:type="dxa"/>
              <w:left w:w="100" w:type="dxa"/>
              <w:right w:w="100" w:type="dxa"/>
            </w:tcMar>
          </w:tcPr>
          <w:p>
            <w:pPr>
              <w:spacing w:after="0"/>
            </w:pPr>
            <w:r>
              <w:rPr>
                <w:rFonts w:ascii="Calibri" w:hAnsi="Calibri"/>
                <w:color w:val="334155"/>
                <w:sz w:val="18"/>
              </w:rPr>
              <w:t>High</w:t>
            </w:r>
          </w:p>
        </w:tc>
        <w:tc>
          <w:tcPr>
            <w:tcW w:type="dxa" w:w="1152"/>
            <w:shd w:fill="FFFFFF"/>
            <w:tcMar>
              <w:top w:w="100" w:type="dxa"/>
              <w:bottom w:w="100" w:type="dxa"/>
              <w:left w:w="100" w:type="dxa"/>
              <w:right w:w="100" w:type="dxa"/>
            </w:tcMar>
          </w:tcPr>
          <w:p>
            <w:pPr>
              <w:spacing w:after="0"/>
            </w:pPr>
            <w:r>
              <w:rPr>
                <w:rFonts w:ascii="Calibri" w:hAnsi="Calibri"/>
                <w:color w:val="334155"/>
                <w:sz w:val="18"/>
              </w:rPr>
              <w:t>Low</w:t>
            </w:r>
          </w:p>
        </w:tc>
        <w:tc>
          <w:tcPr>
            <w:tcW w:type="dxa" w:w="1584"/>
            <w:shd w:fill="FFFFFF"/>
            <w:tcMar>
              <w:top w:w="100" w:type="dxa"/>
              <w:bottom w:w="100" w:type="dxa"/>
              <w:left w:w="100" w:type="dxa"/>
              <w:right w:w="100" w:type="dxa"/>
            </w:tcMar>
          </w:tcPr>
          <w:p>
            <w:pPr>
              <w:spacing w:after="0"/>
            </w:pPr>
            <w:r>
              <w:rPr>
                <w:rFonts w:ascii="Calibri" w:hAnsi="Calibri"/>
                <w:color w:val="334155"/>
                <w:sz w:val="18"/>
              </w:rPr>
              <w:t>High Imp / Low Feas</w:t>
            </w:r>
          </w:p>
        </w:tc>
        <w:tc>
          <w:tcPr>
            <w:tcW w:type="dxa" w:w="1440"/>
            <w:shd w:fill="FFFFFF"/>
            <w:tcMar>
              <w:top w:w="100" w:type="dxa"/>
              <w:bottom w:w="100" w:type="dxa"/>
              <w:left w:w="100" w:type="dxa"/>
              <w:right w:w="100" w:type="dxa"/>
            </w:tcMar>
          </w:tcPr>
          <w:p>
            <w:pPr>
              <w:spacing w:after="0"/>
            </w:pPr>
            <w:r>
              <w:rPr>
                <w:rFonts w:ascii="Calibri" w:hAnsi="Calibri"/>
                <w:b/>
                <w:color w:val="64748B"/>
                <w:sz w:val="18"/>
              </w:rPr>
              <w:t>Future (Post-Submission)</w:t>
            </w:r>
          </w:p>
        </w:tc>
      </w:tr>
    </w:tbl>
    <w:p>
      <w:pPr>
        <w:spacing w:before="280" w:after="80"/>
      </w:pPr>
      <w:r>
        <w:rPr>
          <w:rFonts w:ascii="Calibri" w:hAnsi="Calibri"/>
          <w:b/>
          <w:color w:val="1E293B"/>
          <w:sz w:val="28"/>
        </w:rPr>
        <w:t>4. Scope Summary &amp; Phase Transition</w:t>
      </w:r>
    </w:p>
    <w:p>
      <w:pPr>
        <w:spacing w:after="120" w:line="276" w:lineRule="auto"/>
      </w:pPr>
      <w:r>
        <w:rPr>
          <w:rFonts w:ascii="Calibri" w:hAnsi="Calibri"/>
          <w:color w:val="334155"/>
          <w:sz w:val="21"/>
        </w:rPr>
        <w:t>The prioritization process delivers a clear, unambiguous blueprint for IMovies:</w:t>
      </w:r>
    </w:p>
    <w:p>
      <w:pPr>
        <w:pStyle w:val="ListBullet"/>
        <w:spacing w:after="80" w:line="276" w:lineRule="auto"/>
      </w:pPr>
      <w:r>
        <w:rPr>
          <w:rFonts w:ascii="Calibri" w:hAnsi="Calibri"/>
          <w:b/>
          <w:color w:val="0F172A"/>
          <w:sz w:val="21"/>
        </w:rPr>
        <w:t xml:space="preserve">Core Scope Commitment: </w:t>
      </w:r>
      <w:r>
        <w:rPr>
          <w:rFonts w:ascii="Calibri" w:hAnsi="Calibri"/>
          <w:color w:val="334155"/>
          <w:sz w:val="21"/>
        </w:rPr>
        <w:t>All 9 Core Scope features are formally selected for complete implementation in Phase 5. They guarantee a fully functional, end-to-end movie ticket booking platform adhering to full-stack MERN standards.</w:t>
      </w:r>
    </w:p>
    <w:p>
      <w:pPr>
        <w:pStyle w:val="ListBullet"/>
        <w:spacing w:after="80" w:line="276" w:lineRule="auto"/>
      </w:pPr>
      <w:r>
        <w:rPr>
          <w:rFonts w:ascii="Calibri" w:hAnsi="Calibri"/>
          <w:b/>
          <w:color w:val="0F172A"/>
          <w:sz w:val="21"/>
        </w:rPr>
        <w:t xml:space="preserve">Payment &amp; Concurrency Boundary: </w:t>
      </w:r>
      <w:r>
        <w:rPr>
          <w:rFonts w:ascii="Calibri" w:hAnsi="Calibri"/>
          <w:color w:val="334155"/>
          <w:sz w:val="21"/>
        </w:rPr>
        <w:t>Online payment gateways and WebSocket push mechanisms are consciously separated into future enhancements to ensure the core reservation flow is thoroughly tested, robust, and verifiable.</w:t>
      </w:r>
    </w:p>
    <w:p>
      <w:pPr>
        <w:pStyle w:val="ListBullet"/>
        <w:spacing w:after="80" w:line="276" w:lineRule="auto"/>
      </w:pPr>
      <w:r>
        <w:rPr>
          <w:rFonts w:ascii="Calibri" w:hAnsi="Calibri"/>
          <w:b/>
          <w:color w:val="0F172A"/>
          <w:sz w:val="21"/>
        </w:rPr>
        <w:t xml:space="preserve">Traceability to Phase 2: </w:t>
      </w:r>
      <w:r>
        <w:rPr>
          <w:rFonts w:ascii="Calibri" w:hAnsi="Calibri"/>
          <w:color w:val="334155"/>
          <w:sz w:val="21"/>
        </w:rPr>
        <w:t>These prioritized features form the foundational input for the Product Backlog, User Stories, and Sprint Planning in Phase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