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64748B"/>
          <w:sz w:val="26"/>
        </w:rPr>
        <w:t>Project Design Phase</w:t>
      </w:r>
    </w:p>
    <w:p>
      <w:pPr>
        <w:spacing w:after="200"/>
      </w:pPr>
      <w:r>
        <w:rPr>
          <w:rFonts w:ascii="Calibri" w:hAnsi="Calibri"/>
          <w:b/>
          <w:color w:val="0F172A"/>
          <w:sz w:val="36"/>
        </w:rPr>
        <w:t>Problem - Solution Fit Template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3168"/>
            <w:shd w:fill="F8FAFC"/>
            <w:tcMar>
              <w:top w:w="80" w:type="dxa"/>
              <w:bottom w:w="80" w:type="dxa"/>
              <w:left w:w="120" w:type="dxa"/>
              <w:right w:w="120" w:type="dxa"/>
            </w:tcMar>
          </w:tcPr>
          <w:p>
            <w:r>
              <w:rPr>
                <w:rFonts w:ascii="Calibri" w:hAnsi="Calibri"/>
                <w:b/>
                <w:color w:val="1E293B"/>
                <w:sz w:val="20"/>
              </w:rPr>
              <w:t>Date</w:t>
            </w:r>
          </w:p>
        </w:tc>
        <w:tc>
          <w:tcPr>
            <w:tcW w:type="dxa" w:w="6768"/>
            <w:shd w:fill="FFFFFF"/>
            <w:tcMar>
              <w:top w:w="80" w:type="dxa"/>
              <w:bottom w:w="80" w:type="dxa"/>
              <w:left w:w="120" w:type="dxa"/>
              <w:right w:w="120" w:type="dxa"/>
            </w:tcMar>
          </w:tcPr>
          <w:p>
            <w:r>
              <w:rPr>
                <w:rFonts w:ascii="Calibri" w:hAnsi="Calibri"/>
                <w:color w:val="334155"/>
                <w:sz w:val="20"/>
              </w:rPr>
              <w:t>24-10-2026</w:t>
            </w:r>
          </w:p>
        </w:tc>
      </w:tr>
      <w:tr>
        <w:tc>
          <w:tcPr>
            <w:tcW w:type="dxa" w:w="3168"/>
            <w:shd w:fill="F8FAFC"/>
            <w:tcMar>
              <w:top w:w="80" w:type="dxa"/>
              <w:bottom w:w="80" w:type="dxa"/>
              <w:left w:w="120" w:type="dxa"/>
              <w:right w:w="120" w:type="dxa"/>
            </w:tcMar>
          </w:tcPr>
          <w:p>
            <w:r>
              <w:rPr>
                <w:rFonts w:ascii="Calibri" w:hAnsi="Calibri"/>
                <w:b/>
                <w:color w:val="1E293B"/>
                <w:sz w:val="20"/>
              </w:rPr>
              <w:t>Team ID</w:t>
            </w:r>
          </w:p>
        </w:tc>
        <w:tc>
          <w:tcPr>
            <w:tcW w:type="dxa" w:w="6768"/>
            <w:shd w:fill="FFFFFF"/>
            <w:tcMar>
              <w:top w:w="80" w:type="dxa"/>
              <w:bottom w:w="80" w:type="dxa"/>
              <w:left w:w="120" w:type="dxa"/>
              <w:right w:w="120" w:type="dxa"/>
            </w:tcMar>
          </w:tcPr>
          <w:p>
            <w:r>
              <w:rPr>
                <w:rFonts w:ascii="Calibri" w:hAnsi="Calibri"/>
                <w:color w:val="334155"/>
                <w:sz w:val="20"/>
              </w:rPr>
              <w:t>[Individual Project Submission]</w:t>
            </w:r>
          </w:p>
        </w:tc>
      </w:tr>
      <w:tr>
        <w:tc>
          <w:tcPr>
            <w:tcW w:type="dxa" w:w="3168"/>
            <w:shd w:fill="F8FAFC"/>
            <w:tcMar>
              <w:top w:w="80" w:type="dxa"/>
              <w:bottom w:w="80" w:type="dxa"/>
              <w:left w:w="120" w:type="dxa"/>
              <w:right w:w="120" w:type="dxa"/>
            </w:tcMar>
          </w:tcPr>
          <w:p>
            <w:r>
              <w:rPr>
                <w:rFonts w:ascii="Calibri" w:hAnsi="Calibri"/>
                <w:b/>
                <w:color w:val="1E293B"/>
                <w:sz w:val="20"/>
              </w:rPr>
              <w:t>Project Name</w:t>
            </w:r>
          </w:p>
        </w:tc>
        <w:tc>
          <w:tcPr>
            <w:tcW w:type="dxa" w:w="6768"/>
            <w:shd w:fill="FFFFFF"/>
            <w:tcMar>
              <w:top w:w="80" w:type="dxa"/>
              <w:bottom w:w="80" w:type="dxa"/>
              <w:left w:w="120" w:type="dxa"/>
              <w:right w:w="120" w:type="dxa"/>
            </w:tcMar>
          </w:tcPr>
          <w:p>
            <w:r>
              <w:rPr>
                <w:rFonts w:ascii="Calibri" w:hAnsi="Calibri"/>
                <w:color w:val="334155"/>
                <w:sz w:val="20"/>
              </w:rPr>
              <w:t>IMovies — Movie Ticket Booking Made Simple</w:t>
            </w:r>
          </w:p>
        </w:tc>
      </w:tr>
      <w:tr>
        <w:tc>
          <w:tcPr>
            <w:tcW w:type="dxa" w:w="3168"/>
            <w:shd w:fill="F8FAFC"/>
            <w:tcMar>
              <w:top w:w="80" w:type="dxa"/>
              <w:bottom w:w="80" w:type="dxa"/>
              <w:left w:w="120" w:type="dxa"/>
              <w:right w:w="120" w:type="dxa"/>
            </w:tcMar>
          </w:tcPr>
          <w:p>
            <w:r>
              <w:rPr>
                <w:rFonts w:ascii="Calibri" w:hAnsi="Calibri"/>
                <w:b/>
                <w:color w:val="1E293B"/>
                <w:sz w:val="20"/>
              </w:rPr>
              <w:t>Maximum Marks</w:t>
            </w:r>
          </w:p>
        </w:tc>
        <w:tc>
          <w:tcPr>
            <w:tcW w:type="dxa" w:w="6768"/>
            <w:shd w:fill="FFFFFF"/>
            <w:tcMar>
              <w:top w:w="80" w:type="dxa"/>
              <w:bottom w:w="80" w:type="dxa"/>
              <w:left w:w="120" w:type="dxa"/>
              <w:right w:w="120" w:type="dxa"/>
            </w:tcMar>
          </w:tcPr>
          <w:p>
            <w:r>
              <w:rPr>
                <w:rFonts w:ascii="Calibri" w:hAnsi="Calibri"/>
                <w:color w:val="334155"/>
                <w:sz w:val="20"/>
              </w:rPr>
              <w:t>2 Marks</w:t>
            </w:r>
          </w:p>
        </w:tc>
      </w:tr>
    </w:tbl>
    <w:p>
      <w:pPr>
        <w:spacing w:after="160"/>
      </w:pPr>
    </w:p>
    <w:p>
      <w:pPr>
        <w:spacing w:before="240" w:after="80"/>
      </w:pPr>
      <w:r>
        <w:rPr>
          <w:rFonts w:ascii="Calibri" w:hAnsi="Calibri"/>
          <w:b/>
          <w:color w:val="1E293B"/>
          <w:sz w:val="27"/>
        </w:rPr>
        <w:t>Problem - Solution Fit Overview:</w:t>
      </w:r>
    </w:p>
    <w:p>
      <w:pPr>
        <w:spacing w:after="120" w:line="276" w:lineRule="auto"/>
      </w:pPr>
      <w:r>
        <w:rPr>
          <w:rFonts w:ascii="Calibri" w:hAnsi="Calibri"/>
          <w:color w:val="334155"/>
          <w:sz w:val="20"/>
        </w:rPr>
        <w:t>The Problem-Solution Fit ensures that the IMovies platform addresses critical friction points identified in contemporary online movie ticketing and aligns tightly with the real expectations of moviegoers, cinema planners, and families. This validation guarantees that technical development directly resolves verified user pains before scaling.</w:t>
      </w:r>
    </w:p>
    <w:p>
      <w:pPr>
        <w:spacing w:before="160" w:after="60"/>
      </w:pPr>
      <w:r>
        <w:rPr>
          <w:rFonts w:ascii="Calibri" w:hAnsi="Calibri"/>
          <w:b/>
          <w:color w:val="2563EB"/>
          <w:sz w:val="23"/>
        </w:rPr>
        <w:t>Purpose:</w:t>
      </w:r>
    </w:p>
    <w:p>
      <w:pPr>
        <w:pStyle w:val="ListBullet"/>
        <w:spacing w:after="80" w:line="276" w:lineRule="auto"/>
      </w:pPr>
      <w:r>
        <w:rPr>
          <w:rFonts w:ascii="Calibri" w:hAnsi="Calibri"/>
          <w:color w:val="334155"/>
          <w:sz w:val="20"/>
        </w:rPr>
        <w:t>Bridge the gap between moviegoers seeking frictionless ticket booking and cluttered commercial ticketing sites overloaded with third-party advertisements and aggressive upselling.</w:t>
      </w:r>
    </w:p>
    <w:p>
      <w:pPr>
        <w:pStyle w:val="ListBullet"/>
        <w:spacing w:after="80" w:line="276" w:lineRule="auto"/>
      </w:pPr>
      <w:r>
        <w:rPr>
          <w:rFonts w:ascii="Calibri" w:hAnsi="Calibri"/>
          <w:color w:val="334155"/>
          <w:sz w:val="20"/>
        </w:rPr>
        <w:t>Offer a unified, 3-step booking flow (Browse Movie → Select Showtime &amp; Seats → Confirm Booking) that eliminates confusing redirects and buried screens.</w:t>
      </w:r>
    </w:p>
    <w:p>
      <w:pPr>
        <w:pStyle w:val="ListBullet"/>
        <w:spacing w:after="80" w:line="276" w:lineRule="auto"/>
      </w:pPr>
      <w:r>
        <w:rPr>
          <w:rFonts w:ascii="Calibri" w:hAnsi="Calibri"/>
          <w:color w:val="334155"/>
          <w:sz w:val="20"/>
        </w:rPr>
        <w:t>Eliminate seat reservation collisions and double-booking mid-checkout through atomic database transactions and real-time seat status synchronization.</w:t>
      </w:r>
    </w:p>
    <w:p>
      <w:pPr>
        <w:pStyle w:val="ListBullet"/>
        <w:spacing w:after="80" w:line="276" w:lineRule="auto"/>
      </w:pPr>
      <w:r>
        <w:rPr>
          <w:rFonts w:ascii="Calibri" w:hAnsi="Calibri"/>
          <w:color w:val="334155"/>
          <w:sz w:val="20"/>
        </w:rPr>
        <w:t>Provide transparent seat tier pricing (Standard, VIP) and live running cost calculation with zero surprise convenience charges at final checkout.</w:t>
      </w:r>
    </w:p>
    <w:p>
      <w:pPr>
        <w:pStyle w:val="ListBullet"/>
        <w:spacing w:after="80" w:line="276" w:lineRule="auto"/>
      </w:pPr>
      <w:r>
        <w:rPr>
          <w:rFonts w:ascii="Calibri" w:hAnsi="Calibri"/>
          <w:color w:val="334155"/>
          <w:sz w:val="20"/>
        </w:rPr>
        <w:t>Deliver verifiable booking confirmations with immutable reference codes and a centralized 'My Bookings' historical dashboard for seamless cinema check-in.</w:t>
      </w:r>
    </w:p>
    <w:p>
      <w:pPr>
        <w:spacing w:before="160" w:after="60"/>
      </w:pPr>
      <w:r>
        <w:rPr>
          <w:rFonts w:ascii="Calibri" w:hAnsi="Calibri"/>
          <w:b/>
          <w:color w:val="2563EB"/>
          <w:sz w:val="23"/>
        </w:rPr>
        <w:t>Problem Statement:</w:t>
      </w:r>
    </w:p>
    <w:p>
      <w:pPr>
        <w:spacing w:after="120" w:line="276" w:lineRule="auto"/>
      </w:pPr>
      <w:r>
        <w:rPr>
          <w:rFonts w:ascii="Calibri" w:hAnsi="Calibri"/>
          <w:color w:val="334155"/>
          <w:sz w:val="20"/>
        </w:rPr>
        <w:t>Many moviegoers and cinema enthusiasts face challenges such as:</w:t>
      </w:r>
    </w:p>
    <w:p>
      <w:pPr>
        <w:pStyle w:val="ListBullet"/>
        <w:spacing w:after="80" w:line="276" w:lineRule="auto"/>
      </w:pPr>
      <w:r>
        <w:rPr>
          <w:rFonts w:ascii="Calibri" w:hAnsi="Calibri"/>
          <w:color w:val="334155"/>
          <w:sz w:val="20"/>
        </w:rPr>
        <w:t>Overwhelming interface clutter, video popups, and ancillary merchandise promotions that increase cognitive load and delay seat reservation during high-demand releases.</w:t>
      </w:r>
    </w:p>
    <w:p>
      <w:pPr>
        <w:pStyle w:val="ListBullet"/>
        <w:spacing w:after="80" w:line="276" w:lineRule="auto"/>
      </w:pPr>
      <w:r>
        <w:rPr>
          <w:rFonts w:ascii="Calibri" w:hAnsi="Calibri"/>
          <w:color w:val="334155"/>
          <w:sz w:val="20"/>
        </w:rPr>
        <w:t>Stale seat maps that allow two concurrent users to click the same seat, leading to sudden error crashes at checkout.</w:t>
      </w:r>
    </w:p>
    <w:p>
      <w:pPr>
        <w:pStyle w:val="ListBullet"/>
        <w:spacing w:after="80" w:line="276" w:lineRule="auto"/>
      </w:pPr>
      <w:r>
        <w:rPr>
          <w:rFonts w:ascii="Calibri" w:hAnsi="Calibri"/>
          <w:color w:val="334155"/>
          <w:sz w:val="20"/>
        </w:rPr>
        <w:t>Fragmented ticket confirmations buried in promotional email folders without a centralized user dashboard.</w:t>
      </w:r>
    </w:p>
    <w:p>
      <w:pPr>
        <w:spacing w:before="160" w:after="60"/>
      </w:pPr>
      <w:r>
        <w:rPr>
          <w:rFonts w:ascii="Calibri" w:hAnsi="Calibri"/>
          <w:b/>
          <w:color w:val="2563EB"/>
          <w:sz w:val="23"/>
        </w:rPr>
        <w:t>Solution Alignment &amp; Evidence:</w:t>
      </w:r>
    </w:p>
    <w:p>
      <w:pPr>
        <w:spacing w:after="120" w:line="276" w:lineRule="auto"/>
      </w:pPr>
      <w:r>
        <w:rPr>
          <w:rFonts w:ascii="Calibri" w:hAnsi="Calibri"/>
          <w:color w:val="334155"/>
          <w:sz w:val="20"/>
        </w:rPr>
        <w:t>IMovies directly addresses each problem with targeted full-stack MERN engineering:</w:t>
      </w:r>
    </w:p>
    <w:p>
      <w:pPr>
        <w:pStyle w:val="ListBullet"/>
        <w:spacing w:after="80" w:line="276" w:lineRule="auto"/>
      </w:pPr>
      <w:r>
        <w:rPr>
          <w:rFonts w:ascii="Calibri" w:hAnsi="Calibri"/>
          <w:b/>
          <w:color w:val="0F172A"/>
          <w:sz w:val="20"/>
        </w:rPr>
        <w:t xml:space="preserve">Direct Fit for Clutter: </w:t>
      </w:r>
      <w:r>
        <w:rPr>
          <w:rFonts w:ascii="Calibri" w:hAnsi="Calibri"/>
          <w:color w:val="334155"/>
          <w:sz w:val="20"/>
        </w:rPr>
        <w:t>Zero commercial ads, clean Bootstrap 5 dark cinema theme, single-screen movie discovery, and responsive mobile layout.</w:t>
      </w:r>
    </w:p>
    <w:p>
      <w:pPr>
        <w:pStyle w:val="ListBullet"/>
        <w:spacing w:after="80" w:line="276" w:lineRule="auto"/>
      </w:pPr>
      <w:r>
        <w:rPr>
          <w:rFonts w:ascii="Calibri" w:hAnsi="Calibri"/>
          <w:b/>
          <w:color w:val="0F172A"/>
          <w:sz w:val="20"/>
        </w:rPr>
        <w:t xml:space="preserve">Direct Fit for Concurrency: </w:t>
      </w:r>
      <w:r>
        <w:rPr>
          <w:rFonts w:ascii="Calibri" w:hAnsi="Calibri"/>
          <w:color w:val="334155"/>
          <w:sz w:val="20"/>
        </w:rPr>
        <w:t>Atomic MongoDB `$addToSet` and conditional concurrency validation rejecting duplicate seat claims with clean HTTP 409 status.</w:t>
      </w:r>
    </w:p>
    <w:p>
      <w:pPr>
        <w:pStyle w:val="ListBullet"/>
        <w:spacing w:after="80" w:line="276" w:lineRule="auto"/>
      </w:pPr>
      <w:r>
        <w:rPr>
          <w:rFonts w:ascii="Calibri" w:hAnsi="Calibri"/>
          <w:b/>
          <w:color w:val="0F172A"/>
          <w:sz w:val="20"/>
        </w:rPr>
        <w:t xml:space="preserve">Direct Fit for Ticket Lifecycle: </w:t>
      </w:r>
      <w:r>
        <w:rPr>
          <w:rFonts w:ascii="Calibri" w:hAnsi="Calibri"/>
          <w:color w:val="334155"/>
          <w:sz w:val="20"/>
        </w:rPr>
        <w:t>Stateless JWT authentication paired with a dedicated 'My Bookings' screen rendering active and past reservations.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