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B828CA" w14:textId="16739AFB" w:rsidR="00D829BA" w:rsidRDefault="00000000">
      <w:pPr>
        <w:spacing w:line="480" w:lineRule="auto"/>
      </w:pPr>
      <w:r>
        <w:rPr>
          <w:sz w:val="24"/>
          <w:szCs w:val="24"/>
        </w:rPr>
        <w:t xml:space="preserve">Anay </w:t>
      </w:r>
      <w:r w:rsidR="003242A9">
        <w:rPr>
          <w:sz w:val="24"/>
          <w:szCs w:val="24"/>
        </w:rPr>
        <w:t>Nandalike</w:t>
      </w:r>
    </w:p>
    <w:p w14:paraId="101EBAE5" w14:textId="77777777" w:rsidR="00D829BA" w:rsidRDefault="00000000">
      <w:pPr>
        <w:spacing w:line="480" w:lineRule="auto"/>
      </w:pPr>
      <w:r>
        <w:rPr>
          <w:sz w:val="24"/>
          <w:szCs w:val="24"/>
        </w:rPr>
        <w:t>Cotiviti Intern Assessment</w:t>
      </w:r>
    </w:p>
    <w:p w14:paraId="05F4ACDA" w14:textId="77777777" w:rsidR="00D829BA" w:rsidRDefault="00000000">
      <w:pPr>
        <w:spacing w:line="480" w:lineRule="auto"/>
      </w:pPr>
      <w:r>
        <w:rPr>
          <w:sz w:val="24"/>
          <w:szCs w:val="24"/>
        </w:rPr>
        <w:t>29 June 2026</w:t>
      </w:r>
    </w:p>
    <w:p w14:paraId="581A87C5" w14:textId="77777777" w:rsidR="00D829BA" w:rsidRDefault="00000000">
      <w:pPr>
        <w:spacing w:line="480" w:lineRule="auto"/>
        <w:ind w:firstLine="720"/>
      </w:pPr>
      <w:r>
        <w:rPr>
          <w:sz w:val="24"/>
          <w:szCs w:val="24"/>
        </w:rPr>
        <w:t xml:space="preserve">Clinical natural language technology refers to the set of computational methods that convert unstructured medical text, such as physician notes, discharge summaries, and scanned documents, into structured, computable data. The discipline spans rule-based natural language processing (NLP), optical character recognition (OCR), computer vision, large language models (LLMs), and large multimodal models (LMMs). Its core problem is well documented: </w:t>
      </w:r>
      <w:proofErr w:type="gramStart"/>
      <w:r>
        <w:rPr>
          <w:sz w:val="24"/>
          <w:szCs w:val="24"/>
        </w:rPr>
        <w:t>the majority of</w:t>
      </w:r>
      <w:proofErr w:type="gramEnd"/>
      <w:r>
        <w:rPr>
          <w:sz w:val="24"/>
          <w:szCs w:val="24"/>
        </w:rPr>
        <w:t xml:space="preserve"> clinically valuable information is locked in free text rather than discrete fields, and converting it accurately underpins downstream tasks across treatment, payment, and operations. The healthcare NLP market is expected to reach roughly $3.7 billion in 2025, growing at more than twenty percent annually, with documentation, medical coding, and clinical decision support among the leading application areas (Khurana et al.). For a payment-integrity company like Cotiviti, the most consequential application is the conversion of clinical language into accurate billing codes.</w:t>
      </w:r>
    </w:p>
    <w:p w14:paraId="427B2287" w14:textId="77777777" w:rsidR="00D829BA" w:rsidRDefault="00000000">
      <w:pPr>
        <w:spacing w:line="480" w:lineRule="auto"/>
        <w:ind w:firstLine="720"/>
      </w:pPr>
      <w:r>
        <w:rPr>
          <w:sz w:val="24"/>
          <w:szCs w:val="24"/>
        </w:rPr>
        <w:t>The field has moved through three broad eras. Early systems relied on rules, regular expressions, and ontology matching. These remain remarkably strong in narrow, semi-structured contexts; a recent systematic review found rule-based methods reaching nearly ninety-nine percent accuracy on structured surgical notes, but performance degraded sharply on heterogeneous text (Chen et al.). The present era is defined by generative LLMs that perform zero-shot and few-shot extraction across diverse note types without task-specific training. Domain adaptation has produced large gains: one study found that fine-tuning an LLM on ICD-10 code-description pairs raised exact-match coding accuracy from under one percent to ninety-</w:t>
      </w:r>
      <w:r>
        <w:rPr>
          <w:sz w:val="24"/>
          <w:szCs w:val="24"/>
        </w:rPr>
        <w:lastRenderedPageBreak/>
        <w:t>seven percent on reference data, with real-world notes reaching roughly sixty-nine percent exact match and eighty-seven percent at the category level (</w:t>
      </w:r>
      <w:proofErr w:type="spellStart"/>
      <w:r>
        <w:rPr>
          <w:sz w:val="24"/>
          <w:szCs w:val="24"/>
        </w:rPr>
        <w:t>Boukhers</w:t>
      </w:r>
      <w:proofErr w:type="spellEnd"/>
      <w:r>
        <w:rPr>
          <w:sz w:val="24"/>
          <w:szCs w:val="24"/>
        </w:rPr>
        <w:t xml:space="preserve"> and Sun). The emerging era points toward multimodal and agentic systems that read scanned documents directly, collapsing OCR and extraction into a single step, and that reason over evidence to justify a coding decision rather than merely produce a label.</w:t>
      </w:r>
    </w:p>
    <w:p w14:paraId="55F5DCAA" w14:textId="77777777" w:rsidR="00D829BA" w:rsidRDefault="00000000">
      <w:pPr>
        <w:spacing w:line="480" w:lineRule="auto"/>
        <w:ind w:firstLine="720"/>
      </w:pPr>
      <w:r>
        <w:rPr>
          <w:sz w:val="24"/>
          <w:szCs w:val="24"/>
        </w:rPr>
        <w:t>The opportunities are substantial. Medical coding remains predominantly manual, error-prone at rates as high as twenty percent, and costly, with documentation and billing errors estimated to burden the U.S. system by well over $200 billion annually (Soroush et al.). AI-assisted coding has been shown to cut coding time by around forty percent while raising accuracy above ninety-five percent, and the American Medical Association has begun integrating AI-specific descriptors into the CPT code set, signaling durable institutional acceptance. For Cotiviti, the same extraction and pattern-recognition capability that assigns codes can also audit them retrospectively, flagging upcoding, anomalies, and documentation gaps before claims are adjudicated.</w:t>
      </w:r>
    </w:p>
    <w:p w14:paraId="541F3FAC" w14:textId="77777777" w:rsidR="00D829BA" w:rsidRDefault="00000000">
      <w:pPr>
        <w:spacing w:line="480" w:lineRule="auto"/>
        <w:ind w:firstLine="720"/>
      </w:pPr>
      <w:r>
        <w:rPr>
          <w:sz w:val="24"/>
          <w:szCs w:val="24"/>
        </w:rPr>
        <w:t xml:space="preserve">The threats are equally real and concentrate in trust and accountability. LLMs hallucinate, and while hallucination rates fall with model scale, they remain non-trivial in specialized domains. Regulators are responding: the EU AI Act classifies medical-use AI as high-risk and explicitly recognizes hallucination as a systemic risk requiring mitigation, and U.S. bodies including CMS and the OIG are scrutinizing documentation integrity in AI-assisted workflows (Falis et al.). The consistent expert position is that, at current capability, systems should assist human coders rather than replace them, and that an AI may suggest a </w:t>
      </w:r>
      <w:proofErr w:type="gramStart"/>
      <w:r>
        <w:rPr>
          <w:sz w:val="24"/>
          <w:szCs w:val="24"/>
        </w:rPr>
        <w:t>code</w:t>
      </w:r>
      <w:proofErr w:type="gramEnd"/>
      <w:r>
        <w:rPr>
          <w:sz w:val="24"/>
          <w:szCs w:val="24"/>
        </w:rPr>
        <w:t xml:space="preserve"> but a human must own the attestation and the audit liability. PHI handling, automation bias, and disparate coding outcomes across patient groups round out the principal risks.</w:t>
      </w:r>
    </w:p>
    <w:p w14:paraId="52BEDAE5" w14:textId="77777777" w:rsidR="00D829BA" w:rsidRDefault="00000000">
      <w:pPr>
        <w:spacing w:line="480" w:lineRule="auto"/>
        <w:ind w:firstLine="720"/>
      </w:pPr>
      <w:r>
        <w:rPr>
          <w:sz w:val="24"/>
          <w:szCs w:val="24"/>
        </w:rPr>
        <w:lastRenderedPageBreak/>
        <w:t xml:space="preserve">Three options merit exploration. First, and recommended, Cotiviti should develop a human-in-the-loop LLM coding and audit assistant that surfaces suggested codes with explicit confidence </w:t>
      </w:r>
      <w:proofErr w:type="gramStart"/>
      <w:r>
        <w:rPr>
          <w:sz w:val="24"/>
          <w:szCs w:val="24"/>
        </w:rPr>
        <w:t>scores</w:t>
      </w:r>
      <w:proofErr w:type="gramEnd"/>
      <w:r>
        <w:rPr>
          <w:sz w:val="24"/>
          <w:szCs w:val="24"/>
        </w:rPr>
        <w:t xml:space="preserve"> and a complete, reviewable audit trail, routing high-dollar or low-confidence claims to mandatory human review. This directly aligns with the regulatory consensus and with Cotiviti’s payment-integrity mission while capturing the efficiency gains. Second, Cotiviti should invest in an internal evaluation and benchmarking harness for clinical extraction accuracy; because reproducibility and validated performance are scarce in this space, a rigorous, domain-specific eval capability would function as a durable competitive moat and a compliance asset when auditors ask how outputs were verified. Third, as a longer-horizon position, Cotiviti should pilot a multimodal intake pipeline that ingests scanned and faxed documents directly, reducing the cost of the OCR-to-structure handoff that still bottlenecks many payer workflows. Together these position Cotiviti to lead on accuracy and governance rather than merely on automation speed.</w:t>
      </w:r>
    </w:p>
    <w:p w14:paraId="7EE051CA" w14:textId="77777777" w:rsidR="00D829BA" w:rsidRDefault="00000000">
      <w:r>
        <w:br w:type="page"/>
      </w:r>
    </w:p>
    <w:p w14:paraId="7EAEA0F9" w14:textId="77777777" w:rsidR="00D829BA" w:rsidRDefault="00000000">
      <w:pPr>
        <w:spacing w:line="480" w:lineRule="auto"/>
        <w:jc w:val="center"/>
      </w:pPr>
      <w:r>
        <w:rPr>
          <w:sz w:val="24"/>
          <w:szCs w:val="24"/>
        </w:rPr>
        <w:lastRenderedPageBreak/>
        <w:t>Works Cited</w:t>
      </w:r>
    </w:p>
    <w:p w14:paraId="0C62748F" w14:textId="77777777" w:rsidR="00D829BA" w:rsidRDefault="00000000">
      <w:pPr>
        <w:spacing w:line="480" w:lineRule="auto"/>
        <w:ind w:left="720" w:hanging="720"/>
      </w:pPr>
      <w:proofErr w:type="spellStart"/>
      <w:r>
        <w:rPr>
          <w:sz w:val="24"/>
          <w:szCs w:val="24"/>
        </w:rPr>
        <w:t>Boukhers</w:t>
      </w:r>
      <w:proofErr w:type="spellEnd"/>
      <w:r>
        <w:rPr>
          <w:sz w:val="24"/>
          <w:szCs w:val="24"/>
        </w:rPr>
        <w:t xml:space="preserve">, Zeyd, and Cong Sun. “Enhancing Medical Coding Efficiency through Domain-Specific Fine-Tuned Large Language Models.” </w:t>
      </w:r>
      <w:proofErr w:type="spellStart"/>
      <w:r>
        <w:rPr>
          <w:i/>
          <w:iCs/>
          <w:sz w:val="24"/>
          <w:szCs w:val="24"/>
        </w:rPr>
        <w:t>npj</w:t>
      </w:r>
      <w:proofErr w:type="spellEnd"/>
      <w:r>
        <w:rPr>
          <w:i/>
          <w:iCs/>
          <w:sz w:val="24"/>
          <w:szCs w:val="24"/>
        </w:rPr>
        <w:t xml:space="preserve"> Health Systems</w:t>
      </w:r>
      <w:r>
        <w:rPr>
          <w:sz w:val="24"/>
          <w:szCs w:val="24"/>
        </w:rPr>
        <w:t>, vol. 2, 2025, www.nature.com/articles/s44401-025-00018-3.</w:t>
      </w:r>
    </w:p>
    <w:p w14:paraId="381E4E6B" w14:textId="77777777" w:rsidR="00D829BA" w:rsidRDefault="00000000">
      <w:pPr>
        <w:spacing w:line="480" w:lineRule="auto"/>
        <w:ind w:left="720" w:hanging="720"/>
      </w:pPr>
      <w:r>
        <w:rPr>
          <w:sz w:val="24"/>
          <w:szCs w:val="24"/>
        </w:rPr>
        <w:t xml:space="preserve">Chen, Xi, et al. “Using Natural Language Processing to Extract Information from Clinical Text in Electronic Medical Records for Populating Clinical Registries: A Systematic Review.” </w:t>
      </w:r>
      <w:r>
        <w:rPr>
          <w:i/>
          <w:iCs/>
          <w:sz w:val="24"/>
          <w:szCs w:val="24"/>
        </w:rPr>
        <w:t>Journal of the American Medical Informatics Association</w:t>
      </w:r>
      <w:r>
        <w:rPr>
          <w:sz w:val="24"/>
          <w:szCs w:val="24"/>
        </w:rPr>
        <w:t>, vol. 33, no. 2, 2026, pp. 484–502, academic.oup.com/</w:t>
      </w:r>
      <w:proofErr w:type="spellStart"/>
      <w:r>
        <w:rPr>
          <w:sz w:val="24"/>
          <w:szCs w:val="24"/>
        </w:rPr>
        <w:t>jamia</w:t>
      </w:r>
      <w:proofErr w:type="spellEnd"/>
      <w:r>
        <w:rPr>
          <w:sz w:val="24"/>
          <w:szCs w:val="24"/>
        </w:rPr>
        <w:t>/article/33/2/484/8287208.</w:t>
      </w:r>
    </w:p>
    <w:p w14:paraId="7DB328BF" w14:textId="77777777" w:rsidR="00D829BA" w:rsidRDefault="00000000">
      <w:pPr>
        <w:spacing w:line="480" w:lineRule="auto"/>
        <w:ind w:left="720" w:hanging="720"/>
      </w:pPr>
      <w:r>
        <w:rPr>
          <w:sz w:val="24"/>
          <w:szCs w:val="24"/>
        </w:rPr>
        <w:t xml:space="preserve">Falis, Matúš, et al. “Code Like Humans: A Multi-Agent Solution for Medical Coding.” </w:t>
      </w:r>
      <w:proofErr w:type="spellStart"/>
      <w:r>
        <w:rPr>
          <w:i/>
          <w:iCs/>
          <w:sz w:val="24"/>
          <w:szCs w:val="24"/>
        </w:rPr>
        <w:t>arXiv</w:t>
      </w:r>
      <w:proofErr w:type="spellEnd"/>
      <w:r>
        <w:rPr>
          <w:sz w:val="24"/>
          <w:szCs w:val="24"/>
        </w:rPr>
        <w:t>, 2025, arxiv.org/abs/2509.05378.</w:t>
      </w:r>
    </w:p>
    <w:p w14:paraId="5D2F2B56" w14:textId="77777777" w:rsidR="00D829BA" w:rsidRDefault="00000000">
      <w:pPr>
        <w:spacing w:line="480" w:lineRule="auto"/>
        <w:ind w:left="720" w:hanging="720"/>
      </w:pPr>
      <w:r>
        <w:rPr>
          <w:sz w:val="24"/>
          <w:szCs w:val="24"/>
        </w:rPr>
        <w:t xml:space="preserve">Khurana, Diksha, et al. “Advances in Natural Language Processing for Healthcare: A Comprehensive Review of Techniques, Applications, and Future Directions.” </w:t>
      </w:r>
      <w:r>
        <w:rPr>
          <w:i/>
          <w:iCs/>
          <w:sz w:val="24"/>
          <w:szCs w:val="24"/>
        </w:rPr>
        <w:t>Natural Language Processing Journal</w:t>
      </w:r>
      <w:r>
        <w:rPr>
          <w:sz w:val="24"/>
          <w:szCs w:val="24"/>
        </w:rPr>
        <w:t>, 2025, www.sciencedirect.com/science/article/abs/pii/S1574013725000024.</w:t>
      </w:r>
    </w:p>
    <w:p w14:paraId="759E5722" w14:textId="77777777" w:rsidR="00D829BA" w:rsidRDefault="00000000">
      <w:pPr>
        <w:spacing w:line="480" w:lineRule="auto"/>
        <w:ind w:left="720" w:hanging="720"/>
      </w:pPr>
      <w:r>
        <w:rPr>
          <w:sz w:val="24"/>
          <w:szCs w:val="24"/>
        </w:rPr>
        <w:t xml:space="preserve">“Medical Coding Compliance in 2025: How AI Can Reduce Risk.” </w:t>
      </w:r>
      <w:r>
        <w:rPr>
          <w:i/>
          <w:iCs/>
          <w:sz w:val="24"/>
          <w:szCs w:val="24"/>
        </w:rPr>
        <w:t>Nym Health</w:t>
      </w:r>
      <w:r>
        <w:rPr>
          <w:sz w:val="24"/>
          <w:szCs w:val="24"/>
        </w:rPr>
        <w:t xml:space="preserve">, 11 Dec. 2025, </w:t>
      </w:r>
      <w:proofErr w:type="spellStart"/>
      <w:proofErr w:type="gramStart"/>
      <w:r>
        <w:rPr>
          <w:sz w:val="24"/>
          <w:szCs w:val="24"/>
        </w:rPr>
        <w:t>blog.nym.health</w:t>
      </w:r>
      <w:proofErr w:type="spellEnd"/>
      <w:proofErr w:type="gramEnd"/>
      <w:r>
        <w:rPr>
          <w:sz w:val="24"/>
          <w:szCs w:val="24"/>
        </w:rPr>
        <w:t>/medical-coding-compliance.</w:t>
      </w:r>
    </w:p>
    <w:p w14:paraId="5681ABD6" w14:textId="77777777" w:rsidR="00D829BA" w:rsidRDefault="00000000">
      <w:pPr>
        <w:spacing w:line="480" w:lineRule="auto"/>
        <w:ind w:left="720" w:hanging="720"/>
      </w:pPr>
      <w:r>
        <w:rPr>
          <w:sz w:val="24"/>
          <w:szCs w:val="24"/>
        </w:rPr>
        <w:t xml:space="preserve">Soroush, Ali, et al. “The 2026 Guide to AI in Medical Coding: Accuracy, Compliance, and the Human-in-the-Loop.” </w:t>
      </w:r>
      <w:proofErr w:type="spellStart"/>
      <w:r>
        <w:rPr>
          <w:i/>
          <w:iCs/>
          <w:sz w:val="24"/>
          <w:szCs w:val="24"/>
        </w:rPr>
        <w:t>HelpSquad</w:t>
      </w:r>
      <w:proofErr w:type="spellEnd"/>
      <w:r>
        <w:rPr>
          <w:sz w:val="24"/>
          <w:szCs w:val="24"/>
        </w:rPr>
        <w:t>, 7 Apr. 2026, helpsquad.com/blog/the-2026-guide-to-ai-in-medical-coding/.</w:t>
      </w:r>
    </w:p>
    <w:sectPr w:rsidR="00D829BA">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1C2074" w14:textId="77777777" w:rsidR="00F87BA9" w:rsidRDefault="00F87BA9">
      <w:r>
        <w:separator/>
      </w:r>
    </w:p>
  </w:endnote>
  <w:endnote w:type="continuationSeparator" w:id="0">
    <w:p w14:paraId="57C77C4D" w14:textId="77777777" w:rsidR="00F87BA9" w:rsidRDefault="00F87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C3FDAE" w14:textId="77777777" w:rsidR="00F87BA9" w:rsidRDefault="00F87BA9">
      <w:r>
        <w:separator/>
      </w:r>
    </w:p>
  </w:footnote>
  <w:footnote w:type="continuationSeparator" w:id="0">
    <w:p w14:paraId="55DA7915" w14:textId="77777777" w:rsidR="00F87BA9" w:rsidRDefault="00F87B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335456" w14:textId="42F440D5" w:rsidR="00D829BA" w:rsidRDefault="003242A9">
    <w:pPr>
      <w:jc w:val="right"/>
    </w:pPr>
    <w:r>
      <w:rPr>
        <w:sz w:val="24"/>
        <w:szCs w:val="24"/>
      </w:rPr>
      <w:t>Nandalike</w:t>
    </w:r>
    <w:r w:rsidR="00000000">
      <w:rPr>
        <w:sz w:val="24"/>
        <w:szCs w:val="24"/>
      </w:rPr>
      <w:t xml:space="preserve"> </w:t>
    </w:r>
    <w:r w:rsidR="00000000">
      <w:rPr>
        <w:sz w:val="24"/>
        <w:szCs w:val="24"/>
      </w:rPr>
      <w:fldChar w:fldCharType="begin"/>
    </w:r>
    <w:r w:rsidR="00000000">
      <w:rPr>
        <w:sz w:val="24"/>
        <w:szCs w:val="24"/>
      </w:rPr>
      <w:instrText>PAGE</w:instrText>
    </w:r>
    <w:r w:rsidR="00000000">
      <w:rPr>
        <w:sz w:val="24"/>
        <w:szCs w:val="24"/>
      </w:rPr>
      <w:fldChar w:fldCharType="separate"/>
    </w:r>
    <w:r>
      <w:rPr>
        <w:noProof/>
        <w:sz w:val="24"/>
        <w:szCs w:val="24"/>
      </w:rPr>
      <w:t>1</w:t>
    </w:r>
    <w:r w:rsidR="00000000">
      <w:rPr>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8C5D2B"/>
    <w:multiLevelType w:val="hybridMultilevel"/>
    <w:tmpl w:val="07EAFED6"/>
    <w:lvl w:ilvl="0" w:tplc="FA40F3CE">
      <w:start w:val="1"/>
      <w:numFmt w:val="bullet"/>
      <w:lvlText w:val="●"/>
      <w:lvlJc w:val="left"/>
      <w:pPr>
        <w:ind w:left="720" w:hanging="360"/>
      </w:pPr>
    </w:lvl>
    <w:lvl w:ilvl="1" w:tplc="DC94D30A">
      <w:start w:val="1"/>
      <w:numFmt w:val="bullet"/>
      <w:lvlText w:val="○"/>
      <w:lvlJc w:val="left"/>
      <w:pPr>
        <w:ind w:left="1440" w:hanging="360"/>
      </w:pPr>
    </w:lvl>
    <w:lvl w:ilvl="2" w:tplc="A392C5AE">
      <w:start w:val="1"/>
      <w:numFmt w:val="bullet"/>
      <w:lvlText w:val="■"/>
      <w:lvlJc w:val="left"/>
      <w:pPr>
        <w:ind w:left="2160" w:hanging="360"/>
      </w:pPr>
    </w:lvl>
    <w:lvl w:ilvl="3" w:tplc="198A3B4C">
      <w:start w:val="1"/>
      <w:numFmt w:val="bullet"/>
      <w:lvlText w:val="●"/>
      <w:lvlJc w:val="left"/>
      <w:pPr>
        <w:ind w:left="2880" w:hanging="360"/>
      </w:pPr>
    </w:lvl>
    <w:lvl w:ilvl="4" w:tplc="4D7E57C6">
      <w:start w:val="1"/>
      <w:numFmt w:val="bullet"/>
      <w:lvlText w:val="○"/>
      <w:lvlJc w:val="left"/>
      <w:pPr>
        <w:ind w:left="3600" w:hanging="360"/>
      </w:pPr>
    </w:lvl>
    <w:lvl w:ilvl="5" w:tplc="984648EE">
      <w:start w:val="1"/>
      <w:numFmt w:val="bullet"/>
      <w:lvlText w:val="■"/>
      <w:lvlJc w:val="left"/>
      <w:pPr>
        <w:ind w:left="4320" w:hanging="360"/>
      </w:pPr>
    </w:lvl>
    <w:lvl w:ilvl="6" w:tplc="3F806C44">
      <w:start w:val="1"/>
      <w:numFmt w:val="bullet"/>
      <w:lvlText w:val="●"/>
      <w:lvlJc w:val="left"/>
      <w:pPr>
        <w:ind w:left="5040" w:hanging="360"/>
      </w:pPr>
    </w:lvl>
    <w:lvl w:ilvl="7" w:tplc="F656FE90">
      <w:start w:val="1"/>
      <w:numFmt w:val="bullet"/>
      <w:lvlText w:val="●"/>
      <w:lvlJc w:val="left"/>
      <w:pPr>
        <w:ind w:left="5760" w:hanging="360"/>
      </w:pPr>
    </w:lvl>
    <w:lvl w:ilvl="8" w:tplc="81E01088">
      <w:start w:val="1"/>
      <w:numFmt w:val="bullet"/>
      <w:lvlText w:val="●"/>
      <w:lvlJc w:val="left"/>
      <w:pPr>
        <w:ind w:left="6480" w:hanging="360"/>
      </w:pPr>
    </w:lvl>
  </w:abstractNum>
  <w:num w:numId="1" w16cid:durableId="7821186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9BA"/>
    <w:rsid w:val="003242A9"/>
    <w:rsid w:val="00D829BA"/>
    <w:rsid w:val="00E146E8"/>
    <w:rsid w:val="00F87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4F1A86"/>
  <w15:docId w15:val="{83E1A44E-AB27-914F-AAB8-330D42BD9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242A9"/>
    <w:pPr>
      <w:tabs>
        <w:tab w:val="center" w:pos="4680"/>
        <w:tab w:val="right" w:pos="9360"/>
      </w:tabs>
    </w:pPr>
  </w:style>
  <w:style w:type="character" w:customStyle="1" w:styleId="HeaderChar">
    <w:name w:val="Header Char"/>
    <w:basedOn w:val="DefaultParagraphFont"/>
    <w:link w:val="Header"/>
    <w:uiPriority w:val="99"/>
    <w:rsid w:val="003242A9"/>
  </w:style>
  <w:style w:type="paragraph" w:styleId="Footer">
    <w:name w:val="footer"/>
    <w:basedOn w:val="Normal"/>
    <w:link w:val="FooterChar"/>
    <w:uiPriority w:val="99"/>
    <w:unhideWhenUsed/>
    <w:rsid w:val="003242A9"/>
    <w:pPr>
      <w:tabs>
        <w:tab w:val="center" w:pos="4680"/>
        <w:tab w:val="right" w:pos="9360"/>
      </w:tabs>
    </w:pPr>
  </w:style>
  <w:style w:type="character" w:customStyle="1" w:styleId="FooterChar">
    <w:name w:val="Footer Char"/>
    <w:basedOn w:val="DefaultParagraphFont"/>
    <w:link w:val="Footer"/>
    <w:uiPriority w:val="99"/>
    <w:rsid w:val="003242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922</Words>
  <Characters>5261</Characters>
  <Application>Microsoft Office Word</Application>
  <DocSecurity>0</DocSecurity>
  <Lines>43</Lines>
  <Paragraphs>12</Paragraphs>
  <ScaleCrop>false</ScaleCrop>
  <Company/>
  <LinksUpToDate>false</LinksUpToDate>
  <CharactersWithSpaces>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Nandalike, Anay</cp:lastModifiedBy>
  <cp:revision>2</cp:revision>
  <dcterms:created xsi:type="dcterms:W3CDTF">2026-06-29T22:32:00Z</dcterms:created>
  <dcterms:modified xsi:type="dcterms:W3CDTF">2026-06-29T22:32:00Z</dcterms:modified>
</cp:coreProperties>
</file>