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6"/>
        </w:rPr>
        <w:t xml:space="preserve">Site Assessment</w:t>
      </w:r>
    </w:p>
    <w:p>
      <w:r>
        <w:t xml:space="preserve">This paragraph is ordinary body text at the document default size. </w:t>
      </w:r>
    </w:p>
    <w:p>
      <w:r>
        <w:rPr>
          <w:b/>
          <w:sz w:val="24"/>
        </w:rPr>
        <w:t xml:space="preserve">Scope</w:t>
      </w:r>
    </w:p>
    <w:p>
      <w:r>
        <w:t xml:space="preserve">Three sites were assessed against the current standard. </w:t>
      </w:r>
    </w:p>
    <w:p>
      <w:r>
        <w:rPr>
          <w:b/>
          <w:sz w:val="24"/>
        </w:rPr>
        <w:t xml:space="preserve">Note that the following applies to all three sites</w:t>
      </w:r>
    </w:p>
    <w:p>
      <w:r>
        <w:t xml:space="preserve">Access arrangements were unchanged from the previous assessment. </w:t>
      </w:r>
    </w:p>
    <w:p>
      <w:r>
        <w:rPr>
          <w:b/>
          <w:sz w:val="24"/>
        </w:rPr>
        <w:t xml:space="preserve">Method</w:t>
      </w:r>
    </w:p>
    <w:p>
      <w:r>
        <w:t xml:space="preserve">Each site was walked with the standard checklist. </w:t>
      </w:r>
    </w:p>
    <w:p>
      <w:r>
        <w:t xml:space="preserve">Readings were taken at the start and end of each visit. </w:t>
      </w:r>
    </w:p>
    <w:p>
      <w:r>
        <w:t xml:space="preserve">No site required a follow-up visit within the assessment window. </w:t>
      </w:r>
    </w:p>
    <w:p>
      <w:r>
        <w:rPr>
          <w:b/>
          <w:sz w:val="24"/>
        </w:rPr>
        <w:t xml:space="preserve">What was measured</w:t>
      </w:r>
    </w:p>
    <w:p>
      <w:r>
        <w:t xml:space="preserve">Temperature, humidity, and airflow at three fixed points per site. 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.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+mn-lt" w:hAnsi="+mn-lt"/>
        <w:sz w:val="22"/>
      </w:rPr>
    </w:rPrDefault>
  </w:docDefaults>
  <w:style w:type="paragraph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</a:themeElements>
</a:theme>
</file>