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t xml:space="preserve">Retention Policy for Sealed Records</w:t>
      </w:r>
    </w:p>
    <w:p>
      <w:pPr>
        <w:pStyle w:val="Heading1"/>
      </w:pPr>
      <w:r>
        <w:t xml:space="preserve">1. Scope</w:t>
      </w:r>
    </w:p>
    <w:p>
      <w:r>
        <w:t xml:space="preserve">Sealed records are retained for the statutory period</w:t>
      </w:r>
      <w:r>
        <w:rPr>
          <w:rStyle w:val="EndnoteReference"/>
        </w:rPr>
        <w:endnoteReference w:id="1"/>
      </w:r>
      <w:r>
        <w:t xml:space="preserve">.</w:t>
      </w:r>
    </w:p>
    <w:p>
      <w:r>
        <w:t xml:space="preserve">See Section </w:t>
      </w:r>
      <w:fldSimple w:instr=" REF _Ref100 \r \h ">
        <w:r>
          <w:t xml:space="preserve">2</w:t>
        </w:r>
      </w:fldSimple>
      <w:r>
        <w:t xml:space="preserve"> for the exception.</w:t>
      </w:r>
    </w:p>
    <w:p>
      <w:pPr>
        <w:pStyle w:val="Heading1"/>
      </w:pPr>
      <w:r>
        <w:t xml:space="preserve">2. Exception</w:t>
      </w:r>
    </w:p>
    <w:p>
      <w:r>
        <w:t xml:space="preserve">A record under active appeal is retained until the appeal closes</w:t>
      </w:r>
      <w:r>
        <w:rPr>
          <w:rStyle w:val="EndnoteReference"/>
        </w:rPr>
        <w:endnoteReference w:id="2"/>
      </w:r>
      <w:r>
        <w:t xml:space="preserve">.</w:t>
      </w:r>
    </w:p>
    <w:p>
      <m:oMath>
        <m:r>
          <m:t>T</m:t>
        </m:r>
        <m:r>
          <m:t> = max(</m:t>
        </m:r>
        <m:r>
          <m:t>T</m:t>
        </m:r>
        <m:r>
          <m:t>statutory, </m:t>
        </m:r>
        <m:r>
          <m:t>T</m:t>
        </m:r>
        <m:r>
          <m:t>appeal)</m:t>
        </m:r>
      </m:oMath>
    </w:p>
    <w:p>
      <w:pPr>
        <w:pStyle w:val="Caption"/>
      </w:pPr>
      <w:r>
        <w:t xml:space="preserve">Equation 2. Effective retention period.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t xml:space="preserve">Seven years from the sealing date.</w:t>
      </w:r>
    </w:p>
  </w:endnote>
  <w:endnote w:id="2">
    <w:p>
      <w:pPr>
        <w:pStyle w:val="EndnoteText"/>
      </w:pPr>
      <w:r>
        <w:t xml:space="preserve">Appeals are tracked separately from the retention clock.</w:t>
      </w:r>
    </w:p>
  </w:endnote>
</w:end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Relationship Id="rId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