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</w:pPr>
      <w:r>
        <w:t xml:space="preserve">Queue Depth Under Sustained Load</w:t>
      </w:r>
    </w:p>
    <w:p>
      <w:pPr>
        <w:pStyle w:val="Heading1"/>
      </w:pPr>
      <w:r>
        <w:t xml:space="preserve">1. Introduction</w:t>
      </w:r>
    </w:p>
    <w:p>
      <w:r>
        <w:t xml:space="preserve">Acknowledgement latency is bounded by the queue drain rate</w:t>
      </w:r>
      <w:r>
        <w:rPr>
          <w:rStyle w:val="FootnoteReference"/>
        </w:rPr>
        <w:footnoteReference w:id="1"/>
      </w:r>
      <w:r>
        <w:t xml:space="preserve">, which the scheduler samples once per interval.</w:t>
      </w:r>
    </w:p>
    <w:p>
      <w:pPr>
        <w:pStyle w:val="Heading1"/>
      </w:pPr>
      <w:r>
        <w:t xml:space="preserve">2. Model</w:t>
      </w:r>
    </w:p>
    <w:p>
      <m:oMath>
        <m:sSub>
          <m:e>
            <m:r>
              <m:t>t</m:t>
            </m:r>
          </m:e>
          <m:sub>
            <m:r>
              <m:t>ack</m:t>
            </m:r>
          </m:sub>
        </m:sSub>
        <m:r>
          <m:t> = </m:t>
        </m:r>
        <m:f>
          <m:num>
            <m:r>
              <m:t>d</m:t>
            </m:r>
          </m:num>
          <m:den>
            <m:r>
              <m:t>r</m:t>
            </m:r>
          </m:den>
        </m:f>
      </m:oMath>
    </w:p>
    <w:p>
      <w:pPr>
        <w:pStyle w:val="Caption"/>
      </w:pPr>
      <w:r>
        <w:t xml:space="preserve">Equation 1. Acknowledgement time as a function of depth and drain rate.</w:t>
      </w:r>
    </w:p>
    <w:p>
      <w:r>
        <w:t xml:space="preserve">Where </w:t>
      </w:r>
      <w:r>
        <w:rPr>
          <w:i/>
        </w:rPr>
        <w:t>d</w:t>
      </w:r>
      <w:r>
        <w:t xml:space="preserve"> is queue depth and </w:t>
      </w:r>
      <w:r>
        <w:rPr>
          <w:i/>
        </w:rPr>
        <w:t>r</w:t>
      </w:r>
      <w:r>
        <w:t xml:space="preserve"> is the drain rate.</w:t>
      </w:r>
      <w:r>
        <w:rPr>
          <w:rStyle w:val="FootnoteReference"/>
        </w:rPr>
        <w:footnoteReference w:id="2"/>
      </w:r>
    </w:p>
    <w:p>
      <w:pPr>
        <w:pStyle w:val="Heading1"/>
      </w:pPr>
      <w:r>
        <w:t xml:space="preserve">3. Results</w:t>
      </w:r>
    </w:p>
    <w:p>
      <w:r>
        <w:t xml:space="preserve">The bound holds for all sampled intervals</w:t>
      </w:r>
      <w:r>
        <w:rPr>
          <w:rStyle w:val="FootnoteReference"/>
        </w:rPr>
        <w:footnoteReference w:id="3"/>
      </w:r>
      <w:r>
        <w:t xml:space="preserve"> except the first, which is warm-up.</w:t>
      </w:r>
    </w:p>
    <w:p>
      <w:r>
        <w:t xml:space="preserve">Substituting gives </w:t>
      </w:r>
      <m:oMath>
        <m:r>
          <m:t>r &gt; 0</m:t>
        </m:r>
      </m:oMath>
      <w:r>
        <w:t xml:space="preserve"> as the only precondition.</w:t>
      </w:r>
    </w:p>
    <w:sectPr>
      <w:pgSz w:w="12240" w:h="15840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t xml:space="preserve">Measured at the sampling boundary, not at enqueue.</w:t>
      </w:r>
    </w:p>
  </w:footnote>
  <w:footnote w:id="2">
    <w:p>
      <w:pPr>
        <w:pStyle w:val="FootnoteText"/>
      </w:pPr>
      <w:r>
        <w:t xml:space="preserve">Drain rate is per-shard; the aggregate is the sum.</w:t>
      </w:r>
    </w:p>
  </w:footnote>
  <w:footnote w:id="3">
    <w:p>
      <w:pPr>
        <w:pStyle w:val="FootnoteText"/>
      </w:pPr>
      <w:r>
        <w:t xml:space="preserve">Intervals two through forty, inclusive.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+mn-lt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Caption">
    <w:name w:val="Caption"/>
    <w:basedOn w:val="Normal"/>
    <w:rPr>
      <w:i/>
      <w:sz w:val="18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TableHeader">
    <w:name w:val="Table Head"/>
    <w:basedOn w:val="Normal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fontScheme>
      <a:majorFont>
        <a:latin typeface="Cambria"/>
      </a:majorFont>
      <a:minorFont>
        <a:latin typeface="Calibri"/>
      </a:minorFont>
    </a:fontScheme>
  </a:themeElements>
</a:theme>
</file>