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 xml:space="preserve">Every merge construct in one table</w:t>
      </w:r>
    </w:p>
    <w:tbl>
      <w:tblPr>
        <w:tblStyle w:val="Table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gridSpan w:val="2"/>
          </w:tcPr>
          <w:p>
            <w:pPr>
              <w:pStyle w:val="TableHeader"/>
            </w:pPr>
            <w:r>
              <w:t xml:space="preserve">Environment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Owner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Status</w:t>
            </w:r>
          </w:p>
        </w:tc>
      </w:tr>
      <w:tr>
        <w:tc>
          <w:tcPr>
            <w:tcW w:w="2400" w:type="dxa"/>
          </w:tcPr>
          <w:p>
            <w:pPr>
              <w:pStyle w:val="TableHeader"/>
            </w:pPr>
            <w:r>
              <w:t xml:space="preserve">name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tier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/>
            </w:r>
          </w:p>
        </w:tc>
      </w:tr>
      <w:tr>
        <w:tc>
          <w:tcPr>
            <w:tcW w:w="2400" w:type="dxa"/>
            <w:vMerge w:val="restart"/>
          </w:tcPr>
          <w:p>
            <w:r>
              <w:t xml:space="preserve">prod</w:t>
            </w:r>
          </w:p>
        </w:tc>
        <w:tc>
          <w:tcPr>
            <w:tcW w:w="2400" w:type="dxa"/>
          </w:tcPr>
          <w:p>
            <w:r>
              <w:t xml:space="preserve">gold</w:t>
            </w:r>
          </w:p>
        </w:tc>
        <w:tc>
          <w:tcPr>
            <w:tcW w:w="2400" w:type="dxa"/>
          </w:tcPr>
          <w:p>
            <w:r>
              <w:t xml:space="preserve">platform</w:t>
            </w:r>
          </w:p>
        </w:tc>
        <w:tc>
          <w:tcPr>
            <w:tcW w:w="2400" w:type="dxa"/>
          </w:tcPr>
          <w:p>
            <w:r>
              <w:t xml:space="preserve">green</w:t>
            </w:r>
          </w:p>
        </w:tc>
      </w:tr>
      <w:tr>
        <w:tc>
          <w:tcPr>
            <w:tcW w:w="2400" w:type="dxa"/>
            <w:vMerge w:val="continue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silver</w:t>
            </w:r>
          </w:p>
        </w:tc>
        <w:tc>
          <w:tcPr>
            <w:tcW w:w="2400" w:type="dxa"/>
          </w:tcPr>
          <w:p>
            <w:r>
              <w:t xml:space="preserve">platform</w:t>
            </w:r>
          </w:p>
        </w:tc>
        <w:tc>
          <w:tcPr>
            <w:tcW w:w="2400" w:type="dxa"/>
          </w:tcPr>
          <w:p>
            <w:r>
              <w:t xml:space="preserve">green</w:t>
            </w:r>
          </w:p>
        </w:tc>
      </w:tr>
      <w:tr>
        <w:tc>
          <w:tcPr>
            <w:tcW w:w="2400" w:type="dxa"/>
          </w:tcPr>
          <w:p>
            <w:r>
              <w:t xml:space="preserve">staging</w:t>
            </w:r>
          </w:p>
        </w:tc>
        <w:tc>
          <w:tcPr>
            <w:tcW w:w="2400" w:type="dxa"/>
          </w:tcPr>
          <w:p>
            <w:r>
              <w:t xml:space="preserve">bronze</w:t>
            </w:r>
          </w:p>
        </w:tc>
        <w:tc>
          <w:tcPr>
            <w:tcW w:w="2400" w:type="dxa"/>
          </w:tcPr>
          <w:p>
            <w:r>
              <w:t xml:space="preserve">qa</w:t>
            </w:r>
          </w:p>
        </w:tc>
        <w:tc>
          <w:tcPr>
            <w:tcW w:w="2400" w:type="dxa"/>
          </w:tcPr>
          <w:p>
            <w:r>
              <w:t xml:space="preserve">amber</w:t>
            </w:r>
          </w:p>
        </w:tc>
      </w:tr>
      <w:tr>
        <w:tc>
          <w:tcPr>
            <w:tcW w:w="2400" w:type="dxa"/>
            <w:gridSpan w:val="4"/>
          </w:tcPr>
          <w:p>
            <w:r>
              <w:t xml:space="preserve">Reviewed quarterly.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