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Heading1"/>
      </w:pPr>
      <w:r>
        <w:t xml:space="preserve">Horizontal merges and a two-row header</w:t>
      </w:r>
    </w:p>
    <w:tbl>
      <w:tblPr>
        <w:tblStyle w:val="Table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gridSpan w:val="2"/>
          </w:tcPr>
          <w:p>
            <w:pPr>
              <w:pStyle w:val="TableHeader"/>
            </w:pPr>
            <w:r>
              <w:t xml:space="preserve">Latency (ms)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Region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TableHeader"/>
            </w:pPr>
            <w:r>
              <w:t xml:space="preserve">p50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>p95</w:t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/>
            </w:r>
          </w:p>
        </w:tc>
        <w:tc>
          <w:tcPr>
            <w:tcW w:w="2400" w:type="dxa"/>
          </w:tcPr>
          <w:p>
            <w:pPr>
              <w:pStyle w:val="TableHeader"/>
            </w:pPr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t xml:space="preserve">48</w:t>
            </w:r>
          </w:p>
        </w:tc>
        <w:tc>
          <w:tcPr>
            <w:tcW w:w="2400" w:type="dxa"/>
          </w:tcPr>
          <w:p>
            <w:r>
              <w:t xml:space="preserve">us-east</w:t>
            </w:r>
          </w:p>
        </w:tc>
        <w:tc>
          <w:tcPr>
            <w:tcW w:w="2400" w:type="dxa"/>
          </w:tcPr>
          <w:p>
            <w:r>
              <w:t xml:space="preserve">baseline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61</w:t>
            </w:r>
          </w:p>
        </w:tc>
        <w:tc>
          <w:tcPr>
            <w:tcW w:w="2400" w:type="dxa"/>
          </w:tcPr>
          <w:p>
            <w:r>
              <w:t xml:space="preserve">eu-west</w:t>
            </w:r>
          </w:p>
        </w:tc>
        <w:tc>
          <w:tcPr>
            <w:tcW w:w="2400" w:type="dxa"/>
          </w:tcPr>
          <w:p>
            <w:r>
              <w:t xml:space="preserve">cold start</w:t>
            </w:r>
          </w:p>
        </w:tc>
      </w:tr>
      <w:tr>
        <w:tc>
          <w:tcPr>
            <w:tcW w:w="2400" w:type="dxa"/>
            <w:gridSpan w:val="4"/>
          </w:tcPr>
          <w:p>
            <w:r>
              <w:t xml:space="preserve">All regions meet the p95 budget.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+mn-lt"/>
        <w:sz w:val="22"/>
      </w:rPr>
    </w:rPrDefault>
  </w:docDefaults>
  <w:style w:type="paragraph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Heading1"/>
    <w:pPr>
      <w:outlineLvl w:val="1"/>
    </w:pPr>
    <w:rPr>
      <w:sz w:val="28"/>
    </w:rPr>
  </w:style>
  <w:style w:type="paragraph" w:styleId="Caption">
    <w:name w:val="Caption"/>
    <w:basedOn w:val="Normal"/>
    <w:rPr>
      <w:i/>
      <w:sz w:val="18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TableHeader">
    <w:name w:val="Table Head"/>
    <w:basedOn w:val="Normal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fontScheme>
      <a:majorFont>
        <a:latin typeface="Cambria"/>
      </a:majorFont>
      <a:minorFont>
        <a:latin typeface="Calibri"/>
      </a:minorFont>
    </a:fontScheme>
  </a:themeElements>
</a:theme>
</file>