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Vertical merges and a header column</w:t>
      </w:r>
    </w:p>
    <w:tbl>
      <w:tblPr>
        <w:tblStyle w:val="Table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pStyle w:val="TableHeader"/>
            </w:pPr>
            <w:r>
              <w:t xml:space="preserve">Shard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Interval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Depth</w:t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shard-a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120</w:t>
            </w:r>
          </w:p>
        </w:tc>
      </w:tr>
      <w:tr>
        <w:tc>
          <w:tcPr>
            <w:tcW w:w="2400" w:type="dxa"/>
            <w:vMerge w:val="continue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118</w:t>
            </w:r>
          </w:p>
        </w:tc>
      </w:tr>
      <w:tr>
        <w:tc>
          <w:tcPr>
            <w:tcW w:w="2400" w:type="dxa"/>
            <w:vMerge w:val="continue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121</w:t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shard-b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94</w:t>
            </w:r>
          </w:p>
        </w:tc>
      </w:tr>
      <w:tr>
        <w:tc>
          <w:tcPr>
            <w:tcW w:w="2400" w:type="dxa"/>
            <w:vMerge w:val="continue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97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