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Procedure</w:t>
      </w:r>
    </w:p>
    <w:p>
      <w:r>
        <w:t xml:space="preserve">1. Prepare the workspace before beginning. </w:t>
      </w:r>
    </w:p>
    <w:p>
      <w:r>
        <w:t xml:space="preserve">2. Verify the configuration matches the checklist. </w:t>
      </w:r>
    </w:p>
    <w:p>
      <w:r>
        <w:t xml:space="preserve">3. Record the result in the shared log. </w:t>
      </w:r>
    </w:p>
    <w:p>
      <w:r>
        <w:t xml:space="preserve">Sub-procedure</w:t>
      </w:r>
    </w:p>
    <w:p>
      <w:r>
        <w:t xml:space="preserve">I.  Roman numerals, typed by hand. </w:t>
      </w:r>
    </w:p>
    <w:p>
      <w:r>
        <w:t xml:space="preserve">II.  With two spaces after the period, as the template does. </w:t>
      </w:r>
    </w:p>
    <w:p>
      <w:r>
        <w:t xml:space="preserve">a) Lettered items using a closing parenthesis. </w:t>
      </w:r>
    </w:p>
    <w:p>
      <w:r>
        <w:t xml:space="preserve">b) Which no numbering definition describes. </w:t>
      </w:r>
    </w:p>
    <w:p>
      <w:r>
        <w:t xml:space="preserve">1998 was the year the original specification was published. </w:t>
      </w:r>
    </w:p>
    <w:p>
      <w:r>
        <w:t xml:space="preserve">2. of the four sections were revised in the second edition. 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