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 Reference Manuscript for Style-Driven Conversion</w:t>
      </w:r>
    </w:p>
    <w:p>
      <w:pPr>
        <w:pStyle w:val="Subtitle"/>
      </w:pPr>
      <w:r>
        <w:t xml:space="preserve">Demonstrating that named styles are sufficient</w:t>
      </w:r>
    </w:p>
    <w:p>
      <w:pPr>
        <w:pStyle w:val="Author"/>
      </w:pPr>
      <w:r>
        <w:t xml:space="preserve">A. Author and B. Coauthor</w:t>
      </w:r>
    </w:p>
    <w:p>
      <w:pPr>
        <w:pStyle w:val="Date"/>
      </w:pPr>
      <w:r>
        <w:t xml:space="preserve">2026-07-31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template exists to be converted, not read. It carries every construct </w:t>
      </w:r>
      <w:r>
        <w:t xml:space="preserve">MarkForge's DOCX round trip is measured against, expressed entirely through named </w:t>
      </w:r>
      <w:r>
        <w:t xml:space="preserve">styles so that a conversion needs no style map. Direct character formatting is </w:t>
      </w:r>
      <w:r>
        <w:t xml:space="preserve">absent by construction and asserted by test.</w:t>
      </w:r>
    </w:p>
    <w:p>
      <w:pPr>
        <w:pStyle w:val="Abstract"/>
      </w:pPr>
      <w:r>
        <w:rPr>
          <w:i/>
        </w:rPr>
        <w:t xml:space="preserve">Index terms</w:t>
      </w:r>
      <w:r>
        <w:t xml:space="preserve">—document conversion, OOXML, named styles, fidelity.</w:t>
      </w:r>
    </w:p>
    <w:bookmarkStart w:id="0" w:name="sec_intro"/>
    <w:p>
      <w:pPr>
        <w:pStyle w:val="Heading1"/>
      </w:pPr>
      <w:r>
        <w:t xml:space="preserve">Introduction</w:t>
      </w:r>
    </w:p>
    <w:bookmarkEnd w:id="0"/>
    <w:p>
      <w:pPr>
        <w:pStyle w:val="FirstParagraph"/>
      </w:pPr>
      <w:r>
        <w:t xml:space="preserve">A template is a claim about what a converter can preserve. This one is authored </w:t>
      </w:r>
      <w:r>
        <w:t xml:space="preserve">rather than borrowed, so it can be redistributed under Apache-2.0 without the </w:t>
      </w:r>
      <w:r>
        <w:t xml:space="preserve">licensing question a publisher template raises.</w:t>
      </w:r>
      <w:r>
        <w:rPr>
          <w:rStyle w:val="FootnoteReference"/>
        </w:rPr>
        <w:footnoteReference w:id="2"/>
      </w:r>
    </w:p>
    <w:p>
      <w:pPr>
        <w:pStyle w:val="BodyText"/>
      </w:pPr>
      <w:r>
        <w:t xml:space="preserve">Section </w:t>
      </w:r>
      <w:r>
        <w:fldChar w:fldCharType="begin"/>
      </w:r>
      <w:r>
        <w:instrText xml:space="preserve"> REF sec_results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reports what survives a round trip. The </w:t>
      </w:r>
      <w:r>
        <w:t xml:space="preserve">inline code span </w:t>
      </w:r>
      <w:r>
        <w:rPr>
          <w:rStyle w:val="VerbatimChar"/>
        </w:rPr>
        <w:t xml:space="preserve">renderDocx</w:t>
      </w:r>
      <w:r>
        <w:t xml:space="preserve"> is a character style, not a font change.</w:t>
      </w:r>
    </w:p>
    <w:p>
      <w:pPr>
        <w:pStyle w:val="Heading2"/>
      </w:pPr>
      <w:r>
        <w:t xml:space="preserve">Background</w:t>
      </w:r>
    </w:p>
    <w:p>
      <w:pPr>
        <w:pStyle w:val="BodyText"/>
      </w:pPr>
      <w:r>
        <w:t xml:space="preserve">Prior tools flatten structure into direct formatting. That is the failure this </w:t>
      </w:r>
      <w:r>
        <w:t xml:space="preserve">project exists to avoid.</w:t>
      </w:r>
    </w:p>
    <w:p>
      <w:pPr>
        <w:pStyle w:val="BlockText"/>
      </w:pPr>
      <w:r>
        <w:t xml:space="preserve">Named styles carry intent; direct formatting carries appearance. Only the first </w:t>
      </w:r>
      <w:r>
        <w:t xml:space="preserve">survives a conversion, because only the first says what the author meant.</w:t>
      </w:r>
    </w:p>
    <w:p>
      <w:pPr>
        <w:pStyle w:val="Heading3"/>
      </w:pPr>
      <w:r>
        <w:t xml:space="preserve">Method</w:t>
      </w:r>
    </w:p>
    <w:p>
      <w:pPr>
        <w:pStyle w:val="BodyText"/>
      </w:pPr>
      <w:r>
        <w:t xml:space="preserve">The acknowledgement latency </w:t>
      </w:r>
      <m:oMath>
        <m:sSub>
          <m:e>
            <m:r>
              <m:t>t</m:t>
            </m:r>
          </m:e>
          <m:sub>
            <m:r>
              <m:t>ack</m:t>
            </m:r>
          </m:sub>
        </m:sSub>
      </m:oMath>
      <w:r>
        <w:t xml:space="preserve"> is bounded by the queue depth </w:t>
      </w:r>
      <m:oMath>
        <m:r>
          <m:t>q</m:t>
        </m:r>
      </m:oMath>
      <w:r>
        <w:t xml:space="preserve">, giving the relation below.</w:t>
      </w:r>
    </w:p>
    <w:p>
      <w:pPr>
        <w:pStyle w:val="BodyText"/>
        <w:tabs>
          <w:tab w:val="right" w:pos="9360"/>
        </w:tabs>
      </w:pPr>
      <w:bookmarkStart w:id="1" w:name="eq_bound"/>
      <m:oMath>
        <m:f>
          <m:num>
            <m:r>
              <m:t>q</m:t>
            </m:r>
          </m:num>
          <m:den>
            <m:sSub>
              <m:e>
                <m:r>
                  <m:t>r</m:t>
                </m:r>
              </m:e>
              <m:sub>
                <m:r>
                  <m:t>in</m:t>
                </m:r>
              </m:sub>
            </m:sSub>
          </m:den>
        </m:f>
        <m:r>
          <m:t> ≤ </m:t>
        </m:r>
        <m:sSub>
          <m:e>
            <m:r>
              <m:t>t</m:t>
            </m:r>
          </m:e>
          <m:sub>
            <m:r>
              <m:t>max</m:t>
            </m:r>
          </m:sub>
        </m:sSub>
      </m:oMath>
      <w:bookmarkEnd w:id="1"/>
      <w:r>
        <w:tab/>
      </w:r>
      <w:r>
        <w:t xml:space="preserve">(1)</w:t>
      </w:r>
    </w:p>
    <w:p>
      <w:pPr>
        <w:pStyle w:val="BodyText"/>
      </w:pPr>
      <w:r>
        <w:t xml:space="preserve">Equation </w:t>
      </w:r>
      <w:r>
        <w:fldChar w:fldCharType="begin"/>
      </w:r>
      <w:r>
        <w:instrText xml:space="preserve"> REF eq_bound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holds while the ingest rate is positive.</w:t>
      </w:r>
    </w:p>
    <w:p>
      <w:pPr>
        <w:pStyle w:val="BodyText"/>
        <w:tabs>
          <w:tab w:val="right" w:pos="9360"/>
        </w:tabs>
      </w:pPr>
      <w:bookmarkStart w:id="2" w:name="eq_var"/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 =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∑</m:t>
        </m:r>
        <m:sSup>
          <m:e>
            <m:r>
              <m:t>(xᵢ − μ)</m:t>
            </m:r>
          </m:e>
          <m:sup>
            <m:r>
              <m:t>2</m:t>
            </m:r>
          </m:sup>
        </m:sSup>
      </m:oMath>
      <w:bookmarkEnd w:id="2"/>
      <w:r>
        <w:tab/>
      </w:r>
      <w:r>
        <w:t xml:space="preserve">(2)</w:t>
      </w:r>
    </w:p>
    <w:p>
      <w:pPr>
        <w:pStyle w:val="BodyText"/>
        <w:tabs>
          <w:tab w:val="right" w:pos="9360"/>
        </w:tabs>
      </w:pPr>
      <w:bookmarkStart w:id="3" w:name="eq_wait"/>
      <m:oMath>
        <m:r>
          <m:t>E[T] = </m:t>
        </m:r>
        <m:f>
          <m:num>
            <m:r>
              <m:t>1</m:t>
            </m:r>
          </m:num>
          <m:den>
            <m:r>
              <m:t>μ − λ</m:t>
            </m:r>
          </m:den>
        </m:f>
      </m:oMath>
      <w:bookmarkEnd w:id="3"/>
      <w:r>
        <w:tab/>
      </w:r>
      <w:r>
        <w:t xml:space="preserve">(3)</w:t>
      </w:r>
    </w:p>
    <w:p>
      <w:pPr>
        <w:pStyle w:val="Heading4"/>
      </w:pPr>
      <w:r>
        <w:t xml:space="preserve">Procedure</w:t>
      </w:r>
    </w:p>
    <w:p>
      <w:pPr>
        <w:pStyle w:val="Compact"/>
        <w:numPr>
          <w:ilvl w:val="0"/>
          <w:numId w:val="2"/>
        </w:numPr>
      </w:pPr>
      <w:r>
        <w:t xml:space="preserve">Register a schema before the first submission.</w:t>
      </w:r>
    </w:p>
    <w:p>
      <w:pPr>
        <w:pStyle w:val="Compact"/>
        <w:numPr>
          <w:ilvl w:val="1"/>
          <w:numId w:val="2"/>
        </w:numPr>
      </w:pPr>
      <w:r>
        <w:t xml:space="preserve">Submit a batch and record the acknowledgement time.</w:t>
      </w:r>
    </w:p>
    <w:p>
      <w:pPr>
        <w:pStyle w:val="Compact"/>
        <w:numPr>
          <w:ilvl w:val="2"/>
          <w:numId w:val="2"/>
        </w:numPr>
      </w:pPr>
      <w:r>
        <w:t xml:space="preserve">Confirm the warehouse commit before releasing the batch.</w:t>
      </w:r>
    </w:p>
    <w:p>
      <w:pPr>
        <w:pStyle w:val="BodyText"/>
      </w:pPr>
      <w:r>
        <w:t xml:space="preserve">The measurement restarts for each cohort:</w:t>
      </w:r>
    </w:p>
    <w:p>
      <w:pPr>
        <w:pStyle w:val="Compact"/>
        <w:numPr>
          <w:ilvl w:val="0"/>
          <w:numId w:val="3"/>
        </w:numPr>
      </w:pPr>
      <w:r>
        <w:t xml:space="preserve">Warm the queue for sixty seconds.</w:t>
      </w:r>
    </w:p>
    <w:p>
      <w:pPr>
        <w:pStyle w:val="Compact"/>
        <w:numPr>
          <w:ilvl w:val="1"/>
          <w:numId w:val="3"/>
        </w:numPr>
      </w:pPr>
      <w:r>
        <w:t xml:space="preserve">Sample one hundred submissions.</w:t>
      </w:r>
    </w:p>
    <w:p>
      <w:pPr>
        <w:pStyle w:val="Compact"/>
        <w:numPr>
          <w:ilvl w:val="0"/>
          <w:numId w:val="4"/>
        </w:numPr>
      </w:pPr>
      <w:r>
        <w:t xml:space="preserve">Discard the first decile.</w:t>
      </w:r>
    </w:p>
    <w:p>
      <w:pPr>
        <w:pStyle w:val="Compact"/>
        <w:numPr>
          <w:ilvl w:val="1"/>
          <w:numId w:val="4"/>
        </w:numPr>
      </w:pPr>
      <w:r>
        <w:t xml:space="preserve">Report the p95.</w:t>
      </w:r>
    </w:p>
    <w:p>
      <w:pPr>
        <w:pStyle w:val="Heading5"/>
      </w:pPr>
      <w:r>
        <w:t xml:space="preserve">Instrumentation</w:t>
      </w:r>
    </w:p>
    <w:p>
      <w:pPr>
        <w:pStyle w:val="BodyText"/>
      </w:pPr>
      <w:r>
        <w:t xml:space="preserve">Counters are read through the health endpoint.</w:t>
      </w:r>
      <w:r>
        <w:rPr>
          <w:rStyle w:val="FootnoteReference"/>
        </w:rPr>
        <w:footnoteReference w:id="3"/>
      </w:r>
    </w:p>
    <w:p>
      <w:pPr>
        <w:pStyle w:val="SourceCode"/>
      </w:pPr>
      <w:r>
        <w:t xml:space="preserve">const depth = await queue.depth();</w:t>
      </w:r>
    </w:p>
    <w:p>
      <w:pPr>
        <w:pStyle w:val="SourceCode"/>
      </w:pPr>
      <w:r>
        <w:t xml:space="preserve">if (depth &gt; MAX_DEPTH) throw new Error("queue saturated");</w:t>
      </w:r>
    </w:p>
    <w:p>
      <w:pPr>
        <w:pStyle w:val="Heading6"/>
      </w:pPr>
      <w:r>
        <w:t xml:space="preserve">Terminology</w:t>
      </w:r>
    </w:p>
    <w:p>
      <w:pPr>
        <w:pStyle w:val="DefinitionTerm"/>
      </w:pPr>
      <w:r>
        <w:t xml:space="preserve">Batch</w:t>
      </w:r>
    </w:p>
    <w:p>
      <w:pPr>
        <w:pStyle w:val="Definition"/>
      </w:pPr>
      <w:r>
        <w:t xml:space="preserve">One customer submission, validated and committed as a unit.</w:t>
      </w:r>
    </w:p>
    <w:bookmarkStart w:id="4" w:name="sec_results"/>
    <w:p>
      <w:pPr>
        <w:pStyle w:val="Heading1"/>
      </w:pPr>
      <w:r>
        <w:t xml:space="preserve">Results</w:t>
      </w:r>
    </w:p>
    <w:bookmarkEnd w:id="4"/>
    <w:p>
      <w:pPr>
        <w:pStyle w:val="TableCaption"/>
      </w:pPr>
      <w:r>
        <w:t xml:space="preserve">Table 1. Acknowledgement latency by cohort.</w:t>
      </w:r>
    </w:p>
    <w:bookmarkStart w:id="5" w:name="tbl_latency"/>
    <w:tbl>
      <w:tblPr>
        <w:tblStyle w:val="Table"/>
        <w:tblW w:w="0" w:type="auto"/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w="7020" w:type="dxa"/>
            <w:gridSpan w:val="3"/>
          </w:tcPr>
          <w:p>
            <w:pPr>
              <w:pStyle w:val="Compact"/>
            </w:pPr>
            <w:r>
              <w:t xml:space="preserve">Latency (ms)</w:t>
            </w:r>
          </w:p>
        </w:tc>
      </w:tr>
      <w:tr>
        <w:trPr>
          <w:tblHeader/>
        </w:trPr>
        <w:tc>
          <w:tcPr>
            <w:tcW w:w="2340" w:type="dxa"/>
          </w:tcPr>
          <w:p>
            <w:pPr>
              <w:pStyle w:val="Compact"/>
            </w:pPr>
            <w:r>
              <w:t xml:space="preserve">Cohort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p50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310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1840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290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1960</w:t>
            </w:r>
          </w:p>
        </w:tc>
      </w:tr>
    </w:tbl>
    <w:bookmarkEnd w:id="5"/>
    <w:p>
      <w:pPr>
        <w:pStyle w:val="BodyText"/>
      </w:pPr>
      <w:r>
        <w:t xml:space="preserve">Table </w:t>
      </w:r>
      <w:r>
        <w:fldChar w:fldCharType="begin"/>
      </w:r>
      <w:r>
        <w:instrText xml:space="preserve"> REF tbl_latency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shows both cohorts inside the two-second budget.</w:t>
      </w:r>
    </w:p>
    <w:p>
      <w:pPr>
        <w:pStyle w:val="TableCaption"/>
      </w:pPr>
      <w:r>
        <w:t xml:space="preserve">Table 2. Constructs exercised by this template.</w:t>
      </w:r>
    </w:p>
    <w:tbl>
      <w:tblPr>
        <w:tblStyle w:val="Table"/>
        <w:tblW w:w="0" w:type="auto"/>
      </w:tblPr>
      <w:tblGrid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pPr>
              <w:pStyle w:val="Compact"/>
            </w:pPr>
            <w:r>
              <w:t xml:space="preserve">Construct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Display equations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Footnotes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CaptionedFigure"/>
      </w:pPr>
      <w:r>
        <w:drawing>
          <wp:inline distT="0" distB="0" distL="0" distR="0">
            <wp:extent cx="2286000" cy="1428750"/>
            <wp:docPr id="10" name="Ingest pipeline" descr="Ingest pipeline"/>
            <a:graphic>
              <a:graphicData uri="http://schemas.openxmlformats.org/drawingml/2006/picture">
                <pic:pic>
                  <pic:nvPicPr>
                    <pic:cNvPr id="0" name="Ingest pipelin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" w:name="fig_pipeline"/>
    <w:p>
      <w:pPr>
        <w:pStyle w:val="ImageCaption"/>
      </w:pPr>
      <w:r>
        <w:t xml:space="preserve">Figure 1. The ingest pipeline, end to end.</w:t>
      </w:r>
    </w:p>
    <w:bookmarkEnd w:id="6"/>
    <w:p>
      <w:pPr>
        <w:pStyle w:val="BodyText"/>
      </w:pPr>
      <w:r>
        <w:t xml:space="preserve">Figure </w:t>
      </w:r>
      <w:r>
        <w:fldChar w:fldCharType="begin"/>
      </w:r>
      <w:r>
        <w:instrText xml:space="preserve"> REF fig_pipeline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is referenced from the body, so the cross-reference has a target.</w:t>
      </w:r>
    </w:p>
    <w:p>
      <w:pPr>
        <w:pStyle w:val="CaptionedFigure"/>
      </w:pPr>
      <w:r>
        <w:drawing>
          <wp:inline distT="0" distB="0" distL="0" distR="0">
            <wp:extent cx="5486400" cy="3429000"/>
            <wp:docPr id="11" name="Latency distribution" descr="Latency distribution"/>
            <a:graphic>
              <a:graphicData uri="http://schemas.openxmlformats.org/drawingml/2006/picture">
                <pic:pic>
                  <pic:nvPicPr>
                    <pic:cNvPr id="0" name="Latency distributi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Latency distribution across both cohorts, full width.</w:t>
      </w:r>
    </w:p>
    <w:p>
      <w:pPr>
        <w:pStyle w:val="Heading2"/>
      </w:pPr>
      <w:r>
        <w:t xml:space="preserve">Discussion</w:t>
      </w:r>
    </w:p>
    <w:p>
      <w:pPr>
        <w:pStyle w:val="BodyText"/>
      </w:pPr>
      <w:r>
        <w:t xml:space="preserve">The result matches </w:t>
      </w:r>
      <w:r>
        <w:fldChar w:fldCharType="begin"/>
      </w:r>
      <w:r>
        <w:instrText xml:space="preserve"> REF bib_kirk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 and extends </w:t>
      </w:r>
      <w:r>
        <w:fldChar w:fldCharType="begin"/>
      </w:r>
      <w:r>
        <w:instrText xml:space="preserve"> REF bib_nguyen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. A remaining threat to validity is cohort selection.</w:t>
      </w:r>
      <w:r>
        <w:rPr>
          <w:rStyle w:val="FootnoteReference"/>
        </w:rPr>
        <w:footnoteReference w:id="4"/>
      </w:r>
    </w:p>
    <w:p>
      <w:pPr>
        <w:pStyle w:val="TOCHeading"/>
      </w:pPr>
      <w:r>
        <w:t xml:space="preserve">References</w:t>
      </w:r>
    </w:p>
    <w:bookmarkStart w:id="7" w:name="bib_kirk"/>
    <w:p>
      <w:pPr>
        <w:pStyle w:val="Bibliography"/>
      </w:pPr>
      <w:r>
        <w:t xml:space="preserve">[1] Kirk, A. Queueing Behaviour of Ingest Pipelines. Journal of Systems, 2024.</w:t>
      </w:r>
    </w:p>
    <w:bookmarkEnd w:id="7"/>
    <w:bookmarkStart w:id="8" w:name="bib_nguyen"/>
    <w:p>
      <w:pPr>
        <w:pStyle w:val="Bibliography"/>
      </w:pPr>
      <w:r>
        <w:t xml:space="preserve">[2] Nguyen, T. Atomic Batch Commit. Proceedings of DataOps, 2025.</w:t>
      </w:r>
    </w:p>
    <w:bookmarkEnd w:id="8"/>
    <w:p>
      <w:pPr>
        <w:pStyle w:val="Bibliography"/>
      </w:pPr>
      <w:r>
        <w:t xml:space="preserve">[3] Okafor, C. Style-Driven Document Conversion. TechRep 118, 2025.</w:t>
      </w:r>
    </w:p>
    <w:p>
      <w:pPr>
        <w:pStyle w:val="Bibliography"/>
      </w:pPr>
      <w:r>
        <w:t xml:space="preserve">[4] Petrova, L. Provenance in Generated Documents. Systems Review, 2026.</w:t>
      </w:r>
    </w:p>
    <w:p>
      <w:pPr>
        <w:pStyle w:val="Bibliography"/>
      </w:pPr>
      <w:r>
        <w:t xml:space="preserve">[5] Silva, M. On Reference Templates. Document Engineering, 2026.</w:t>
      </w:r>
    </w:p>
    <w:sectPr>
      <w:headerReference w:type="default" r:id="rIdHdr"/>
      <w:footerReference w:type="default" r:id="rIdFt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0">
    <w:p>
      <w:pPr>
        <w:pStyle w:val="FootnoteText"/>
      </w:pPr>
      <w:r>
        <w:separator/>
      </w:r>
    </w:p>
  </w:footnote>
  <w:footnote w:type="continuationSeparator" w:id="1">
    <w:p>
      <w:pPr>
        <w:pStyle w:val="FootnoteText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Authored templates avoid the redistribution question entirely; see docs/TEMPLATES.md §1.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The endpoint reports queue depth, worker count, and the warehouse commit lag.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Cohorts were assigned by submission time rather than at random.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t xml:space="preserve">A Reference Manuscript for Style-Driven Conversion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upperRoman"/>
      <w:lvlText w:val="%1."/>
      <w:lvlJc w:val="left"/>
      <w:pPr>
        <w:ind w:left="360" w:hanging="360"/>
      </w:pPr>
      <w:rPr>
        <w:rStyle w:val="SectionNumber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Style w:val="SectionNumber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Style w:val="SectionNumber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Style w:val="SectionNumber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Style w:val="SectionNumber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Style w:val="SectionNumber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en-US"/>
      </w:rPr>
    </w:rPrDefault>
    <w:pPrDefault>
      <w:pPr>
        <w:spacing w:after="120"/>
      </w:pPr>
    </w:pPrDefault>
  </w:docDefaults>
  <w:style w:type="paragraph" w:styleId="Abstract">
    <w:name w:val="Abstract"/>
    <w:basedOn w:val="Normal"/>
    <w:qFormat/>
    <w:pPr>
      <w:ind w:left="720" w:right="720"/>
    </w:pPr>
    <w:rPr>
      <w:sz w:val="18"/>
    </w:rPr>
  </w:style>
  <w:style w:type="paragraph" w:styleId="AbstractTitle">
    <w:name w:val="AbstractTitle"/>
    <w:basedOn w:val="Normal"/>
    <w:qFormat/>
    <w:pPr>
      <w:jc w:val="center"/>
      <w:spacing w:before="120"/>
    </w:pPr>
    <w:rPr>
      <w:b/>
    </w:rPr>
  </w:style>
  <w:style w:type="paragraph" w:styleId="Author">
    <w:name w:val="Author"/>
    <w:basedOn w:val="Normal"/>
    <w:qFormat/>
    <w:pPr>
      <w:jc w:val="center"/>
      <w:spacing w:after="0"/>
    </w:pPr>
    <w:rPr>
      <w:sz w:val="24"/>
    </w:rPr>
  </w:style>
  <w:style w:type="paragraph" w:styleId="Bibliography">
    <w:name w:val="Bibliography"/>
    <w:basedOn w:val="Normal"/>
    <w:qFormat/>
    <w:pPr>
      <w:ind w:left="360" w:hanging="360"/>
      <w:spacing w:after="60"/>
      <w:jc w:val="left"/>
    </w:pPr>
  </w:style>
  <w:style w:type="paragraph" w:styleId="BlockText">
    <w:name w:val="Block Text"/>
    <w:basedOn w:val="Normal"/>
    <w:qFormat/>
    <w:pPr>
      <w:ind w:left="720" w:right="720"/>
      <w:spacing w:before="120" w:after="120"/>
    </w:pPr>
    <w:rPr>
      <w:i/>
    </w:rPr>
  </w:style>
  <w:style w:type="paragraph" w:styleId="BodyText">
    <w:name w:val="Body Text"/>
    <w:basedOn w:val="Normal"/>
    <w:qFormat/>
  </w:style>
  <w:style w:type="paragraph" w:styleId="Caption">
    <w:name w:val="Caption"/>
    <w:basedOn w:val="Normal"/>
    <w:qFormat/>
    <w:pPr>
      <w:jc w:val="center"/>
      <w:spacing w:before="60" w:after="120"/>
    </w:pPr>
    <w:rPr>
      <w:sz w:val="18"/>
    </w:rPr>
  </w:style>
  <w:style w:type="paragraph" w:styleId="CaptionedFigure">
    <w:name w:val="Captioned Figure"/>
    <w:basedOn w:val="Normal"/>
    <w:qFormat/>
    <w:pPr>
      <w:jc w:val="center"/>
      <w:spacing w:before="120" w:after="0"/>
    </w:pPr>
  </w:style>
  <w:style w:type="paragraph" w:styleId="Compact">
    <w:name w:val="Compact"/>
    <w:basedOn w:val="Normal"/>
    <w:qFormat/>
    <w:pPr>
      <w:spacing w:after="0"/>
    </w:pPr>
  </w:style>
  <w:style w:type="paragraph" w:styleId="Date">
    <w:name w:val="Date"/>
    <w:basedOn w:val="Normal"/>
    <w:qFormat/>
    <w:pPr>
      <w:jc w:val="center"/>
      <w:spacing w:after="240"/>
    </w:pPr>
    <w:rPr>
      <w:sz w:val="20"/>
    </w:rPr>
  </w:style>
  <w:style w:type="character" w:styleId="DefaultParagraphFont" w:default="1">
    <w:name w:val="Default Paragraph Font"/>
  </w:style>
  <w:style w:type="paragraph" w:styleId="Definition">
    <w:name w:val="Definition"/>
    <w:basedOn w:val="Normal"/>
    <w:qFormat/>
    <w:pPr>
      <w:ind w:left="720"/>
    </w:pPr>
  </w:style>
  <w:style w:type="paragraph" w:styleId="DefinitionTerm">
    <w:name w:val="Definition Term"/>
    <w:basedOn w:val="Normal"/>
    <w:qFormat/>
    <w:pPr>
      <w:spacing w:after="0"/>
      <w:keepNext/>
    </w:pPr>
    <w:rPr>
      <w:b/>
    </w:rPr>
  </w:style>
  <w:style w:type="paragraph" w:styleId="Figure">
    <w:name w:val="Figure"/>
    <w:basedOn w:val="CaptionedFigure"/>
    <w:qFormat/>
  </w:style>
  <w:style w:type="paragraph" w:styleId="FirstParagraph">
    <w:name w:val="First Paragraph"/>
    <w:basedOn w:val="BodyText"/>
    <w:qFormat/>
    <w:pPr>
      <w:ind w:firstLine="0"/>
    </w:pPr>
  </w:style>
  <w:style w:type="paragraph" w:styleId="FootnoteBlockText">
    <w:name w:val="Footnote Block Text"/>
    <w:basedOn w:val="FootnoteText"/>
    <w:qFormat/>
    <w:pPr>
      <w:ind w:left="360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/>
      <w:jc w:val="left"/>
    </w:pPr>
    <w:rPr>
      <w:sz w:val="16"/>
    </w:rPr>
  </w:style>
  <w:style w:type="paragraph" w:styleId="Heading1">
    <w:name w:val="Heading 1"/>
    <w:basedOn w:val="Normal"/>
    <w:qFormat/>
    <w:pPr>
      <w:outlineLvl w:val="0"/>
      <w:keepNext/>
      <w:spacing w:before="280" w:after="80"/>
      <w:jc w:val="left"/>
      <w:numPr>
        <w:ilvl w:val="0"/>
        <w:numId w:val="1"/>
      </w:numPr>
    </w:pPr>
    <w:rPr>
      <w:b/>
      <w:sz w:val="32"/>
    </w:rPr>
  </w:style>
  <w:style w:type="paragraph" w:styleId="Heading2">
    <w:name w:val="Heading 2"/>
    <w:basedOn w:val="Normal"/>
    <w:qFormat/>
    <w:pPr>
      <w:outlineLvl w:val="1"/>
      <w:keepNext/>
      <w:spacing w:before="260" w:after="80"/>
      <w:jc w:val="left"/>
      <w:numPr>
        <w:ilvl w:val="1"/>
        <w:numId w:val="1"/>
      </w:numPr>
    </w:pPr>
    <w:rPr>
      <w:b/>
      <w:sz w:val="30"/>
    </w:rPr>
  </w:style>
  <w:style w:type="paragraph" w:styleId="Heading3">
    <w:name w:val="Heading 3"/>
    <w:basedOn w:val="Normal"/>
    <w:qFormat/>
    <w:pPr>
      <w:outlineLvl w:val="2"/>
      <w:keepNext/>
      <w:spacing w:before="240" w:after="80"/>
      <w:jc w:val="left"/>
      <w:numPr>
        <w:ilvl w:val="2"/>
        <w:numId w:val="1"/>
      </w:numPr>
    </w:pPr>
    <w:rPr>
      <w:b/>
      <w:sz w:val="28"/>
    </w:rPr>
  </w:style>
  <w:style w:type="paragraph" w:styleId="Heading4">
    <w:name w:val="Heading 4"/>
    <w:basedOn w:val="Normal"/>
    <w:qFormat/>
    <w:pPr>
      <w:outlineLvl w:val="3"/>
      <w:keepNext/>
      <w:spacing w:before="220" w:after="80"/>
      <w:jc w:val="left"/>
      <w:numPr>
        <w:ilvl w:val="3"/>
        <w:numId w:val="1"/>
      </w:numPr>
    </w:pPr>
    <w:rPr>
      <w:b/>
      <w:sz w:val="26"/>
    </w:rPr>
  </w:style>
  <w:style w:type="paragraph" w:styleId="Heading5">
    <w:name w:val="Heading 5"/>
    <w:basedOn w:val="Normal"/>
    <w:qFormat/>
    <w:pPr>
      <w:outlineLvl w:val="4"/>
      <w:keepNext/>
      <w:spacing w:before="200" w:after="80"/>
      <w:jc w:val="left"/>
      <w:numPr>
        <w:ilvl w:val="4"/>
        <w:numId w:val="1"/>
      </w:numPr>
    </w:pPr>
    <w:rPr>
      <w:b/>
      <w:sz w:val="24"/>
    </w:rPr>
  </w:style>
  <w:style w:type="paragraph" w:styleId="Heading6">
    <w:name w:val="Heading 6"/>
    <w:basedOn w:val="Normal"/>
    <w:qFormat/>
    <w:pPr>
      <w:outlineLvl w:val="5"/>
      <w:keepNext/>
      <w:spacing w:before="180" w:after="80"/>
      <w:jc w:val="left"/>
      <w:numPr>
        <w:ilvl w:val="5"/>
        <w:numId w:val="1"/>
      </w:numPr>
    </w:pPr>
    <w:rPr>
      <w:b/>
      <w:sz w:val="22"/>
    </w:rPr>
  </w:style>
  <w:style w:type="paragraph" w:styleId="Heading7">
    <w:name w:val="Heading 7"/>
    <w:basedOn w:val="Normal"/>
    <w:qFormat/>
    <w:pPr>
      <w:outlineLvl w:val="6"/>
      <w:keepNext/>
      <w:spacing w:before="160" w:after="80"/>
      <w:jc w:val="left"/>
    </w:pPr>
    <w:rPr>
      <w:b/>
      <w:sz w:val="20"/>
    </w:rPr>
  </w:style>
  <w:style w:type="paragraph" w:styleId="Heading8">
    <w:name w:val="Heading 8"/>
    <w:basedOn w:val="Normal"/>
    <w:qFormat/>
    <w:pPr>
      <w:outlineLvl w:val="7"/>
      <w:keepNext/>
      <w:spacing w:before="140" w:after="80"/>
      <w:jc w:val="left"/>
    </w:pPr>
    <w:rPr>
      <w:b/>
      <w:sz w:val="20"/>
    </w:rPr>
  </w:style>
  <w:style w:type="paragraph" w:styleId="Heading9">
    <w:name w:val="Heading 9"/>
    <w:basedOn w:val="Normal"/>
    <w:qFormat/>
    <w:pPr>
      <w:outlineLvl w:val="8"/>
      <w:keepNext/>
      <w:spacing w:before="120" w:after="80"/>
      <w:jc w:val="left"/>
    </w:pPr>
    <w:rPr>
      <w:b/>
      <w:sz w:val="20"/>
    </w:rPr>
  </w:style>
  <w:style w:type="character" w:styleId="Hyperlink">
    <w:name w:val="Hyperlink"/>
    <w:rPr>
      <w:color w:val="0563C1"/>
      <w:u w:val="single"/>
    </w:rPr>
  </w:style>
  <w:style w:type="paragraph" w:styleId="ImageCaption">
    <w:name w:val="Image Caption"/>
    <w:basedOn w:val="Caption"/>
    <w:qFormat/>
  </w:style>
  <w:style w:type="paragraph" w:styleId="Normal" w:default="1">
    <w:name w:val="Normal"/>
    <w:pPr>
      <w:spacing w:after="120" w:line="240" w:lineRule="auto"/>
      <w:jc w:val="both"/>
    </w:pPr>
  </w:style>
  <w:style w:type="character" w:styleId="SectionNumber">
    <w:name w:val="Section Number"/>
    <w:rPr>
      <w:b/>
    </w:rPr>
  </w:style>
  <w:style w:type="paragraph" w:styleId="SourceCode">
    <w:name w:val="Source Code"/>
    <w:basedOn w:val="Normal"/>
    <w:qFormat/>
    <w:pPr>
      <w:spacing w:after="0"/>
      <w:jc w:val="left"/>
      <w:shd w:val="clear" w:fill="F5F5F5"/>
    </w:pPr>
    <w:rPr>
      <w:rFonts w:ascii="Consolas" w:hAnsi="Consolas"/>
      <w:sz w:val="18"/>
    </w:rPr>
  </w:style>
  <w:style w:type="paragraph" w:styleId="Subtitle">
    <w:name w:val="Subtitle"/>
    <w:basedOn w:val="Normal"/>
    <w:qFormat/>
    <w:pPr>
      <w:jc w:val="center"/>
    </w:pPr>
    <w:rPr>
      <w:sz w:val="28"/>
      <w:i/>
    </w:rPr>
  </w:style>
  <w:style w:type="paragraph" w:styleId="TOCHeading">
    <w:name w:val="TOC Heading"/>
    <w:basedOn w:val="Heading1"/>
    <w:qFormat/>
    <w:pPr>
      <w:numPr>
        <w:ilvl w:val="0"/>
        <w:numId w:val="0"/>
      </w:numPr>
    </w:pPr>
  </w:style>
  <w:style w:type="table" w:styleId="Table">
    <w:name w:val="Table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60" w:type="dxa"/>
        <w:bottom w:w="60" w:type="dxa"/>
        <w:left w:w="80" w:type="dxa"/>
        <w:right w:w="80" w:type="dxa"/>
      </w:tblCellMar>
    </w:tblPr>
  </w:style>
  <w:style w:type="paragraph" w:styleId="TableCaption">
    <w:name w:val="Table Caption"/>
    <w:basedOn w:val="Caption"/>
    <w:qFormat/>
    <w:pPr>
      <w:spacing w:before="120" w:after="60"/>
    </w:pPr>
  </w:style>
  <w:style w:type="paragraph" w:styleId="Title">
    <w:name w:val="Title"/>
    <w:basedOn w:val="Normal"/>
    <w:qFormat/>
    <w:pPr>
      <w:jc w:val="center"/>
      <w:spacing w:after="60"/>
    </w:pPr>
    <w:rPr>
      <w:sz w:val="48"/>
      <w:b/>
    </w:rPr>
  </w:style>
  <w:style w:type="character" w:styleId="VerbatimChar">
    <w:name w:val="Verbatim Char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theme" Target="theme/theme1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10" Type="http://schemas.openxmlformats.org/officeDocument/2006/relationships/image" Target="media/figure1.png"/><Relationship Id="rId11" Type="http://schemas.openxmlformats.org/officeDocument/2006/relationships/image" Target="media/figure2.png"/></Relationships>
</file>

<file path=word/theme/theme1.xml><?xml version="1.0" encoding="utf-8"?>
<a:theme xmlns:a="http://schemas.openxmlformats.org/drawingml/2006/main" name="MarkForge">
  <a:themeElements>
    <a:clrScheme name="MarkForge">
      <a:dk1>
        <a:srgbClr val="000000"/>
      </a:dk1>
      <a:lt1>
        <a:srgbClr val="FFFFFF"/>
      </a:lt1>
      <a:dk2>
        <a:srgbClr val="44546A"/>
      </a:dk2>
      <a:lt2>
        <a:srgbClr val="44546A"/>
      </a:lt2>
      <a:accent1>
        <a:srgbClr val="44546A"/>
      </a:accent1>
      <a:accent2>
        <a:srgbClr val="44546A"/>
      </a:accent2>
      <a:accent3>
        <a:srgbClr val="44546A"/>
      </a:accent3>
      <a:accent4>
        <a:srgbClr val="44546A"/>
      </a:accent4>
      <a:accent5>
        <a:srgbClr val="44546A"/>
      </a:accent5>
      <a:accent6>
        <a:srgbClr val="44546A"/>
      </a:accent6>
      <a:hlink>
        <a:srgbClr val="44546A"/>
      </a:hlink>
      <a:folHlink>
        <a:srgbClr val="44546A"/>
      </a:folHlink>
    </a:clrScheme>
    <a:fontScheme name="MarkForg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MarkForg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MarkForge reference template</dc:title>
  <dc:creator>MarkForge</dc:creator>
  <dcterms:created xsi:type="dcterms:W3CDTF">2026-07-31T00:00:00Z</dcterms:created>
  <dcterms:modified xsi:type="dcterms:W3CDTF">2026-07-31T00:00:00Z</dcterms:modified>
</cp:coreProperties>
</file>