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Quarterly Ingest Review</w:t>
      </w:r>
    </w:p>
    <w:p>
      <w:pPr>
        <w:pStyle w:val="Subtitle"/>
      </w:pPr>
      <w:r>
        <w:t xml:space="preserve">Q2 2026</w:t>
      </w:r>
    </w:p>
    <w:p>
      <w:pPr>
        <w:pStyle w:val="Author"/>
      </w:pPr>
      <w:r>
        <w:t xml:space="preserve">Platform Team</w:t>
      </w:r>
    </w:p>
    <w:p>
      <w:pPr>
        <w:pStyle w:val="Date"/>
      </w:pPr>
      <w:r>
        <w:t xml:space="preserve">2026-07-31</w:t>
      </w:r>
    </w:p>
    <w:bookmarkStart w:id="10" w:name="sec_summary"/>
    <w:p>
      <w:pPr>
        <w:pStyle w:val="Heading1"/>
      </w:pPr>
      <w:r>
        <w:t xml:space="preserve">Summary</w:t>
      </w:r>
    </w:p>
    <w:bookmarkEnd w:id="10"/>
    <w:p>
      <w:pPr>
        <w:pStyle w:val="FirstParagraph"/>
      </w:pPr>
      <w:r>
        <w:t xml:space="preserve">Ingest volume rose 24 percent while p95 acknowledgement latency fell.</w:t>
      </w:r>
    </w:p>
    <w:p>
      <w:pPr>
        <w:pStyle w:val="Heading2"/>
      </w:pPr>
      <w:r>
        <w:t xml:space="preserve">Findings</w:t>
      </w:r>
    </w:p>
    <w:p>
      <w:pPr>
        <w:pStyle w:val="Compact"/>
        <w:numPr>
          <w:ilvl w:val="0"/>
          <w:numId w:val="2"/>
        </w:numPr>
      </w:pPr>
      <w:r>
        <w:t xml:space="preserve">Latency stayed inside the two-second budget in both cohorts.</w:t>
      </w:r>
    </w:p>
    <w:p>
      <w:pPr>
        <w:pStyle w:val="Compact"/>
        <w:numPr>
          <w:ilvl w:val="1"/>
          <w:numId w:val="2"/>
        </w:numPr>
      </w:pPr>
      <w:r>
        <w:t xml:space="preserve">One incident in March traced to a long-running batch.</w:t>
      </w:r>
    </w:p>
    <w:p>
      <w:pPr>
        <w:pStyle w:val="Heading3"/>
      </w:pPr>
      <w:r>
        <w:t xml:space="preserve">Detail</w:t>
      </w:r>
    </w:p>
    <w:p>
      <w:pPr>
        <w:pStyle w:val="TableCaption"/>
      </w:pPr>
      <w:r>
        <w:t xml:space="preserve">Table 1. Quarterly figures.</w:t>
      </w:r>
    </w:p>
    <w:tbl>
      <w:tblPr>
        <w:tblStyle w:val="Table"/>
        <w:tblW w:w="0" w:type="auto"/>
      </w:tblPr>
      <w:tblGrid>
        <w:gridCol w:w="2340"/>
        <w:gridCol w:w="2340"/>
        <w:gridCol w:w="2340"/>
      </w:tblGrid>
      <w:tr>
        <w:trPr>
          <w:tblHeader/>
        </w:trPr>
        <w:tc>
          <w:tcPr>
            <w:tcW w:w="2340" w:type="dxa"/>
          </w:tcPr>
          <w:p>
            <w:pPr>
              <w:pStyle w:val="Compact"/>
            </w:pPr>
            <w:r>
              <w:t xml:space="preserve">Metric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t xml:space="preserve">Q1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t xml:space="preserve">Q2</w:t>
            </w:r>
          </w:p>
        </w:tc>
      </w:tr>
      <w:tr>
        <w:tc>
          <w:tcPr>
            <w:tcW w:w="2340" w:type="dxa"/>
          </w:tcPr>
          <w:p>
            <w:pPr>
              <w:pStyle w:val="Compact"/>
            </w:pPr>
            <w:r>
              <w:t xml:space="preserve">Batches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t xml:space="preserve">1.2M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t xml:space="preserve">1.5M</w:t>
            </w:r>
          </w:p>
        </w:tc>
      </w:tr>
      <w:tr>
        <w:tc>
          <w:tcPr>
            <w:tcW w:w="2340" w:type="dxa"/>
          </w:tcPr>
          <w:p>
            <w:pPr>
              <w:pStyle w:val="Compact"/>
            </w:pPr>
            <w:r>
              <w:t xml:space="preserve">p95 (ms)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t xml:space="preserve">1980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t xml:space="preserve">1840</w:t>
            </w:r>
          </w:p>
        </w:tc>
      </w:tr>
    </w:tbl>
    <w:p>
      <w:pPr>
        <w:pStyle w:val="Heading4"/>
      </w:pPr>
      <w:r>
        <w:t xml:space="preserve">Recommendation</w:t>
      </w:r>
    </w:p>
    <w:p>
      <w:pPr>
        <w:pStyle w:val="BodyText"/>
      </w:pPr>
      <w:r>
        <w:t xml:space="preserve">Hold the current timeout.</w:t>
      </w:r>
      <w:r>
        <w:rPr>
          <w:rStyle w:val="FootnoteReference"/>
        </w:rPr>
        <w:footnoteReference w:id="2"/>
      </w:r>
    </w:p>
    <w:p>
      <w:pPr>
        <w:pStyle w:val="BlockText"/>
      </w:pPr>
      <w:r>
        <w:t xml:space="preserve">The March incident is the only argument for changing it, and it had another cause.</w:t>
      </w:r>
    </w:p>
    <w:p>
      <w:pPr>
        <w:pStyle w:val="Heading5"/>
      </w:pPr>
      <w:r>
        <w:t xml:space="preserve">Risks</w:t>
      </w:r>
    </w:p>
    <w:p>
      <w:pPr>
        <w:pStyle w:val="DefinitionTerm"/>
      </w:pPr>
      <w:r>
        <w:t xml:space="preserve">Cohort drift</w:t>
      </w:r>
    </w:p>
    <w:p>
      <w:pPr>
        <w:pStyle w:val="Definition"/>
      </w:pPr>
      <w:r>
        <w:t xml:space="preserve">Customer mix changes faster than the sampling window.</w:t>
      </w:r>
    </w:p>
    <w:p>
      <w:pPr>
        <w:pStyle w:val="Heading6"/>
      </w:pPr>
      <w:r>
        <w:t xml:space="preserve">Appendix</w:t>
      </w:r>
    </w:p>
    <w:p>
      <w:pPr>
        <w:pStyle w:val="SourceCode"/>
      </w:pPr>
      <w:r>
        <w:t xml:space="preserve">nimbusctl report --quarter 2026Q2</w:t>
      </w:r>
    </w:p>
    <w:p>
      <w:pPr>
        <w:pStyle w:val="BodyText"/>
      </w:pPr>
      <w:r>
        <w:t xml:space="preserve">See </w:t>
      </w:r>
      <w:r>
        <w:fldChar w:fldCharType="begin"/>
      </w:r>
      <w:r>
        <w:instrText xml:space="preserve"> REF sec_summary \h </w:instrText>
      </w:r>
      <w:r>
        <w:fldChar w:fldCharType="separate"/>
      </w:r>
      <w:r>
        <w:t xml:space="preserve">[ref]</w:t>
      </w:r>
      <w:r>
        <w:fldChar w:fldCharType="end"/>
      </w:r>
      <w:r>
        <w:t xml:space="preserve"> for the headline figures.</w:t>
      </w:r>
    </w:p>
    <w:p>
      <w:pPr>
        <w:pStyle w:val="TOCHeading"/>
      </w:pPr>
      <w:r>
        <w:t xml:space="preserve">References</w:t>
      </w:r>
    </w:p>
    <w:p>
      <w:pPr>
        <w:pStyle w:val="Bibliography"/>
      </w:pPr>
      <w:r>
        <w:t xml:space="preserve">[1] Nimbus Operations Review, internal, 2026.</w:t>
      </w:r>
    </w:p>
    <w:sectPr>
      <w:headerReference w:type="default" r:id="rIdHdr"/>
      <w:footerReference w:type="default" r:id="rIdFt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p>
    <w:pPr>
      <w:pStyle w:val="Compact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footnote w:type="separator" w:id="0">
    <w:p>
      <w:pPr>
        <w:pStyle w:val="FootnoteText"/>
      </w:pPr>
      <w:r>
        <w:separator/>
      </w:r>
    </w:p>
  </w:footnote>
  <w:footnote w:type="continuationSeparator" w:id="1">
    <w:p>
      <w:pPr>
        <w:pStyle w:val="FootnoteText"/>
      </w:pPr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The March incident is documented in the operations log.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p>
    <w:pPr>
      <w:pStyle w:val="Compact"/>
      <w:jc w:val="center"/>
    </w:pPr>
    <w:r>
      <w:t xml:space="preserve">Quarterly Ingest Review — Q2 2026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upperRoman"/>
      <w:lvlText w:val="%1."/>
      <w:lvlJc w:val="left"/>
      <w:pPr>
        <w:ind w:left="360" w:hanging="360"/>
      </w:pPr>
      <w:rPr>
        <w:rStyle w:val="SectionNumber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Style w:val="SectionNumber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Style w:val="SectionNumber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Style w:val="SectionNumber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Style w:val="SectionNumber"/>
      </w:rPr>
    </w:lvl>
    <w:lvl w:ilvl="5">
      <w:start w:val="1"/>
      <w:numFmt w:val="decimal"/>
      <w:lvlText w:val="%1.%2.%3.%4.%5.%6."/>
      <w:lvlJc w:val="left"/>
      <w:pPr>
        <w:ind w:left="2160" w:hanging="360"/>
      </w:pPr>
      <w:rPr>
        <w:rStyle w:val="SectionNumber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720" w:hanging="360"/>
      </w:pPr>
      <w:rPr>
        <w:rFonts w:ascii="Symbol" w:hAnsi="Symbol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0"/>
        <w:szCs w:val="20"/>
        <w:lang w:val="en-US"/>
      </w:rPr>
    </w:rPrDefault>
    <w:pPrDefault>
      <w:pPr>
        <w:spacing w:after="120"/>
      </w:pPr>
    </w:pPrDefault>
  </w:docDefaults>
  <w:style w:type="paragraph" w:styleId="Abstract">
    <w:name w:val="Abstract"/>
    <w:basedOn w:val="Normal"/>
    <w:qFormat/>
    <w:pPr>
      <w:ind w:left="720" w:right="720"/>
    </w:pPr>
    <w:rPr>
      <w:sz w:val="18"/>
    </w:rPr>
  </w:style>
  <w:style w:type="paragraph" w:styleId="AbstractTitle">
    <w:name w:val="AbstractTitle"/>
    <w:basedOn w:val="Normal"/>
    <w:qFormat/>
    <w:pPr>
      <w:jc w:val="center"/>
      <w:spacing w:before="120"/>
    </w:pPr>
    <w:rPr>
      <w:b/>
    </w:rPr>
  </w:style>
  <w:style w:type="paragraph" w:styleId="Author">
    <w:name w:val="Author"/>
    <w:basedOn w:val="Normal"/>
    <w:qFormat/>
    <w:pPr>
      <w:jc w:val="center"/>
      <w:spacing w:after="0"/>
    </w:pPr>
    <w:rPr>
      <w:sz w:val="24"/>
    </w:rPr>
  </w:style>
  <w:style w:type="paragraph" w:styleId="Bibliography">
    <w:name w:val="Bibliography"/>
    <w:basedOn w:val="Normal"/>
    <w:qFormat/>
    <w:pPr>
      <w:ind w:left="360" w:hanging="360"/>
      <w:spacing w:after="60"/>
      <w:jc w:val="left"/>
    </w:pPr>
  </w:style>
  <w:style w:type="paragraph" w:styleId="BlockText">
    <w:name w:val="Block Text"/>
    <w:basedOn w:val="Normal"/>
    <w:qFormat/>
    <w:pPr>
      <w:ind w:left="720" w:right="720"/>
      <w:spacing w:before="120" w:after="120"/>
    </w:pPr>
    <w:rPr>
      <w:i/>
    </w:rPr>
  </w:style>
  <w:style w:type="paragraph" w:styleId="BodyText">
    <w:name w:val="Body Text"/>
    <w:basedOn w:val="Normal"/>
    <w:qFormat/>
  </w:style>
  <w:style w:type="paragraph" w:styleId="Caption">
    <w:name w:val="Caption"/>
    <w:basedOn w:val="Normal"/>
    <w:qFormat/>
    <w:pPr>
      <w:jc w:val="center"/>
      <w:spacing w:before="60" w:after="120"/>
    </w:pPr>
    <w:rPr>
      <w:sz w:val="18"/>
    </w:rPr>
  </w:style>
  <w:style w:type="paragraph" w:styleId="CaptionedFigure">
    <w:name w:val="Captioned Figure"/>
    <w:basedOn w:val="Normal"/>
    <w:qFormat/>
    <w:pPr>
      <w:jc w:val="center"/>
      <w:spacing w:before="120" w:after="0"/>
    </w:pPr>
  </w:style>
  <w:style w:type="paragraph" w:styleId="Compact">
    <w:name w:val="Compact"/>
    <w:basedOn w:val="Normal"/>
    <w:qFormat/>
    <w:pPr>
      <w:spacing w:after="0"/>
    </w:pPr>
  </w:style>
  <w:style w:type="paragraph" w:styleId="Date">
    <w:name w:val="Date"/>
    <w:basedOn w:val="Normal"/>
    <w:qFormat/>
    <w:pPr>
      <w:jc w:val="center"/>
      <w:spacing w:after="240"/>
    </w:pPr>
    <w:rPr>
      <w:sz w:val="20"/>
    </w:rPr>
  </w:style>
  <w:style w:type="character" w:styleId="DefaultParagraphFont" w:default="1">
    <w:name w:val="Default Paragraph Font"/>
  </w:style>
  <w:style w:type="paragraph" w:styleId="Definition">
    <w:name w:val="Definition"/>
    <w:basedOn w:val="Normal"/>
    <w:qFormat/>
    <w:pPr>
      <w:ind w:left="720"/>
    </w:pPr>
  </w:style>
  <w:style w:type="paragraph" w:styleId="DefinitionTerm">
    <w:name w:val="Definition Term"/>
    <w:basedOn w:val="Normal"/>
    <w:qFormat/>
    <w:pPr>
      <w:spacing w:after="0"/>
      <w:keepNext/>
    </w:pPr>
    <w:rPr>
      <w:b/>
    </w:rPr>
  </w:style>
  <w:style w:type="paragraph" w:styleId="Figure">
    <w:name w:val="Figure"/>
    <w:basedOn w:val="CaptionedFigure"/>
    <w:qFormat/>
  </w:style>
  <w:style w:type="paragraph" w:styleId="FirstParagraph">
    <w:name w:val="First Paragraph"/>
    <w:basedOn w:val="BodyText"/>
    <w:qFormat/>
    <w:pPr>
      <w:ind w:firstLine="0"/>
    </w:pPr>
  </w:style>
  <w:style w:type="paragraph" w:styleId="FootnoteBlockText">
    <w:name w:val="Footnote Block Text"/>
    <w:basedOn w:val="FootnoteText"/>
    <w:qFormat/>
    <w:pPr>
      <w:ind w:left="360"/>
    </w:p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qFormat/>
    <w:pPr>
      <w:spacing w:after="0"/>
      <w:jc w:val="left"/>
    </w:pPr>
    <w:rPr>
      <w:sz w:val="16"/>
    </w:rPr>
  </w:style>
  <w:style w:type="paragraph" w:styleId="Heading1">
    <w:name w:val="Heading 1"/>
    <w:basedOn w:val="Normal"/>
    <w:qFormat/>
    <w:pPr>
      <w:outlineLvl w:val="0"/>
      <w:keepNext/>
      <w:spacing w:before="280" w:after="80"/>
      <w:jc w:val="left"/>
      <w:numPr>
        <w:ilvl w:val="0"/>
        <w:numId w:val="1"/>
      </w:numPr>
    </w:pPr>
    <w:rPr>
      <w:b/>
      <w:sz w:val="32"/>
    </w:rPr>
  </w:style>
  <w:style w:type="paragraph" w:styleId="Heading2">
    <w:name w:val="Heading 2"/>
    <w:basedOn w:val="Normal"/>
    <w:qFormat/>
    <w:pPr>
      <w:outlineLvl w:val="1"/>
      <w:keepNext/>
      <w:spacing w:before="260" w:after="80"/>
      <w:jc w:val="left"/>
      <w:numPr>
        <w:ilvl w:val="1"/>
        <w:numId w:val="1"/>
      </w:numPr>
    </w:pPr>
    <w:rPr>
      <w:b/>
      <w:sz w:val="30"/>
    </w:rPr>
  </w:style>
  <w:style w:type="paragraph" w:styleId="Heading3">
    <w:name w:val="Heading 3"/>
    <w:basedOn w:val="Normal"/>
    <w:qFormat/>
    <w:pPr>
      <w:outlineLvl w:val="2"/>
      <w:keepNext/>
      <w:spacing w:before="240" w:after="80"/>
      <w:jc w:val="left"/>
      <w:numPr>
        <w:ilvl w:val="2"/>
        <w:numId w:val="1"/>
      </w:numPr>
    </w:pPr>
    <w:rPr>
      <w:b/>
      <w:sz w:val="28"/>
    </w:rPr>
  </w:style>
  <w:style w:type="paragraph" w:styleId="Heading4">
    <w:name w:val="Heading 4"/>
    <w:basedOn w:val="Normal"/>
    <w:qFormat/>
    <w:pPr>
      <w:outlineLvl w:val="3"/>
      <w:keepNext/>
      <w:spacing w:before="220" w:after="80"/>
      <w:jc w:val="left"/>
      <w:numPr>
        <w:ilvl w:val="3"/>
        <w:numId w:val="1"/>
      </w:numPr>
    </w:pPr>
    <w:rPr>
      <w:b/>
      <w:sz w:val="26"/>
    </w:rPr>
  </w:style>
  <w:style w:type="paragraph" w:styleId="Heading5">
    <w:name w:val="Heading 5"/>
    <w:basedOn w:val="Normal"/>
    <w:qFormat/>
    <w:pPr>
      <w:outlineLvl w:val="4"/>
      <w:keepNext/>
      <w:spacing w:before="200" w:after="80"/>
      <w:jc w:val="left"/>
      <w:numPr>
        <w:ilvl w:val="4"/>
        <w:numId w:val="1"/>
      </w:numPr>
    </w:pPr>
    <w:rPr>
      <w:b/>
      <w:sz w:val="24"/>
    </w:rPr>
  </w:style>
  <w:style w:type="paragraph" w:styleId="Heading6">
    <w:name w:val="Heading 6"/>
    <w:basedOn w:val="Normal"/>
    <w:qFormat/>
    <w:pPr>
      <w:outlineLvl w:val="5"/>
      <w:keepNext/>
      <w:spacing w:before="180" w:after="80"/>
      <w:jc w:val="left"/>
      <w:numPr>
        <w:ilvl w:val="5"/>
        <w:numId w:val="1"/>
      </w:numPr>
    </w:pPr>
    <w:rPr>
      <w:b/>
      <w:sz w:val="22"/>
    </w:rPr>
  </w:style>
  <w:style w:type="paragraph" w:styleId="Heading7">
    <w:name w:val="Heading 7"/>
    <w:basedOn w:val="Normal"/>
    <w:qFormat/>
    <w:pPr>
      <w:outlineLvl w:val="6"/>
      <w:keepNext/>
      <w:spacing w:before="160" w:after="80"/>
      <w:jc w:val="left"/>
    </w:pPr>
    <w:rPr>
      <w:b/>
      <w:sz w:val="20"/>
    </w:rPr>
  </w:style>
  <w:style w:type="paragraph" w:styleId="Heading8">
    <w:name w:val="Heading 8"/>
    <w:basedOn w:val="Normal"/>
    <w:qFormat/>
    <w:pPr>
      <w:outlineLvl w:val="7"/>
      <w:keepNext/>
      <w:spacing w:before="140" w:after="80"/>
      <w:jc w:val="left"/>
    </w:pPr>
    <w:rPr>
      <w:b/>
      <w:sz w:val="20"/>
    </w:rPr>
  </w:style>
  <w:style w:type="paragraph" w:styleId="Heading9">
    <w:name w:val="Heading 9"/>
    <w:basedOn w:val="Normal"/>
    <w:qFormat/>
    <w:pPr>
      <w:outlineLvl w:val="8"/>
      <w:keepNext/>
      <w:spacing w:before="120" w:after="80"/>
      <w:jc w:val="left"/>
    </w:pPr>
    <w:rPr>
      <w:b/>
      <w:sz w:val="20"/>
    </w:rPr>
  </w:style>
  <w:style w:type="character" w:styleId="Hyperlink">
    <w:name w:val="Hyperlink"/>
    <w:rPr>
      <w:color w:val="0563C1"/>
      <w:u w:val="single"/>
    </w:rPr>
  </w:style>
  <w:style w:type="paragraph" w:styleId="ImageCaption">
    <w:name w:val="Image Caption"/>
    <w:basedOn w:val="Caption"/>
    <w:qFormat/>
  </w:style>
  <w:style w:type="paragraph" w:styleId="Normal" w:default="1">
    <w:name w:val="Normal"/>
    <w:pPr>
      <w:spacing w:after="120" w:line="240" w:lineRule="auto"/>
      <w:jc w:val="both"/>
    </w:pPr>
  </w:style>
  <w:style w:type="character" w:styleId="SectionNumber">
    <w:name w:val="Section Number"/>
    <w:rPr>
      <w:b/>
    </w:rPr>
  </w:style>
  <w:style w:type="paragraph" w:styleId="SourceCode">
    <w:name w:val="Source Code"/>
    <w:basedOn w:val="Normal"/>
    <w:qFormat/>
    <w:pPr>
      <w:spacing w:after="0"/>
      <w:jc w:val="left"/>
      <w:shd w:val="clear" w:fill="F5F5F5"/>
    </w:pPr>
    <w:rPr>
      <w:rFonts w:ascii="Consolas" w:hAnsi="Consolas"/>
      <w:sz w:val="18"/>
    </w:rPr>
  </w:style>
  <w:style w:type="paragraph" w:styleId="Subtitle">
    <w:name w:val="Subtitle"/>
    <w:basedOn w:val="Normal"/>
    <w:qFormat/>
    <w:pPr>
      <w:jc w:val="center"/>
    </w:pPr>
    <w:rPr>
      <w:sz w:val="28"/>
      <w:i/>
    </w:rPr>
  </w:style>
  <w:style w:type="paragraph" w:styleId="TOCHeading">
    <w:name w:val="TOC Heading"/>
    <w:basedOn w:val="Heading1"/>
    <w:qFormat/>
    <w:pPr>
      <w:numPr>
        <w:ilvl w:val="0"/>
        <w:numId w:val="0"/>
      </w:numPr>
    </w:pPr>
  </w:style>
  <w:style w:type="table" w:styleId="Table">
    <w:name w:val="Table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60" w:type="dxa"/>
        <w:bottom w:w="60" w:type="dxa"/>
        <w:left w:w="80" w:type="dxa"/>
        <w:right w:w="80" w:type="dxa"/>
      </w:tblCellMar>
    </w:tblPr>
  </w:style>
  <w:style w:type="paragraph" w:styleId="TableCaption">
    <w:name w:val="Table Caption"/>
    <w:basedOn w:val="Caption"/>
    <w:qFormat/>
    <w:pPr>
      <w:spacing w:before="120" w:after="60"/>
    </w:pPr>
  </w:style>
  <w:style w:type="paragraph" w:styleId="Title">
    <w:name w:val="Title"/>
    <w:basedOn w:val="Normal"/>
    <w:qFormat/>
    <w:pPr>
      <w:jc w:val="center"/>
      <w:spacing w:after="60"/>
    </w:pPr>
    <w:rPr>
      <w:sz w:val="48"/>
      <w:b/>
    </w:rPr>
  </w:style>
  <w:style w:type="character" w:styleId="VerbatimChar">
    <w:name w:val="Verbatim Char"/>
    <w:rPr>
      <w:rFonts w:ascii="Consolas" w:hAnsi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theme" Target="theme/theme1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arkForge">
  <a:themeElements>
    <a:clrScheme name="MarkForge">
      <a:dk1>
        <a:srgbClr val="000000"/>
      </a:dk1>
      <a:lt1>
        <a:srgbClr val="FFFFFF"/>
      </a:lt1>
      <a:dk2>
        <a:srgbClr val="44546A"/>
      </a:dk2>
      <a:lt2>
        <a:srgbClr val="44546A"/>
      </a:lt2>
      <a:accent1>
        <a:srgbClr val="44546A"/>
      </a:accent1>
      <a:accent2>
        <a:srgbClr val="44546A"/>
      </a:accent2>
      <a:accent3>
        <a:srgbClr val="44546A"/>
      </a:accent3>
      <a:accent4>
        <a:srgbClr val="44546A"/>
      </a:accent4>
      <a:accent5>
        <a:srgbClr val="44546A"/>
      </a:accent5>
      <a:accent6>
        <a:srgbClr val="44546A"/>
      </a:accent6>
      <a:hlink>
        <a:srgbClr val="44546A"/>
      </a:hlink>
      <a:folHlink>
        <a:srgbClr val="44546A"/>
      </a:folHlink>
    </a:clrScheme>
    <a:fontScheme name="MarkForg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MarkForg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MarkForge reference template</dc:title>
  <dc:creator>MarkForge</dc:creator>
  <dcterms:created xsi:type="dcterms:W3CDTF">2026-07-31T00:00:00Z</dcterms:created>
  <dcterms:modified xsi:type="dcterms:W3CDTF">2026-07-31T00:00:00Z</dcterms:modified>
</cp:coreProperties>
</file>