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Nimbus Platform — Technical Documentation</w:t>
      </w:r>
    </w:p>
    <w:p>
      <w:pPr>
        <w:pStyle w:val="Subtitle"/>
      </w:pPr>
      <w:r>
        <w:t xml:space="preserve">API reference and operating notes</w:t>
      </w:r>
    </w:p>
    <w:p>
      <w:pPr>
        <w:pStyle w:val="Author"/>
      </w:pPr>
      <w:r>
        <w:t xml:space="preserve">Platform Team</w:t>
      </w:r>
    </w:p>
    <w:p>
      <w:pPr>
        <w:pStyle w:val="Date"/>
      </w:pPr>
      <w:r>
        <w:t xml:space="preserve">2026-07-31</w:t>
      </w:r>
    </w:p>
    <w:bookmarkStart w:id="9" w:name="sec_overview"/>
    <w:p>
      <w:pPr>
        <w:pStyle w:val="Heading1"/>
      </w:pPr>
      <w:r>
        <w:t xml:space="preserve">Overview</w:t>
      </w:r>
    </w:p>
    <w:bookmarkEnd w:id="9"/>
    <w:p>
      <w:pPr>
        <w:pStyle w:val="FirstParagraph"/>
      </w:pPr>
      <w:r>
        <w:t xml:space="preserve">Nimbus accepts telemetry batches and normalises them for the warehouse. This </w:t>
      </w:r>
      <w:r>
        <w:t xml:space="preserve">document is the reference for the public surface.</w:t>
      </w:r>
    </w:p>
    <w:p>
      <w:pPr>
        <w:pStyle w:val="Heading2"/>
      </w:pPr>
      <w:r>
        <w:t xml:space="preserve">Endpoints</w:t>
      </w:r>
    </w:p>
    <w:p>
      <w:pPr>
        <w:pStyle w:val="TableCaption"/>
      </w:pPr>
      <w:r>
        <w:t xml:space="preserve">Table 1. Public endpoints.</w:t>
      </w:r>
    </w:p>
    <w:tbl>
      <w:tblPr>
        <w:tblStyle w:val="Table"/>
        <w:tblW w:w="0" w:type="auto"/>
      </w:tblPr>
      <w:tblGrid>
        <w:gridCol w:w="2340"/>
        <w:gridCol w:w="2340"/>
        <w:gridCol w:w="2340"/>
      </w:tblGrid>
      <w:tr>
        <w:trPr>
          <w:tblHeader/>
        </w:trPr>
        <w:tc>
          <w:tcPr>
            <w:tcW w:w="2340" w:type="dxa"/>
          </w:tcPr>
          <w:p>
            <w:pPr>
              <w:pStyle w:val="Compact"/>
            </w:pPr>
            <w:r>
              <w:t xml:space="preserve">Method</w:t>
            </w:r>
          </w:p>
        </w:tc>
        <w:tc>
          <w:tcPr>
            <w:tcW w:w="2340" w:type="dxa"/>
          </w:tcPr>
          <w:p>
            <w:pPr>
              <w:pStyle w:val="Compact"/>
            </w:pPr>
            <w:r>
              <w:t xml:space="preserve">Path</w:t>
            </w:r>
          </w:p>
        </w:tc>
        <w:tc>
          <w:tcPr>
            <w:tcW w:w="2340" w:type="dxa"/>
          </w:tcPr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>
            <w:tcW w:w="2340" w:type="dxa"/>
          </w:tcPr>
          <w:p>
            <w:pPr>
              <w:pStyle w:val="Compact"/>
            </w:pPr>
            <w:r>
              <w:t xml:space="preserve">POST</w:t>
            </w:r>
          </w:p>
        </w:tc>
        <w:tc>
          <w:tcPr>
            <w:tcW w:w="2340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/v1/batches</w:t>
            </w:r>
          </w:p>
        </w:tc>
        <w:tc>
          <w:tcPr>
            <w:tcW w:w="2340" w:type="dxa"/>
          </w:tcPr>
          <w:p>
            <w:pPr>
              <w:pStyle w:val="Compact"/>
            </w:pPr>
            <w:r>
              <w:t xml:space="preserve">Submit a batch</w:t>
            </w:r>
          </w:p>
        </w:tc>
      </w:tr>
      <w:tr>
        <w:tc>
          <w:tcPr>
            <w:tcW w:w="2340" w:type="dxa"/>
          </w:tcPr>
          <w:p>
            <w:pPr>
              <w:pStyle w:val="Compact"/>
            </w:pPr>
            <w:r>
              <w:t xml:space="preserve">GET</w:t>
            </w:r>
          </w:p>
        </w:tc>
        <w:tc>
          <w:tcPr>
            <w:tcW w:w="2340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/v1/batches/{id}</w:t>
            </w:r>
          </w:p>
        </w:tc>
        <w:tc>
          <w:tcPr>
            <w:tcW w:w="2340" w:type="dxa"/>
          </w:tcPr>
          <w:p>
            <w:pPr>
              <w:pStyle w:val="Compact"/>
            </w:pPr>
            <w:r>
              <w:t xml:space="preserve">Retrieve status</w:t>
            </w:r>
          </w:p>
        </w:tc>
      </w:tr>
    </w:tbl>
    <w:p>
      <w:pPr>
        <w:pStyle w:val="Heading3"/>
      </w:pPr>
      <w:r>
        <w:t xml:space="preserve">Authentication</w:t>
      </w:r>
    </w:p>
    <w:p>
      <w:pPr>
        <w:pStyle w:val="BodyText"/>
      </w:pPr>
      <w:r>
        <w:t xml:space="preserve">Every request carries a bearer token.</w:t>
      </w:r>
      <w:r>
        <w:rPr>
          <w:rStyle w:val="FootnoteReference"/>
        </w:rPr>
        <w:footnoteReference w:id="2"/>
      </w:r>
    </w:p>
    <w:p>
      <w:pPr>
        <w:pStyle w:val="SourceCode"/>
      </w:pPr>
      <w:r>
        <w:t xml:space="preserve">curl -H "Authorization: Bearer $TOKEN" https://ingest.internal/v1/batches</w:t>
      </w:r>
    </w:p>
    <w:p>
      <w:pPr>
        <w:pStyle w:val="Heading4"/>
      </w:pPr>
      <w:r>
        <w:t xml:space="preserve">Error codes</w:t>
      </w:r>
    </w:p>
    <w:p>
      <w:pPr>
        <w:pStyle w:val="Compact"/>
        <w:numPr>
          <w:ilvl w:val="0"/>
          <w:numId w:val="2"/>
        </w:numPr>
      </w:pPr>
      <w:r>
        <w:t xml:space="preserve">422 — the batch failed validation and was rejected whole.</w:t>
      </w:r>
    </w:p>
    <w:p>
      <w:pPr>
        <w:pStyle w:val="Compact"/>
        <w:numPr>
          <w:ilvl w:val="1"/>
          <w:numId w:val="2"/>
        </w:numPr>
      </w:pPr>
      <w:r>
        <w:t xml:space="preserve">409 — the batch id was already accepted.</w:t>
      </w:r>
    </w:p>
    <w:p>
      <w:pPr>
        <w:pStyle w:val="Heading5"/>
      </w:pPr>
      <w:r>
        <w:t xml:space="preserve">Glossary</w:t>
      </w:r>
    </w:p>
    <w:p>
      <w:pPr>
        <w:pStyle w:val="DefinitionTerm"/>
      </w:pPr>
      <w:r>
        <w:t xml:space="preserve">Rejection</w:t>
      </w:r>
    </w:p>
    <w:p>
      <w:pPr>
        <w:pStyle w:val="Definition"/>
      </w:pPr>
      <w:r>
        <w:t xml:space="preserve">A batch that failed validation and was not committed.</w:t>
      </w:r>
    </w:p>
    <w:p>
      <w:pPr>
        <w:pStyle w:val="Heading6"/>
      </w:pPr>
      <w:r>
        <w:t xml:space="preserve">Notes</w:t>
      </w:r>
    </w:p>
    <w:p>
      <w:pPr>
        <w:pStyle w:val="BodyText"/>
      </w:pPr>
      <w:r>
        <w:t xml:space="preserve">Retention is thirty days; see </w:t>
      </w:r>
      <w:r>
        <w:fldChar w:fldCharType="begin"/>
      </w:r>
      <w:r>
        <w:instrText xml:space="preserve"> REF sec_overview \h </w:instrText>
      </w:r>
      <w:r>
        <w:fldChar w:fldCharType="separate"/>
      </w:r>
      <w:r>
        <w:t xml:space="preserve">[ref]</w:t>
      </w:r>
      <w:r>
        <w:fldChar w:fldCharType="end"/>
      </w:r>
      <w:r>
        <w:t xml:space="preserve">.</w:t>
      </w:r>
    </w:p>
    <w:p>
      <w:pPr>
        <w:pStyle w:val="BlockText"/>
      </w:pPr>
      <w:r>
        <w:t xml:space="preserve">Treat every limit here as a contract, not a default.</w:t>
      </w:r>
    </w:p>
    <w:p>
      <w:pPr>
        <w:pStyle w:val="CaptionedFigure"/>
      </w:pPr>
      <w:r>
        <w:drawing>
          <wp:inline distT="0" distB="0" distL="0" distR="0">
            <wp:extent cx="2286000" cy="1428750"/>
            <wp:docPr id="10" name="Request lifecycle" descr="Request lifecycle"/>
            <a:graphic>
              <a:graphicData uri="http://schemas.openxmlformats.org/drawingml/2006/picture">
                <pic:pic>
                  <pic:nvPicPr>
                    <pic:cNvPr id="0" name="Request lifecycl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 Request lifecycle.</w:t>
      </w:r>
    </w:p>
    <w:p>
      <w:pPr>
        <w:pStyle w:val="TOCHeading"/>
      </w:pPr>
      <w:r>
        <w:t xml:space="preserve">References</w:t>
      </w:r>
    </w:p>
    <w:p>
      <w:pPr>
        <w:pStyle w:val="Bibliography"/>
      </w:pPr>
      <w:r>
        <w:t xml:space="preserve">[1] Nimbus API Contract, internal, 2026.</w:t>
      </w:r>
    </w:p>
    <w:sectPr>
      <w:headerReference w:type="default" r:id="rIdHdr"/>
      <w:footerReference w:type="default" r:id="rIdFtr"/>
      <w:pgSz w:w="12240" w:h="15840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>
  <w:p>
    <w:pPr>
      <w:pStyle w:val="Compact"/>
      <w:jc w:val="center"/>
    </w:pP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</w:p>
</w:ftr>
</file>

<file path=word/footnotes.xml><?xml version="1.0" encoding="utf-8"?>
<w:footnotes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>
  <w:footnote w:type="separator" w:id="0">
    <w:p>
      <w:pPr>
        <w:pStyle w:val="FootnoteText"/>
      </w:pPr>
      <w:r>
        <w:separator/>
      </w:r>
    </w:p>
  </w:footnote>
  <w:footnote w:type="continuationSeparator" w:id="1">
    <w:p>
      <w:pPr>
        <w:pStyle w:val="FootnoteText"/>
      </w:pPr>
      <w:r>
        <w:continuationSeparator/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Tokens are issued per customer and are never shared between environments.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>
  <w:p>
    <w:pPr>
      <w:pStyle w:val="Compact"/>
      <w:jc w:val="center"/>
    </w:pPr>
    <w:r>
      <w:t xml:space="preserve">Nimbus Platform — Technical Documentation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upperRoman"/>
      <w:lvlText w:val="%1."/>
      <w:lvlJc w:val="left"/>
      <w:pPr>
        <w:ind w:left="360" w:hanging="360"/>
      </w:pPr>
      <w:rPr>
        <w:rStyle w:val="SectionNumber"/>
      </w:rPr>
    </w:lvl>
    <w:lvl w:ilvl="1">
      <w:start w:val="1"/>
      <w:numFmt w:val="upperLetter"/>
      <w:lvlText w:val="%2."/>
      <w:lvlJc w:val="left"/>
      <w:pPr>
        <w:ind w:left="720" w:hanging="360"/>
      </w:pPr>
      <w:rPr>
        <w:rStyle w:val="SectionNumber"/>
      </w:rPr>
    </w:lvl>
    <w:lvl w:ilvl="2">
      <w:start w:val="1"/>
      <w:numFmt w:val="decimal"/>
      <w:lvlText w:val="%1.%2.%3."/>
      <w:lvlJc w:val="left"/>
      <w:pPr>
        <w:ind w:left="1080" w:hanging="360"/>
      </w:pPr>
      <w:rPr>
        <w:rStyle w:val="SectionNumber"/>
      </w:rPr>
    </w:lvl>
    <w:lvl w:ilvl="3">
      <w:start w:val="1"/>
      <w:numFmt w:val="decimal"/>
      <w:lvlText w:val="%1.%2.%3.%4."/>
      <w:lvlJc w:val="left"/>
      <w:pPr>
        <w:ind w:left="1440" w:hanging="360"/>
      </w:pPr>
      <w:rPr>
        <w:rStyle w:val="SectionNumber"/>
      </w:rPr>
    </w:lvl>
    <w:lvl w:ilvl="4">
      <w:start w:val="1"/>
      <w:numFmt w:val="decimal"/>
      <w:lvlText w:val="%1.%2.%3.%4.%5."/>
      <w:lvlJc w:val="left"/>
      <w:pPr>
        <w:ind w:left="1800" w:hanging="360"/>
      </w:pPr>
      <w:rPr>
        <w:rStyle w:val="SectionNumber"/>
      </w:rPr>
    </w:lvl>
    <w:lvl w:ilvl="5">
      <w:start w:val="1"/>
      <w:numFmt w:val="decimal"/>
      <w:lvlText w:val="%1.%2.%3.%4.%5.%6."/>
      <w:lvlJc w:val="left"/>
      <w:pPr>
        <w:ind w:left="2160" w:hanging="360"/>
      </w:pPr>
      <w:rPr>
        <w:rStyle w:val="SectionNumber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36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ind w:left="720" w:hanging="360"/>
      </w:pPr>
      <w:rPr>
        <w:rFonts w:ascii="Symbol" w:hAnsi="Symbol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  <w:num w:numId="3">
    <w:abstractNumId w:val="1"/>
    <w:lvlOverride w:ilvl="0">
      <w:startOverride w:val="1"/>
    </w:lvlOverride>
  </w:num>
  <w:num w:numId="4">
    <w:abstractNumId w:val="2"/>
  </w:num>
</w:numbering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Times New Roman"/>
        <w:sz w:val="20"/>
        <w:szCs w:val="20"/>
        <w:lang w:val="en-US"/>
      </w:rPr>
    </w:rPrDefault>
    <w:pPrDefault>
      <w:pPr>
        <w:spacing w:after="120"/>
      </w:pPr>
    </w:pPrDefault>
  </w:docDefaults>
  <w:style w:type="paragraph" w:styleId="Abstract">
    <w:name w:val="Abstract"/>
    <w:basedOn w:val="Normal"/>
    <w:qFormat/>
    <w:pPr>
      <w:ind w:left="720" w:right="720"/>
    </w:pPr>
    <w:rPr>
      <w:sz w:val="18"/>
    </w:rPr>
  </w:style>
  <w:style w:type="paragraph" w:styleId="AbstractTitle">
    <w:name w:val="AbstractTitle"/>
    <w:basedOn w:val="Normal"/>
    <w:qFormat/>
    <w:pPr>
      <w:jc w:val="center"/>
      <w:spacing w:before="120"/>
    </w:pPr>
    <w:rPr>
      <w:b/>
    </w:rPr>
  </w:style>
  <w:style w:type="paragraph" w:styleId="Author">
    <w:name w:val="Author"/>
    <w:basedOn w:val="Normal"/>
    <w:qFormat/>
    <w:pPr>
      <w:jc w:val="center"/>
      <w:spacing w:after="0"/>
    </w:pPr>
    <w:rPr>
      <w:sz w:val="24"/>
    </w:rPr>
  </w:style>
  <w:style w:type="paragraph" w:styleId="Bibliography">
    <w:name w:val="Bibliography"/>
    <w:basedOn w:val="Normal"/>
    <w:qFormat/>
    <w:pPr>
      <w:ind w:left="360" w:hanging="360"/>
      <w:spacing w:after="60"/>
      <w:jc w:val="left"/>
    </w:pPr>
  </w:style>
  <w:style w:type="paragraph" w:styleId="BlockText">
    <w:name w:val="Block Text"/>
    <w:basedOn w:val="Normal"/>
    <w:qFormat/>
    <w:pPr>
      <w:ind w:left="720" w:right="720"/>
      <w:spacing w:before="120" w:after="120"/>
    </w:pPr>
    <w:rPr>
      <w:i/>
    </w:rPr>
  </w:style>
  <w:style w:type="paragraph" w:styleId="BodyText">
    <w:name w:val="Body Text"/>
    <w:basedOn w:val="Normal"/>
    <w:qFormat/>
  </w:style>
  <w:style w:type="paragraph" w:styleId="Caption">
    <w:name w:val="Caption"/>
    <w:basedOn w:val="Normal"/>
    <w:qFormat/>
    <w:pPr>
      <w:jc w:val="center"/>
      <w:spacing w:before="60" w:after="120"/>
    </w:pPr>
    <w:rPr>
      <w:sz w:val="18"/>
    </w:rPr>
  </w:style>
  <w:style w:type="paragraph" w:styleId="CaptionedFigure">
    <w:name w:val="Captioned Figure"/>
    <w:basedOn w:val="Normal"/>
    <w:qFormat/>
    <w:pPr>
      <w:jc w:val="center"/>
      <w:spacing w:before="120" w:after="0"/>
    </w:pPr>
  </w:style>
  <w:style w:type="paragraph" w:styleId="Compact">
    <w:name w:val="Compact"/>
    <w:basedOn w:val="Normal"/>
    <w:qFormat/>
    <w:pPr>
      <w:spacing w:after="0"/>
    </w:pPr>
  </w:style>
  <w:style w:type="paragraph" w:styleId="Date">
    <w:name w:val="Date"/>
    <w:basedOn w:val="Normal"/>
    <w:qFormat/>
    <w:pPr>
      <w:jc w:val="center"/>
      <w:spacing w:after="240"/>
    </w:pPr>
    <w:rPr>
      <w:sz w:val="20"/>
    </w:rPr>
  </w:style>
  <w:style w:type="character" w:styleId="DefaultParagraphFont" w:default="1">
    <w:name w:val="Default Paragraph Font"/>
  </w:style>
  <w:style w:type="paragraph" w:styleId="Definition">
    <w:name w:val="Definition"/>
    <w:basedOn w:val="Normal"/>
    <w:qFormat/>
    <w:pPr>
      <w:ind w:left="720"/>
    </w:pPr>
  </w:style>
  <w:style w:type="paragraph" w:styleId="DefinitionTerm">
    <w:name w:val="Definition Term"/>
    <w:basedOn w:val="Normal"/>
    <w:qFormat/>
    <w:pPr>
      <w:spacing w:after="0"/>
      <w:keepNext/>
    </w:pPr>
    <w:rPr>
      <w:b/>
    </w:rPr>
  </w:style>
  <w:style w:type="paragraph" w:styleId="Figure">
    <w:name w:val="Figure"/>
    <w:basedOn w:val="CaptionedFigure"/>
    <w:qFormat/>
  </w:style>
  <w:style w:type="paragraph" w:styleId="FirstParagraph">
    <w:name w:val="First Paragraph"/>
    <w:basedOn w:val="BodyText"/>
    <w:qFormat/>
    <w:pPr>
      <w:ind w:firstLine="0"/>
    </w:pPr>
  </w:style>
  <w:style w:type="paragraph" w:styleId="FootnoteBlockText">
    <w:name w:val="Footnote Block Text"/>
    <w:basedOn w:val="FootnoteText"/>
    <w:qFormat/>
    <w:pPr>
      <w:ind w:left="360"/>
    </w:pPr>
  </w:style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basedOn w:val="Normal"/>
    <w:qFormat/>
    <w:pPr>
      <w:spacing w:after="0"/>
      <w:jc w:val="left"/>
    </w:pPr>
    <w:rPr>
      <w:sz w:val="16"/>
    </w:rPr>
  </w:style>
  <w:style w:type="paragraph" w:styleId="Heading1">
    <w:name w:val="Heading 1"/>
    <w:basedOn w:val="Normal"/>
    <w:qFormat/>
    <w:pPr>
      <w:outlineLvl w:val="0"/>
      <w:keepNext/>
      <w:spacing w:before="280" w:after="80"/>
      <w:jc w:val="left"/>
      <w:numPr>
        <w:ilvl w:val="0"/>
        <w:numId w:val="1"/>
      </w:numPr>
    </w:pPr>
    <w:rPr>
      <w:b/>
      <w:sz w:val="32"/>
    </w:rPr>
  </w:style>
  <w:style w:type="paragraph" w:styleId="Heading2">
    <w:name w:val="Heading 2"/>
    <w:basedOn w:val="Normal"/>
    <w:qFormat/>
    <w:pPr>
      <w:outlineLvl w:val="1"/>
      <w:keepNext/>
      <w:spacing w:before="260" w:after="80"/>
      <w:jc w:val="left"/>
      <w:numPr>
        <w:ilvl w:val="1"/>
        <w:numId w:val="1"/>
      </w:numPr>
    </w:pPr>
    <w:rPr>
      <w:b/>
      <w:sz w:val="30"/>
    </w:rPr>
  </w:style>
  <w:style w:type="paragraph" w:styleId="Heading3">
    <w:name w:val="Heading 3"/>
    <w:basedOn w:val="Normal"/>
    <w:qFormat/>
    <w:pPr>
      <w:outlineLvl w:val="2"/>
      <w:keepNext/>
      <w:spacing w:before="240" w:after="80"/>
      <w:jc w:val="left"/>
      <w:numPr>
        <w:ilvl w:val="2"/>
        <w:numId w:val="1"/>
      </w:numPr>
    </w:pPr>
    <w:rPr>
      <w:b/>
      <w:sz w:val="28"/>
    </w:rPr>
  </w:style>
  <w:style w:type="paragraph" w:styleId="Heading4">
    <w:name w:val="Heading 4"/>
    <w:basedOn w:val="Normal"/>
    <w:qFormat/>
    <w:pPr>
      <w:outlineLvl w:val="3"/>
      <w:keepNext/>
      <w:spacing w:before="220" w:after="80"/>
      <w:jc w:val="left"/>
      <w:numPr>
        <w:ilvl w:val="3"/>
        <w:numId w:val="1"/>
      </w:numPr>
    </w:pPr>
    <w:rPr>
      <w:b/>
      <w:sz w:val="26"/>
    </w:rPr>
  </w:style>
  <w:style w:type="paragraph" w:styleId="Heading5">
    <w:name w:val="Heading 5"/>
    <w:basedOn w:val="Normal"/>
    <w:qFormat/>
    <w:pPr>
      <w:outlineLvl w:val="4"/>
      <w:keepNext/>
      <w:spacing w:before="200" w:after="80"/>
      <w:jc w:val="left"/>
      <w:numPr>
        <w:ilvl w:val="4"/>
        <w:numId w:val="1"/>
      </w:numPr>
    </w:pPr>
    <w:rPr>
      <w:b/>
      <w:sz w:val="24"/>
    </w:rPr>
  </w:style>
  <w:style w:type="paragraph" w:styleId="Heading6">
    <w:name w:val="Heading 6"/>
    <w:basedOn w:val="Normal"/>
    <w:qFormat/>
    <w:pPr>
      <w:outlineLvl w:val="5"/>
      <w:keepNext/>
      <w:spacing w:before="180" w:after="80"/>
      <w:jc w:val="left"/>
      <w:numPr>
        <w:ilvl w:val="5"/>
        <w:numId w:val="1"/>
      </w:numPr>
    </w:pPr>
    <w:rPr>
      <w:b/>
      <w:sz w:val="22"/>
    </w:rPr>
  </w:style>
  <w:style w:type="paragraph" w:styleId="Heading7">
    <w:name w:val="Heading 7"/>
    <w:basedOn w:val="Normal"/>
    <w:qFormat/>
    <w:pPr>
      <w:outlineLvl w:val="6"/>
      <w:keepNext/>
      <w:spacing w:before="160" w:after="80"/>
      <w:jc w:val="left"/>
    </w:pPr>
    <w:rPr>
      <w:b/>
      <w:sz w:val="20"/>
    </w:rPr>
  </w:style>
  <w:style w:type="paragraph" w:styleId="Heading8">
    <w:name w:val="Heading 8"/>
    <w:basedOn w:val="Normal"/>
    <w:qFormat/>
    <w:pPr>
      <w:outlineLvl w:val="7"/>
      <w:keepNext/>
      <w:spacing w:before="140" w:after="80"/>
      <w:jc w:val="left"/>
    </w:pPr>
    <w:rPr>
      <w:b/>
      <w:sz w:val="20"/>
    </w:rPr>
  </w:style>
  <w:style w:type="paragraph" w:styleId="Heading9">
    <w:name w:val="Heading 9"/>
    <w:basedOn w:val="Normal"/>
    <w:qFormat/>
    <w:pPr>
      <w:outlineLvl w:val="8"/>
      <w:keepNext/>
      <w:spacing w:before="120" w:after="80"/>
      <w:jc w:val="left"/>
    </w:pPr>
    <w:rPr>
      <w:b/>
      <w:sz w:val="20"/>
    </w:rPr>
  </w:style>
  <w:style w:type="character" w:styleId="Hyperlink">
    <w:name w:val="Hyperlink"/>
    <w:rPr>
      <w:color w:val="0563C1"/>
      <w:u w:val="single"/>
    </w:rPr>
  </w:style>
  <w:style w:type="paragraph" w:styleId="ImageCaption">
    <w:name w:val="Image Caption"/>
    <w:basedOn w:val="Caption"/>
    <w:qFormat/>
  </w:style>
  <w:style w:type="paragraph" w:styleId="Normal" w:default="1">
    <w:name w:val="Normal"/>
    <w:pPr>
      <w:spacing w:after="120" w:line="240" w:lineRule="auto"/>
      <w:jc w:val="both"/>
    </w:pPr>
  </w:style>
  <w:style w:type="character" w:styleId="SectionNumber">
    <w:name w:val="Section Number"/>
    <w:rPr>
      <w:b/>
    </w:rPr>
  </w:style>
  <w:style w:type="paragraph" w:styleId="SourceCode">
    <w:name w:val="Source Code"/>
    <w:basedOn w:val="Normal"/>
    <w:qFormat/>
    <w:pPr>
      <w:spacing w:after="0"/>
      <w:jc w:val="left"/>
      <w:shd w:val="clear" w:fill="F5F5F5"/>
    </w:pPr>
    <w:rPr>
      <w:rFonts w:ascii="Consolas" w:hAnsi="Consolas"/>
      <w:sz w:val="18"/>
    </w:rPr>
  </w:style>
  <w:style w:type="paragraph" w:styleId="Subtitle">
    <w:name w:val="Subtitle"/>
    <w:basedOn w:val="Normal"/>
    <w:qFormat/>
    <w:pPr>
      <w:jc w:val="center"/>
    </w:pPr>
    <w:rPr>
      <w:sz w:val="28"/>
      <w:i/>
    </w:rPr>
  </w:style>
  <w:style w:type="paragraph" w:styleId="TOCHeading">
    <w:name w:val="TOC Heading"/>
    <w:basedOn w:val="Heading1"/>
    <w:qFormat/>
    <w:pPr>
      <w:numPr>
        <w:ilvl w:val="0"/>
        <w:numId w:val="0"/>
      </w:numPr>
    </w:pPr>
  </w:style>
  <w:style w:type="table" w:styleId="Table">
    <w:name w:val="Table"/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  <w:tblCellMar>
        <w:top w:w="60" w:type="dxa"/>
        <w:bottom w:w="60" w:type="dxa"/>
        <w:left w:w="80" w:type="dxa"/>
        <w:right w:w="80" w:type="dxa"/>
      </w:tblCellMar>
    </w:tblPr>
  </w:style>
  <w:style w:type="paragraph" w:styleId="TableCaption">
    <w:name w:val="Table Caption"/>
    <w:basedOn w:val="Caption"/>
    <w:qFormat/>
    <w:pPr>
      <w:spacing w:before="120" w:after="60"/>
    </w:pPr>
  </w:style>
  <w:style w:type="paragraph" w:styleId="Title">
    <w:name w:val="Title"/>
    <w:basedOn w:val="Normal"/>
    <w:qFormat/>
    <w:pPr>
      <w:jc w:val="center"/>
      <w:spacing w:after="60"/>
    </w:pPr>
    <w:rPr>
      <w:sz w:val="48"/>
      <w:b/>
    </w:rPr>
  </w:style>
  <w:style w:type="character" w:styleId="VerbatimChar">
    <w:name w:val="Verbatim Char"/>
    <w:rPr>
      <w:rFonts w:ascii="Consolas" w:hAnsi="Consolas"/>
      <w:sz w:val="1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theme" Target="theme/theme1.xml"/><Relationship Id="rIdHdr" Type="http://schemas.openxmlformats.org/officeDocument/2006/relationships/header" Target="header1.xml"/><Relationship Id="rIdFtr" Type="http://schemas.openxmlformats.org/officeDocument/2006/relationships/footer" Target="footer1.xml"/><Relationship Id="rId10" Type="http://schemas.openxmlformats.org/officeDocument/2006/relationships/image" Target="media/figure1.png"/></Relationships>
</file>

<file path=word/theme/theme1.xml><?xml version="1.0" encoding="utf-8"?>
<a:theme xmlns:a="http://schemas.openxmlformats.org/drawingml/2006/main" name="MarkForge">
  <a:themeElements>
    <a:clrScheme name="MarkForge">
      <a:dk1>
        <a:srgbClr val="000000"/>
      </a:dk1>
      <a:lt1>
        <a:srgbClr val="FFFFFF"/>
      </a:lt1>
      <a:dk2>
        <a:srgbClr val="44546A"/>
      </a:dk2>
      <a:lt2>
        <a:srgbClr val="44546A"/>
      </a:lt2>
      <a:accent1>
        <a:srgbClr val="44546A"/>
      </a:accent1>
      <a:accent2>
        <a:srgbClr val="44546A"/>
      </a:accent2>
      <a:accent3>
        <a:srgbClr val="44546A"/>
      </a:accent3>
      <a:accent4>
        <a:srgbClr val="44546A"/>
      </a:accent4>
      <a:accent5>
        <a:srgbClr val="44546A"/>
      </a:accent5>
      <a:accent6>
        <a:srgbClr val="44546A"/>
      </a:accent6>
      <a:hlink>
        <a:srgbClr val="44546A"/>
      </a:hlink>
      <a:folHlink>
        <a:srgbClr val="44546A"/>
      </a:folHlink>
    </a:clrScheme>
    <a:fontScheme name="MarkForge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MarkForg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>
          <a:solidFill>
            <a:schemeClr val="phClr"/>
          </a:solidFill>
        </a:ln>
        <a:ln>
          <a:solidFill>
            <a:schemeClr val="phClr"/>
          </a:solidFill>
        </a:ln>
        <a:ln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MarkForge reference template</dc:title>
  <dc:creator>MarkForge</dc:creator>
  <dcterms:created xsi:type="dcterms:W3CDTF">2026-07-31T00:00:00Z</dcterms:created>
  <dcterms:modified xsi:type="dcterms:W3CDTF">2026-07-31T00:00:00Z</dcterms:modified>
</cp:coreProperties>
</file>