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 xml:space="preserve">Quarterly Review</w:t>
      </w:r>
    </w:p>
    <w:p>
      <w:r>
        <w:t xml:space="preserve">This paragraph is ordinary body text at the document default size. </w:t>
      </w:r>
    </w:p>
    <w:p>
      <w:r>
        <w:rPr>
          <w:b/>
          <w:sz w:val="28"/>
        </w:rPr>
        <w:t xml:space="preserve">Executive Summary</w:t>
      </w:r>
    </w:p>
    <w:p>
      <w:r>
        <w:t xml:space="preserve">Performance met expectations in three of four measured areas. </w:t>
      </w:r>
    </w:p>
    <w:p>
      <w:r>
        <w:t xml:space="preserve">The exception is described below and is not considered a blocker. </w:t>
      </w:r>
    </w:p>
    <w:p>
      <w:r>
        <w:rPr>
          <w:b/>
          <w:sz w:val="28"/>
        </w:rPr>
        <w:t xml:space="preserve">Detailed Findings</w:t>
      </w:r>
    </w:p>
    <w:p>
      <w:r>
        <w:t xml:space="preserve">Throughput rose while latency at the ninety-fifth percentile regressed. </w:t>
      </w:r>
    </w:p>
    <w:p>
      <w:r>
        <w:t xml:space="preserve">The regression correlates with the </w:t>
      </w:r>
      <w:r>
        <w:rPr>
          <w:b/>
        </w:rPr>
        <w:t xml:space="preserve">mid-period migration</w:t>
      </w:r>
      <w:r>
        <w:t xml:space="preserve"> and is tracked separately. </w:t>
      </w:r>
    </w:p>
    <w:p>
      <w:r>
        <w:rPr>
          <w:caps/>
          <w:b/>
        </w:rPr>
        <w:t xml:space="preserve">RECOMMENDATIONS</w:t>
      </w:r>
    </w:p>
    <w:p>
      <w:r>
        <w:t xml:space="preserve">Investigate before the next migration window.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