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r>
    </w:p>
    <w:p>
      <w:pPr>
        <w:pStyle w:val="Normal"/>
        <w:rPr>
          <w:rFonts w:cs="Times New Roman" w:ascii="Times New Roman" w:hAnsi="Times New Roman"/>
          <w:b/>
          <w:sz w:val="32"/>
          <w:szCs w:val="32"/>
          <w:u w:val="single"/>
        </w:rPr>
      </w:pPr>
      <w:r>
        <w:rPr>
          <w:rFonts w:cs="Times New Roman" w:ascii="Times New Roman" w:hAnsi="Times New Roman"/>
          <w:b/>
          <w:sz w:val="32"/>
          <w:szCs w:val="32"/>
          <w:u w:val="single"/>
        </w:rPr>
        <w:t xml:space="preserve">The Maximum Profit System.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In short: it allows you to get bigger gains in a shorter amount of time… by identifying when a stock is starting and ending a growth period.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It does not use earnings per share, PE ratios, analyst estimates, anything like that.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The Maximum Profit System uses two unique indicators.  These two indicators aren’t widely known. There aren’t found on a balance sheet… an income statement… or in a company’s SEC filings. Taken by themselves they have proven to deliver great results for investors.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The first indicator is called </w:t>
      </w:r>
      <w:r>
        <w:rPr>
          <w:rFonts w:cs="Times New Roman" w:ascii="Times New Roman" w:hAnsi="Times New Roman"/>
          <w:b/>
          <w:i/>
          <w:u w:val="single"/>
        </w:rPr>
        <w:t>relative strength</w:t>
      </w:r>
      <w:r>
        <w:rPr>
          <w:rFonts w:cs="Times New Roman" w:ascii="Times New Roman" w:hAnsi="Times New Roman"/>
        </w:rPr>
        <w:t>. If you’ve never heard of relative strength before, you are not alone. Most people haven’t. Another name for it is momentum investing. Here is how it works…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Simply put, relative strength tells you how fast a company’s share price s moving upward. We compare the past six months performance of a stock to the entire market.  If, over the past six months, a stock has outperformed 70% of all other stocks on the market, then it passes the relative strength test </w:t>
      </w:r>
      <w:r>
        <w:rPr>
          <w:rFonts w:cs="Times New Roman" w:ascii="Wingdings" w:hAnsi="Wingdings"/>
        </w:rPr>
        <w:t></w:t>
      </w:r>
      <w:r>
        <w:rPr>
          <w:rFonts w:cs="Times New Roman" w:ascii="Times New Roman" w:hAnsi="Times New Roman"/>
        </w:rPr>
        <w:t xml:space="preserve"> The stock is performing strongly relative to its peers. Studies have consistently shown that stocks that are currently performing well and likely to continue doing so in the future.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When a stock shows a high relative strength rating, it means the company has entered a growth window and has a high probability of delivering market-beating gains in the near future. The great thing about relative strength is that you don’t have to try to catch a falling knife. Instead of trying to guess when a falling stock will rebound, you focus on stocks that are already moving in the right direction. Furthermore, once a stock starts to flatten or fall, its relative strength falls too – signaling that it’s time to sell.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i/>
        </w:rPr>
      </w:pPr>
      <w:r>
        <w:rPr>
          <w:rFonts w:cs="Times New Roman" w:ascii="Times New Roman" w:hAnsi="Times New Roman"/>
          <w:i/>
        </w:rPr>
        <w:t xml:space="preserve">Note by Dima: some may argue that since S&amp;P 500 is moving and moving upward, there are always some stocks which rise. That is true, BUT we are focusing on stocks that rise CONTINUOUSLY. Of course there are shares, which go up and down every month, and many of them may grow positively and outperform the market. But the winners may change every month – the outperforming stocks shoot up and come down, therefore its is fairly hard to find stocks outperforming the entire S&amp;P 500 and moreover 70% or more of its peers. </w:t>
      </w:r>
    </w:p>
    <w:p>
      <w:pPr>
        <w:pStyle w:val="Normal"/>
        <w:rPr>
          <w:rFonts w:cs="Times New Roman" w:ascii="Times New Roman" w:hAnsi="Times New Roman"/>
        </w:rPr>
      </w:pPr>
      <w:r>
        <w:rPr>
          <w:rFonts w:cs="Times New Roman" w:ascii="Times New Roman" w:hAnsi="Times New Roman"/>
        </w:rPr>
        <w:pict>
          <v:line id="shape_0" from="0pt,11.05pt" to="359.85pt,11.05pt" stroked="t" style="position:absolute">
            <v:stroke color="#4f81bd" weight="25560" joinstyle="round" endcap="flat"/>
            <v:fill on="false" detectmouseclick="t"/>
          </v:line>
        </w:pict>
        <w:pict>
          <v:line id="shape_0" from="360pt,11.05pt" to="360pt,136.9pt" stroked="t" style="position:absolute">
            <v:stroke color="#4f81bd" weight="25560" joinstyle="round" endcap="flat"/>
            <v:fill on="false" detectmouseclick="t"/>
          </v:line>
        </w:pict>
        <w:pict>
          <v:line id="shape_0" from="0pt,11.05pt" to="0pt,136.9pt" stroked="t" style="position:absolute">
            <v:stroke color="#4f81bd" weight="25560" joinstyle="round" endcap="flat"/>
            <v:fill on="false" detectmouseclick="t"/>
          </v:line>
        </w:pict>
      </w:r>
    </w:p>
    <w:p>
      <w:pPr>
        <w:pStyle w:val="Normal"/>
        <w:ind w:left="720" w:right="0" w:hanging="720"/>
        <w:rPr>
          <w:rFonts w:cs="Times New Roman" w:ascii="Times New Roman" w:hAnsi="Times New Roman"/>
        </w:rPr>
      </w:pPr>
      <w:r>
        <w:rPr>
          <w:rFonts w:cs="Times New Roman" w:ascii="Times New Roman" w:hAnsi="Times New Roman"/>
        </w:rPr>
        <w:t xml:space="preserve">The formula for calculation of return is simple: </w:t>
      </w:r>
    </w:p>
    <w:p>
      <w:pPr>
        <w:pStyle w:val="Normal"/>
        <w:ind w:left="720" w:right="0" w:hanging="720"/>
        <w:rPr>
          <w:rFonts w:cs="Times New Roman" w:ascii="Times New Roman" w:hAnsi="Times New Roman"/>
        </w:rPr>
      </w:pPr>
      <w:r>
        <w:rPr>
          <w:rFonts w:cs="Times New Roman" w:ascii="Times New Roman" w:hAnsi="Times New Roman"/>
        </w:rPr>
      </w:r>
    </w:p>
    <w:p>
      <w:pPr>
        <w:pStyle w:val="Normal"/>
        <w:ind w:left="720" w:right="0" w:hanging="720"/>
        <w:rPr/>
      </w:pPr>
      <w:r>
        <w:rPr/>
      </w:r>
      <m:oMath xmlns:m="http://schemas.openxmlformats.org/officeDocument/2006/math">
        <m:f>
          <m:num>
            <m:r>
              <w:rPr>
                <w:rFonts w:ascii="Cambria Math" w:hAnsi="Cambria Math"/>
              </w:rPr>
              <m:t xml:space="preserve">P</m:t>
            </m:r>
            <m:r>
              <w:rPr>
                <w:rFonts w:ascii="Cambria Math" w:hAnsi="Cambria Math"/>
              </w:rPr>
              <m:t xml:space="preserve">e</m:t>
            </m:r>
            <m:r>
              <w:rPr>
                <w:rFonts w:ascii="Cambria Math" w:hAnsi="Cambria Math"/>
              </w:rPr>
              <m:t xml:space="preserve">−</m:t>
            </m:r>
            <m:r>
              <w:rPr>
                <w:rFonts w:ascii="Cambria Math" w:hAnsi="Cambria Math"/>
              </w:rPr>
              <m:t xml:space="preserve">Pb</m:t>
            </m:r>
          </m:num>
          <m:den>
            <m:r>
              <w:rPr>
                <w:rFonts w:ascii="Cambria Math" w:hAnsi="Cambria Math"/>
              </w:rPr>
              <m:t xml:space="preserve">Pb</m:t>
            </m:r>
          </m:den>
        </m:f>
      </m:oMath>
    </w:p>
    <w:p>
      <w:pPr>
        <w:pStyle w:val="Normal"/>
        <w:ind w:left="720" w:right="0" w:hanging="720"/>
        <w:rPr>
          <w:rFonts w:cs="Times New Roman" w:ascii="Times New Roman" w:hAnsi="Times New Roman"/>
        </w:rPr>
      </w:pPr>
      <w:r>
        <w:rPr>
          <w:rFonts w:cs="Times New Roman" w:ascii="Times New Roman" w:hAnsi="Times New Roman"/>
        </w:rPr>
      </w:r>
    </w:p>
    <w:p>
      <w:pPr>
        <w:pStyle w:val="Normal"/>
        <w:ind w:left="720" w:right="0" w:hanging="720"/>
        <w:rPr>
          <w:rFonts w:cs="Times New Roman" w:ascii="Times New Roman" w:hAnsi="Times New Roman"/>
        </w:rPr>
      </w:pPr>
      <w:r>
        <w:rPr>
          <w:rFonts w:cs="Times New Roman" w:ascii="Times New Roman" w:hAnsi="Times New Roman"/>
        </w:rPr>
        <w:t>Where P</w:t>
      </w:r>
      <w:r>
        <w:rPr>
          <w:rFonts w:cs="Times New Roman" w:ascii="Times New Roman" w:hAnsi="Times New Roman"/>
          <w:sz w:val="32"/>
          <w:szCs w:val="32"/>
          <w:vertAlign w:val="subscript"/>
        </w:rPr>
        <w:t>e</w:t>
      </w:r>
      <w:r>
        <w:rPr>
          <w:rFonts w:cs="Times New Roman" w:ascii="Times New Roman" w:hAnsi="Times New Roman"/>
        </w:rPr>
        <w:t xml:space="preserve"> – price at the end of a period </w:t>
      </w:r>
    </w:p>
    <w:p>
      <w:pPr>
        <w:pStyle w:val="Normal"/>
        <w:ind w:left="720" w:right="0" w:hanging="72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sz w:val="32"/>
          <w:szCs w:val="32"/>
          <w:vertAlign w:val="subscript"/>
        </w:rPr>
        <w:t>b</w:t>
      </w:r>
      <w:r>
        <w:rPr>
          <w:rFonts w:cs="Times New Roman" w:ascii="Times New Roman" w:hAnsi="Times New Roman"/>
        </w:rPr>
        <w:t xml:space="preserve"> – price at the beginning of a period </w:t>
      </w:r>
    </w:p>
    <w:p>
      <w:pPr>
        <w:pStyle w:val="Normal"/>
        <w:ind w:left="720" w:right="0" w:hanging="72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pict>
          <v:line id="shape_0" from="0pt,3.9pt" to="359.85pt,3.9pt" stroked="t" style="position:absolute">
            <v:stroke color="#4f81bd" weight="25560" joinstyle="round" endcap="flat"/>
            <v:fill on="false" detectmouseclick="t"/>
          </v:line>
        </w:pict>
      </w:r>
    </w:p>
    <w:p>
      <w:pPr>
        <w:pStyle w:val="Normal"/>
        <w:rPr>
          <w:rFonts w:cs="Times New Roman" w:ascii="Times New Roman" w:hAnsi="Times New Roman"/>
        </w:rPr>
      </w:pPr>
      <w:r>
        <w:rPr>
          <w:rFonts w:cs="Times New Roman" w:ascii="Times New Roman" w:hAnsi="Times New Roman"/>
        </w:rPr>
        <w:t>The obvious question is: what is the period? The period should be a month</w:t>
      </w:r>
      <w:r>
        <w:rPr>
          <w:rFonts w:cs="Times New Roman" w:ascii="Times New Roman" w:hAnsi="Times New Roman"/>
          <w:sz w:val="28"/>
          <w:szCs w:val="28"/>
          <w:vertAlign w:val="superscript"/>
        </w:rPr>
        <w:t>1</w:t>
      </w:r>
      <w:r>
        <w:rPr>
          <w:rFonts w:cs="Times New Roman" w:ascii="Times New Roman" w:hAnsi="Times New Roman"/>
        </w:rPr>
        <w:t>, for example it would be convenient to take 28</w:t>
      </w:r>
      <w:r>
        <w:rPr>
          <w:rFonts w:cs="Times New Roman" w:ascii="Times New Roman" w:hAnsi="Times New Roman"/>
          <w:vertAlign w:val="superscript"/>
        </w:rPr>
        <w:t>th</w:t>
      </w:r>
      <w:r>
        <w:rPr>
          <w:rFonts w:cs="Times New Roman" w:ascii="Times New Roman" w:hAnsi="Times New Roman"/>
        </w:rPr>
        <w:t xml:space="preserve"> of each month (we certainly cannot take 6 months as our period straight away since some stocks may be quite volatile – we are looking for CONSISTENT returns</w:t>
      </w:r>
      <w:r>
        <w:rPr>
          <w:rFonts w:cs="Times New Roman" w:ascii="Times New Roman" w:hAnsi="Times New Roman"/>
          <w:sz w:val="28"/>
          <w:szCs w:val="28"/>
          <w:vertAlign w:val="superscript"/>
        </w:rPr>
        <w:t>2</w:t>
      </w:r>
      <w:r>
        <w:rPr>
          <w:rFonts w:cs="Times New Roman" w:ascii="Times New Roman" w:hAnsi="Times New Roman"/>
        </w:rPr>
        <w:t>). So lets say stock X was traded at the price P</w:t>
      </w:r>
      <w:r>
        <w:rPr>
          <w:rFonts w:cs="Times New Roman" w:ascii="Times New Roman" w:hAnsi="Times New Roman"/>
          <w:sz w:val="32"/>
          <w:szCs w:val="32"/>
          <w:vertAlign w:val="subscript"/>
        </w:rPr>
        <w:t>b</w:t>
      </w:r>
      <w:r>
        <w:rPr>
          <w:rFonts w:cs="Times New Roman" w:ascii="Times New Roman" w:hAnsi="Times New Roman"/>
        </w:rPr>
        <w:t>=50$ dollars on the 28</w:t>
      </w:r>
      <w:r>
        <w:rPr>
          <w:rFonts w:cs="Times New Roman" w:ascii="Times New Roman" w:hAnsi="Times New Roman"/>
          <w:vertAlign w:val="superscript"/>
        </w:rPr>
        <w:t>th</w:t>
      </w:r>
      <w:r>
        <w:rPr>
          <w:rFonts w:cs="Times New Roman" w:ascii="Times New Roman" w:hAnsi="Times New Roman"/>
        </w:rPr>
        <w:t xml:space="preserve"> of August and its price went up to P</w:t>
      </w:r>
      <w:r>
        <w:rPr>
          <w:rFonts w:cs="Times New Roman" w:ascii="Times New Roman" w:hAnsi="Times New Roman"/>
          <w:sz w:val="32"/>
          <w:szCs w:val="32"/>
          <w:vertAlign w:val="subscript"/>
        </w:rPr>
        <w:t>e</w:t>
      </w:r>
      <w:r>
        <w:rPr>
          <w:rFonts w:cs="Times New Roman" w:ascii="Times New Roman" w:hAnsi="Times New Roman"/>
        </w:rPr>
        <w:t>=60$ by 28</w:t>
      </w:r>
      <w:r>
        <w:rPr>
          <w:rFonts w:cs="Times New Roman" w:ascii="Times New Roman" w:hAnsi="Times New Roman"/>
          <w:vertAlign w:val="superscript"/>
        </w:rPr>
        <w:t>th</w:t>
      </w:r>
      <w:r>
        <w:rPr>
          <w:rFonts w:cs="Times New Roman" w:ascii="Times New Roman" w:hAnsi="Times New Roman"/>
        </w:rPr>
        <w:t xml:space="preserve"> of September. Then the return would be (60-50/50)*100%=20%. It is that simple. The hard part is – we have to compare it to each single company in the entire NYSE, which has approximately 3500 companies. we compute returns for all 3500 companies and then arrange them in the normal distribution and then take companies in the highest 30% of the curve (that is we take companies, which are on the right end of the curve)</w:t>
      </w:r>
      <w:r>
        <w:rPr>
          <w:rFonts w:cs="Times New Roman" w:ascii="Times New Roman" w:hAnsi="Times New Roman"/>
          <w:sz w:val="28"/>
          <w:szCs w:val="28"/>
          <w:vertAlign w:val="superscript"/>
        </w:rPr>
        <w:t>3</w:t>
      </w:r>
      <w:r>
        <w:rPr>
          <w:rFonts w:cs="Times New Roman" w:ascii="Times New Roman" w:hAnsi="Times New Roman"/>
        </w:rPr>
        <w:t>. If we want to make things simpler, we can arrange all the returns from lowest to highest and then take highest 30%. Or use percentiles – take companies in the top 25</w:t>
      </w:r>
      <w:r>
        <w:rPr>
          <w:rFonts w:cs="Times New Roman" w:ascii="Times New Roman" w:hAnsi="Times New Roman"/>
          <w:vertAlign w:val="superscript"/>
        </w:rPr>
        <w:t>th</w:t>
      </w:r>
      <w:r>
        <w:rPr>
          <w:rFonts w:cs="Times New Roman" w:ascii="Times New Roman" w:hAnsi="Times New Roman"/>
        </w:rPr>
        <w:t xml:space="preserve"> percentile, the idea is the same – outline top winners. We do it for each month and look for companies, which have persistently been at the right end of the curve. Another possible way is to narrow down the sample size: that is to take company from S&amp;P 500 and compare it with companies from the index. However in that case it would be harder to find company with the criteria we want. </w:t>
      </w:r>
    </w:p>
    <w:p>
      <w:pPr>
        <w:pStyle w:val="Normal"/>
        <w:ind w:left="720" w:right="0" w:hanging="720"/>
        <w:rPr>
          <w:rFonts w:cs="Times New Roman" w:ascii="Times New Roman" w:hAnsi="Times New Roman"/>
        </w:rPr>
      </w:pPr>
      <w:r>
        <w:rPr>
          <w:rFonts w:cs="Times New Roman" w:ascii="Times New Roman" w:hAnsi="Times New Roman"/>
        </w:rPr>
      </w:r>
    </w:p>
    <w:p>
      <w:pPr>
        <w:pStyle w:val="Normal"/>
        <w:ind w:left="720" w:right="0" w:hanging="720"/>
        <w:rPr>
          <w:rFonts w:cs="Times New Roman" w:ascii="Times New Roman" w:hAnsi="Times New Roman"/>
        </w:rPr>
      </w:pPr>
      <w:r>
        <w:rPr>
          <w:rFonts w:cs="Times New Roman" w:ascii="Times New Roman" w:hAnsi="Times New Roman"/>
        </w:rPr>
      </w:r>
    </w:p>
    <w:p>
      <w:pPr>
        <w:pStyle w:val="Normal"/>
        <w:ind w:left="720" w:right="0" w:hanging="720"/>
        <w:rPr>
          <w:rFonts w:cs="Times New Roman" w:ascii="Times New Roman" w:hAnsi="Times New Roman"/>
        </w:rPr>
      </w:pPr>
      <w:r>
        <w:rPr>
          <w:rFonts w:cs="Times New Roman" w:ascii="Times New Roman" w:hAnsi="Times New Roman"/>
        </w:rPr>
        <w:t>Relative strength is what’s called a technical indicator. It determines whether or</w:t>
      </w:r>
    </w:p>
    <w:p>
      <w:pPr>
        <w:pStyle w:val="Normal"/>
        <w:ind w:left="720" w:right="0" w:hanging="720"/>
        <w:rPr>
          <w:rFonts w:cs="Times New Roman" w:ascii="Times New Roman" w:hAnsi="Times New Roman"/>
        </w:rPr>
      </w:pPr>
      <w:r>
        <w:rPr>
          <w:rFonts w:cs="Times New Roman" w:ascii="Times New Roman" w:hAnsi="Times New Roman"/>
        </w:rPr>
        <w:t>not a stock is a “buy” based strictly on its price movements over the past six</w:t>
      </w:r>
    </w:p>
    <w:p>
      <w:pPr>
        <w:pStyle w:val="Normal"/>
        <w:ind w:left="720" w:right="0" w:hanging="720"/>
        <w:rPr>
          <w:rFonts w:cs="Times New Roman" w:ascii="Times New Roman" w:hAnsi="Times New Roman"/>
        </w:rPr>
      </w:pPr>
      <w:r>
        <w:rPr>
          <w:rFonts w:cs="Times New Roman" w:ascii="Times New Roman" w:hAnsi="Times New Roman"/>
        </w:rPr>
        <w:t>months. But it turns out you can add another level of safety and growth by</w:t>
      </w:r>
    </w:p>
    <w:p>
      <w:pPr>
        <w:pStyle w:val="Normal"/>
        <w:ind w:left="720" w:right="0" w:hanging="720"/>
        <w:rPr>
          <w:rFonts w:cs="Times New Roman" w:ascii="Times New Roman" w:hAnsi="Times New Roman"/>
        </w:rPr>
      </w:pPr>
      <w:r>
        <w:rPr>
          <w:rFonts w:cs="Times New Roman" w:ascii="Times New Roman" w:hAnsi="Times New Roman"/>
        </w:rPr>
        <w:t>adding a fundamental indicator… an indicator that tells you that you’re investing</w:t>
      </w:r>
    </w:p>
    <w:p>
      <w:pPr>
        <w:pStyle w:val="Normal"/>
        <w:ind w:left="720" w:right="0" w:hanging="720"/>
        <w:rPr>
          <w:rFonts w:cs="Times New Roman" w:ascii="Times New Roman" w:hAnsi="Times New Roman"/>
        </w:rPr>
      </w:pPr>
      <w:r>
        <w:rPr>
          <w:rFonts w:cs="Times New Roman" w:ascii="Times New Roman" w:hAnsi="Times New Roman"/>
        </w:rPr>
        <w:t xml:space="preserve">in a good, fundamentally sound company. It is related to </w:t>
      </w:r>
      <w:r>
        <w:rPr>
          <w:rFonts w:cs="Times New Roman" w:ascii="Times New Roman" w:hAnsi="Times New Roman"/>
          <w:b/>
          <w:i/>
          <w:u w:val="single"/>
        </w:rPr>
        <w:t>cash flow</w:t>
      </w:r>
      <w:r>
        <w:rPr>
          <w:rFonts w:cs="Times New Roman" w:ascii="Times New Roman" w:hAnsi="Times New Roman"/>
        </w:rPr>
        <w:t>. Most people</w:t>
      </w:r>
    </w:p>
    <w:p>
      <w:pPr>
        <w:pStyle w:val="Normal"/>
        <w:ind w:left="720" w:right="0" w:hanging="720"/>
        <w:rPr>
          <w:rFonts w:cs="Times New Roman" w:ascii="Times New Roman" w:hAnsi="Times New Roman"/>
        </w:rPr>
      </w:pPr>
      <w:r>
        <w:rPr>
          <w:rFonts w:cs="Times New Roman" w:ascii="Times New Roman" w:hAnsi="Times New Roman"/>
        </w:rPr>
        <w:t>use earnings to analyze a company they look at things like the PE ratio, earnings</w:t>
      </w:r>
    </w:p>
    <w:p>
      <w:pPr>
        <w:pStyle w:val="Normal"/>
        <w:ind w:left="720" w:right="0" w:hanging="720"/>
        <w:rPr>
          <w:rFonts w:cs="Times New Roman" w:ascii="Times New Roman" w:hAnsi="Times New Roman"/>
        </w:rPr>
      </w:pPr>
      <w:r>
        <w:rPr>
          <w:rFonts w:cs="Times New Roman" w:ascii="Times New Roman" w:hAnsi="Times New Roman"/>
        </w:rPr>
        <w:t>per share, earnings estimates and the like. The problem is – earnings can be</w:t>
      </w:r>
    </w:p>
    <w:p>
      <w:pPr>
        <w:pStyle w:val="Normal"/>
        <w:ind w:left="720" w:right="0" w:hanging="720"/>
        <w:rPr>
          <w:rFonts w:cs="Times New Roman" w:ascii="Times New Roman" w:hAnsi="Times New Roman"/>
        </w:rPr>
      </w:pPr>
      <w:r>
        <w:rPr>
          <w:rFonts w:cs="Times New Roman" w:ascii="Times New Roman" w:hAnsi="Times New Roman"/>
        </w:rPr>
        <w:t>manipulated (think of Enron). Cash flow is different – it is not an accounting</w:t>
      </w:r>
    </w:p>
    <w:p>
      <w:pPr>
        <w:pStyle w:val="Normal"/>
        <w:ind w:left="720" w:right="0" w:hanging="720"/>
        <w:rPr>
          <w:rFonts w:cs="Times New Roman" w:ascii="Times New Roman" w:hAnsi="Times New Roman"/>
        </w:rPr>
      </w:pPr>
      <w:r>
        <w:rPr>
          <w:rFonts w:cs="Times New Roman" w:ascii="Times New Roman" w:hAnsi="Times New Roman"/>
        </w:rPr>
        <w:t>measure that you can create out of thin air. Cash low measures the actual amount</w:t>
      </w:r>
    </w:p>
    <w:p>
      <w:pPr>
        <w:pStyle w:val="Normal"/>
        <w:ind w:left="720" w:right="0" w:hanging="720"/>
        <w:rPr>
          <w:rFonts w:cs="Times New Roman" w:ascii="Times New Roman" w:hAnsi="Times New Roman"/>
        </w:rPr>
      </w:pPr>
      <w:r>
        <w:rPr>
          <w:rFonts w:cs="Times New Roman" w:ascii="Times New Roman" w:hAnsi="Times New Roman"/>
        </w:rPr>
        <w:t>of money coming into the business. Not “paper profits”, or some future income</w:t>
      </w:r>
    </w:p>
    <w:p>
      <w:pPr>
        <w:pStyle w:val="Normal"/>
        <w:ind w:left="709" w:right="0" w:hanging="709"/>
        <w:rPr>
          <w:rFonts w:cs="Times New Roman" w:ascii="Times New Roman" w:hAnsi="Times New Roman"/>
        </w:rPr>
      </w:pPr>
      <w:r>
        <w:rPr>
          <w:rFonts w:cs="Times New Roman" w:ascii="Times New Roman" w:hAnsi="Times New Roman"/>
        </w:rPr>
        <w:t>stream that may or may not pan out. Cash flow is the money business uses to buy</w:t>
      </w:r>
    </w:p>
    <w:p>
      <w:pPr>
        <w:pStyle w:val="Normal"/>
        <w:ind w:left="720" w:right="0" w:hanging="720"/>
        <w:rPr>
          <w:rFonts w:cs="Times New Roman" w:ascii="Times New Roman" w:hAnsi="Times New Roman"/>
        </w:rPr>
      </w:pPr>
      <w:r>
        <w:rPr>
          <w:rFonts w:cs="Times New Roman" w:ascii="Times New Roman" w:hAnsi="Times New Roman"/>
        </w:rPr>
        <w:t>new factories, pour into research and development or deliver back to its</w:t>
      </w:r>
    </w:p>
    <w:p>
      <w:pPr>
        <w:pStyle w:val="Normal"/>
        <w:ind w:left="720" w:right="0" w:hanging="720"/>
        <w:rPr>
          <w:rFonts w:cs="Times New Roman" w:ascii="Times New Roman" w:hAnsi="Times New Roman"/>
        </w:rPr>
      </w:pPr>
      <w:r>
        <w:rPr>
          <w:rFonts w:cs="Times New Roman" w:ascii="Times New Roman" w:hAnsi="Times New Roman"/>
        </w:rPr>
        <w:t>investors via dividends. And if a company is increasing its cash flow t a rapid clip,</w:t>
      </w:r>
    </w:p>
    <w:p>
      <w:pPr>
        <w:pStyle w:val="Normal"/>
        <w:ind w:left="720" w:right="0" w:hanging="720"/>
        <w:rPr>
          <w:rFonts w:cs="Times New Roman" w:ascii="Times New Roman" w:hAnsi="Times New Roman"/>
        </w:rPr>
      </w:pPr>
      <w:r>
        <w:rPr>
          <w:rFonts w:cs="Times New Roman" w:ascii="Times New Roman" w:hAnsi="Times New Roman"/>
        </w:rPr>
        <w:t>it’s not likely to go belly up any time soon. To pass the test, a company has to be</w:t>
      </w:r>
    </w:p>
    <w:p>
      <w:pPr>
        <w:pStyle w:val="Normal"/>
        <w:ind w:left="720" w:right="0" w:hanging="720"/>
        <w:rPr>
          <w:rFonts w:cs="Times New Roman" w:ascii="Times New Roman" w:hAnsi="Times New Roman"/>
        </w:rPr>
      </w:pPr>
      <w:r>
        <w:rPr>
          <w:rFonts w:cs="Times New Roman" w:ascii="Times New Roman" w:hAnsi="Times New Roman"/>
          <w:b/>
          <w:i/>
          <w:u w:val="single"/>
        </w:rPr>
        <w:t>growing its cash flow</w:t>
      </w:r>
      <w:r>
        <w:rPr>
          <w:rFonts w:cs="Times New Roman" w:ascii="Times New Roman" w:hAnsi="Times New Roman"/>
        </w:rPr>
        <w:t>. The same way a company’s share price must be</w:t>
      </w:r>
    </w:p>
    <w:p>
      <w:pPr>
        <w:pStyle w:val="Normal"/>
        <w:rPr>
          <w:rFonts w:cs="Times New Roman" w:ascii="Times New Roman" w:hAnsi="Times New Roman"/>
        </w:rPr>
      </w:pPr>
      <w:r>
        <w:rPr>
          <w:rFonts w:cs="Times New Roman" w:ascii="Times New Roman" w:hAnsi="Times New Roman"/>
        </w:rPr>
        <w:t>outperforming 70% of its peers; its cash flow must be doing the same thing. Same rules apply for calculations as described by the relative strength, the only difference in the formula being – we replace price P with CF – cash flow.</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By combining these two indicators – </w:t>
      </w:r>
      <w:r>
        <w:rPr>
          <w:rFonts w:cs="Times New Roman" w:ascii="Times New Roman" w:hAnsi="Times New Roman"/>
          <w:b/>
          <w:i/>
          <w:u w:val="single"/>
        </w:rPr>
        <w:t>relative strength and cash flow growth</w:t>
      </w:r>
      <w:r>
        <w:rPr>
          <w:rFonts w:cs="Times New Roman" w:ascii="Times New Roman" w:hAnsi="Times New Roman"/>
        </w:rPr>
        <w:t xml:space="preserve">– we are able to better now when stock is entering and leaving a growth period. First. Rising cash flow growth tells us the company has been bringing in more and more money. So we know it’s a good, fundamentally - sound business. Second, relative strength tells us that the market is starting to catch on. The share price is gaining momentum, entering a possible breakout phase. That’s how this system has been able to deliver bigger gains in the shorter amount of time. It can catch stocks during their growth periods.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u w:val="single"/>
        </w:rPr>
        <w:t>Bottom line:</w:t>
      </w:r>
      <w:r>
        <w:rPr>
          <w:rFonts w:cs="Times New Roman" w:ascii="Times New Roman" w:hAnsi="Times New Roman"/>
        </w:rPr>
        <w:t xml:space="preserve"> figuring conservatively, history suggests the Maximum Profit system could give you bigger gains in a shorter amount of time. </w:t>
      </w:r>
    </w:p>
    <w:p>
      <w:pPr>
        <w:pStyle w:val="Normal"/>
        <w:rPr>
          <w:rFonts w:cs="Times New Roman" w:ascii="Times New Roman" w:hAnsi="Times New Roman"/>
        </w:rPr>
      </w:pPr>
      <w:r>
        <w:rPr>
          <w:rFonts w:cs="Times New Roman" w:ascii="Times New Roman" w:hAnsi="Times New Roman"/>
        </w:rPr>
        <w:t xml:space="preserve">Where to find data: </w:t>
      </w:r>
    </w:p>
    <w:p>
      <w:pPr>
        <w:pStyle w:val="ListParagraph"/>
        <w:numPr>
          <w:ilvl w:val="0"/>
          <w:numId w:val="1"/>
        </w:numPr>
        <w:rPr>
          <w:rFonts w:cs="Times New Roman" w:ascii="Times New Roman" w:hAnsi="Times New Roman"/>
        </w:rPr>
      </w:pPr>
      <w:r>
        <w:rPr>
          <w:rFonts w:cs="Times New Roman" w:ascii="Times New Roman" w:hAnsi="Times New Roman"/>
        </w:rPr>
        <w:t xml:space="preserve">Prices are available on Yahoo Finance. </w:t>
      </w:r>
    </w:p>
    <w:p>
      <w:pPr>
        <w:pStyle w:val="ListParagraph"/>
        <w:numPr>
          <w:ilvl w:val="0"/>
          <w:numId w:val="1"/>
        </w:numPr>
        <w:rPr>
          <w:rFonts w:cs="Times New Roman" w:ascii="Times New Roman" w:hAnsi="Times New Roman"/>
        </w:rPr>
      </w:pPr>
      <w:r>
        <w:rPr>
          <w:rFonts w:cs="Times New Roman" w:ascii="Times New Roman" w:hAnsi="Times New Roman"/>
        </w:rPr>
        <w:t xml:space="preserve">Cash Flow might be available on Yahoo Finance, but we are looking for Operating Cash Flow. This can be found in the “Key Statistics” section – the second parameter from the bottom in this section. </w:t>
      </w:r>
    </w:p>
    <w:p>
      <w:pPr>
        <w:pStyle w:val="Normal"/>
        <w:rPr>
          <w:rFonts w:cs="Times New Roman" w:ascii="Times New Roman" w:hAnsi="Times New Roman"/>
          <w:sz w:val="28"/>
          <w:szCs w:val="28"/>
          <w:vertAlign w:val="superscript"/>
        </w:rPr>
      </w:pPr>
      <w:r>
        <w:rPr>
          <w:rFonts w:cs="Times New Roman" w:ascii="Times New Roman" w:hAnsi="Times New Roman"/>
          <w:sz w:val="28"/>
          <w:szCs w:val="28"/>
          <w:vertAlign w:val="superscript"/>
        </w:rPr>
      </w:r>
    </w:p>
    <w:p>
      <w:pPr>
        <w:pStyle w:val="Normal"/>
        <w:rPr/>
      </w:pPr>
      <w:r>
        <w:rPr/>
        <w:drawing>
          <wp:inline distT="0" distB="0" distL="0" distR="0">
            <wp:extent cx="1273175" cy="3782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273175" cy="3782060"/>
                    </a:xfrm>
                    <a:prstGeom prst="rect">
                      <a:avLst/>
                    </a:prstGeom>
                    <a:noFill/>
                    <a:ln w="9525">
                      <a:noFill/>
                      <a:miter lim="800000"/>
                      <a:headEnd/>
                      <a:tailEnd/>
                    </a:ln>
                  </pic:spPr>
                </pic:pic>
              </a:graphicData>
            </a:graphic>
          </wp:inline>
        </w:drawing>
        <w:pict>
          <v:oval id="shape_0" stroked="t" style="position:absolute;margin-left:99pt;margin-top:229.9pt;width:143.85pt;height:71.85pt">
            <v:wrap v:type="none"/>
            <v:fill on="false" detectmouseclick="t"/>
            <v:stroke color="#c0504d" weight="12600" joinstyle="round" endcap="flat"/>
          </v:oval>
        </w:pict>
        <w:drawing>
          <wp:anchor behindDoc="0" distT="0" distB="0" distL="114300" distR="114300" simplePos="0" locked="0" layoutInCell="1" allowOverlap="1" relativeHeight="0">
            <wp:simplePos x="0" y="0"/>
            <wp:positionH relativeFrom="margin">
              <wp:posOffset>1371600</wp:posOffset>
            </wp:positionH>
            <wp:positionV relativeFrom="margin">
              <wp:posOffset>1143000</wp:posOffset>
            </wp:positionV>
            <wp:extent cx="3625850" cy="352933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625850" cy="3529330"/>
                    </a:xfrm>
                    <a:prstGeom prst="rect">
                      <a:avLst/>
                    </a:prstGeom>
                    <a:noFill/>
                    <a:ln w="9525">
                      <a:noFill/>
                      <a:miter lim="800000"/>
                      <a:headEnd/>
                      <a:tailEnd/>
                    </a:ln>
                  </pic:spPr>
                </pic:pic>
              </a:graphicData>
            </a:graphic>
          </wp:anchor>
        </w:drawing>
      </w:r>
    </w:p>
    <w:p>
      <w:pPr>
        <w:pStyle w:val="Normal"/>
        <w:rPr>
          <w:rFonts w:cs="Times New Roman" w:ascii="Times New Roman" w:hAnsi="Times New Roman"/>
          <w:sz w:val="28"/>
          <w:szCs w:val="28"/>
          <w:vertAlign w:val="superscript"/>
        </w:rPr>
      </w:pPr>
      <w:r>
        <w:rPr>
          <w:rFonts w:cs="Times New Roman" w:ascii="Times New Roman" w:hAnsi="Times New Roman"/>
          <w:sz w:val="28"/>
          <w:szCs w:val="28"/>
          <w:vertAlign w:val="superscript"/>
        </w:rPr>
      </w:r>
    </w:p>
    <w:p>
      <w:pPr>
        <w:pStyle w:val="Normal"/>
        <w:rPr>
          <w:rFonts w:cs="Times New Roman" w:ascii="Times New Roman" w:hAnsi="Times New Roman"/>
        </w:rPr>
      </w:pPr>
      <w:r>
        <w:rPr>
          <w:rFonts w:cs="Times New Roman" w:ascii="Times New Roman" w:hAnsi="Times New Roman"/>
          <w:sz w:val="28"/>
          <w:szCs w:val="28"/>
          <w:vertAlign w:val="superscript"/>
        </w:rPr>
        <w:t>1</w:t>
      </w:r>
      <w:r>
        <w:rPr>
          <w:rFonts w:cs="Times New Roman" w:ascii="Times New Roman" w:hAnsi="Times New Roman"/>
        </w:rPr>
        <w:t xml:space="preserve"> This is just best way in my opinion, but if you want you can choose 2 months or 3 months</w:t>
      </w:r>
    </w:p>
    <w:p>
      <w:pPr>
        <w:pStyle w:val="Normal"/>
        <w:rPr>
          <w:rFonts w:cs="Times New Roman" w:ascii="Times New Roman" w:hAnsi="Times New Roman"/>
        </w:rPr>
      </w:pPr>
      <w:r>
        <w:rPr>
          <w:rFonts w:cs="Times New Roman" w:ascii="Times New Roman" w:hAnsi="Times New Roman"/>
          <w:sz w:val="28"/>
          <w:szCs w:val="28"/>
          <w:vertAlign w:val="superscript"/>
        </w:rPr>
        <w:t>2</w:t>
      </w:r>
      <w:r>
        <w:rPr>
          <w:rFonts w:cs="Times New Roman" w:ascii="Times New Roman" w:hAnsi="Times New Roman"/>
        </w:rPr>
        <w:t xml:space="preserve"> The 6 months period may be used, although when stocks are chosen we should check their graphs to ensure that these are not volatile. </w:t>
      </w:r>
    </w:p>
    <w:p>
      <w:pPr>
        <w:pStyle w:val="Normal"/>
        <w:rPr>
          <w:rFonts w:cs="Times New Roman" w:ascii="Times New Roman" w:hAnsi="Times New Roman"/>
        </w:rPr>
      </w:pPr>
      <w:r>
        <w:rPr>
          <w:rFonts w:cs="Times New Roman" w:ascii="Times New Roman" w:hAnsi="Times New Roman"/>
          <w:sz w:val="28"/>
          <w:szCs w:val="28"/>
          <w:vertAlign w:val="superscript"/>
        </w:rPr>
        <w:t xml:space="preserve">3 </w:t>
      </w:r>
      <w:r>
        <w:rPr>
          <w:rFonts w:cs="Times New Roman" w:ascii="Times New Roman" w:hAnsi="Times New Roman"/>
        </w:rPr>
        <w:t xml:space="preserve">Different methods can be used depending on the availability of data and efficiency. The way involving normal distribution involves less calculations and therefore is quicker and more efficient although can be less precise. </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dc295b"/>
    <w:basedOn w:val="DefaultParagraphFont"/>
    <w:rPr>
      <w:color w:val="808080"/>
    </w:rPr>
  </w:style>
  <w:style w:type="character" w:styleId="BalloonTextChar" w:customStyle="1">
    <w:name w:val="Balloon Text Char"/>
    <w:uiPriority w:val="99"/>
    <w:semiHidden/>
    <w:link w:val="BalloonText"/>
    <w:rsid w:val="00dc295b"/>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dc295b"/>
    <w:basedOn w:val="Normal"/>
    <w:pPr/>
    <w:rPr>
      <w:rFonts w:ascii="Lucida Grande" w:hAnsi="Lucida Grande" w:cs="Lucida Grande"/>
      <w:sz w:val="18"/>
      <w:szCs w:val="18"/>
    </w:rPr>
  </w:style>
  <w:style w:type="paragraph" w:styleId="ListParagraph">
    <w:name w:val="List Paragraph"/>
    <w:uiPriority w:val="34"/>
    <w:qFormat/>
    <w:rsid w:val="00dc295b"/>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5FB09-849A-7D48-AB12-AD61208C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2015-05-08T20:15:00Z</dcterms:created>
  <dc:creator>Dima Moroz</dc:creator>
  <dc:language>en-US</dc:language>
  <cp:lastModifiedBy>Dima Moroz</cp:lastModifiedBy>
  <dcterms:modified xsi:type="dcterms:W3CDTF">2015-05-08T20:15:00Z</dcterms:modified>
  <cp:revision>2</cp:revision>
</cp:coreProperties>
</file>