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Problem-Solution 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Marks</w:t>
            </w:r>
          </w:p>
        </w:tc>
      </w:tr>
    </w:tbl>
    <w:p/>
    <w:p>
      <w:pPr>
        <w:pStyle w:val="Heading1"/>
      </w:pPr>
      <w:r>
        <w:t>Problem-Solution Fit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Canvas Element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ComicCraft Analysis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Customer Segment(s) [CS]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Students, beginner comic creators, hobbyists and developers demonstrating generative-AI workflows.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 Problems / Pains + Frequency [PR]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 storyboarding, panel sequencing, image generation and final document assembly require multiple separate steps.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 Triggers to Act [TR]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Having a story idea but needing a structured, illustrated and shareable comic.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4. Emotions Before / After [EM]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Before: uncertainty about structure and visuals. After: satisfaction when a five-panel comic and PDF are produced.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5. Available Solutions Pros &amp; Cons [AS]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 drawing gives control but takes time; separate AI tools reduce effort but require manual coordination.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6. Customer Limitations [CL]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Limited drawing/design skills, limited time and need to coordinate several creative steps.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7. Behavior + Intensity [BE]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enters creative choices, starts generation, waits, reviews output and downloads PDF.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8. Channels of Behavior [CH]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Online web browser through the local FastAPI application; no separate hosted channel is documented.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9. Problem Root / Cause [RC]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Story planning, writing, visual generation and export are disconnected tasks when performed manually.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10. Your Solution [SL]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ComicCraft combines Gemini story generation, panel image generation, preview and FPDF2 export.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