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pPr>
        <w:pStyle w:val="Heading1"/>
      </w:pPr>
      <w: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Demo Section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Duration (mins)</w:t>
            </w:r>
          </w:p>
        </w:tc>
        <w:tc>
          <w:tcPr>
            <w:tcW w:type="dxa" w:w="276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Responsible Member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Introduction &amp; Problem Statement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the manual comic-creation problem and ComicCraft objective.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Solution Overview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Explain FastAPI, Gemini, image generation, layout and PDF architecture.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Feature Demonstration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 prompt, generate five panels, review preview and download PDF.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Reliability / Demo Mode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DEMO_MODE, warnings/fallbacks and health endpoint.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 Evidence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automated test structure and 10-test result.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  <w:tr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Q&amp;A Session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Discuss implementation, limitations and future scope.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7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</w:t>
            </w:r>
          </w:p>
        </w:tc>
      </w:tr>
    </w:tbl>
    <w:p/>
    <w:p>
      <w:pPr>
        <w:pStyle w:val="Heading1"/>
      </w:pPr>
      <w: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Step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Introduction &amp; Problem Statement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State need for a single workflow from idea to illustrated comic.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Solution Overview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Show architecture and service flow.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Live Feature Demonstration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form, generate comic, inspect five panels and download PDF.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Q&amp;A Session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Discuss fallbacks, testing and future enhancements.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