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Scalability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Scalability &amp; Future Plan</w:t>
      </w:r>
    </w:p>
    <w:p>
      <w:pPr>
        <w:pStyle w:val="Heading1"/>
      </w:pPr>
      <w:r>
        <w:t>Current Scalability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Design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Upgrade / Solution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FastAPI process; no concurrent-load benchmark.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ASGI deployment and concurrent workload measurement.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Provider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 Gemini model lists and image backends with fallback logic.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abstraction, queues, retries and quotas.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Storage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JPEG and PDF files.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 storage plus metadata/history database.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Image-intensive; README states 1–3 minutes is typical for five images.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 queues, workers, caching and metrics.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secrets and safe PDF download.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Authentication, authorization, secret manager and production headers.</w:t>
            </w:r>
          </w:p>
        </w:tc>
      </w:tr>
    </w:tbl>
    <w:p/>
    <w:p>
      <w:pPr>
        <w:pStyle w:val="Heading1"/>
      </w:pPr>
      <w: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Planned Feature / Enhancement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Timeline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Impact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authentication and comic history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Save and revisit generated comics.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 storage and cloud deployment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Multi-user access and scalable artifacts.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 art styles, models, editing and panel regeneration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Greater creative control.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monitoring and queued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Higher throughput and reliability.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