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This annotated bibliography summarizes and evaluates key academic and professional literature relevant to the Strategic Technical Analysis for Reliable Trading (START) project. Each source is assessed for its contribution to the research on optimizing technical indicators for intraday trading. The insights derived from these sources help shape our project's methodology, expected outcomes, and analytical approach.</w:t>
      </w:r>
    </w:p>
    <w:p w14:paraId="00000002"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0" w:name="_1ngqr85f42y" w:colFirst="0" w:colLast="0"/>
      <w:bookmarkEnd w:id="0"/>
      <w:r w:rsidRPr="00AE4EFA">
        <w:rPr>
          <w:rFonts w:ascii="Montserrat" w:eastAsia="Montserrat" w:hAnsi="Montserrat" w:cs="Montserrat"/>
          <w:color w:val="4F81BD"/>
          <w:sz w:val="22"/>
          <w:szCs w:val="22"/>
        </w:rPr>
        <w:t xml:space="preserve">Brock, W., </w:t>
      </w:r>
      <w:proofErr w:type="spellStart"/>
      <w:r w:rsidRPr="00AE4EFA">
        <w:rPr>
          <w:rFonts w:ascii="Montserrat" w:eastAsia="Montserrat" w:hAnsi="Montserrat" w:cs="Montserrat"/>
          <w:color w:val="4F81BD"/>
          <w:sz w:val="22"/>
          <w:szCs w:val="22"/>
        </w:rPr>
        <w:t>Lakonishok</w:t>
      </w:r>
      <w:proofErr w:type="spellEnd"/>
      <w:r w:rsidRPr="00AE4EFA">
        <w:rPr>
          <w:rFonts w:ascii="Montserrat" w:eastAsia="Montserrat" w:hAnsi="Montserrat" w:cs="Montserrat"/>
          <w:color w:val="4F81BD"/>
          <w:sz w:val="22"/>
          <w:szCs w:val="22"/>
        </w:rPr>
        <w:t>, J., &amp; LeBaron, B. (1992). Simple Technical Trading Rules and the Stochastic Properties of Stock Returns. The Journal of Finance, 47(5), 1731–1764.</w:t>
      </w:r>
    </w:p>
    <w:p w14:paraId="00000003"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This study investigates whether simple technical trading rules, such as moving averages, generate excess returns. The analysis over 90 years suggests that these rules outperform a buy-and-hold strategy, indicating market inefficiencies.</w:t>
      </w:r>
    </w:p>
    <w:p w14:paraId="00000004"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This study supports the hypothesis that technical indicators like moving averages can yield profitable signals. Our project will test whether optimized versions of these indicators still provide a trading edge in today’s markets.</w:t>
      </w:r>
    </w:p>
    <w:p w14:paraId="00000005"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1" w:name="_mo9e6s5i5d5o" w:colFirst="0" w:colLast="0"/>
      <w:bookmarkEnd w:id="1"/>
      <w:r w:rsidRPr="00AE4EFA">
        <w:rPr>
          <w:rFonts w:ascii="Montserrat" w:eastAsia="Montserrat" w:hAnsi="Montserrat" w:cs="Montserrat"/>
          <w:color w:val="4F81BD"/>
          <w:sz w:val="22"/>
          <w:szCs w:val="22"/>
        </w:rPr>
        <w:t xml:space="preserve">Lo, A. W., </w:t>
      </w:r>
      <w:proofErr w:type="spellStart"/>
      <w:r w:rsidRPr="00AE4EFA">
        <w:rPr>
          <w:rFonts w:ascii="Montserrat" w:eastAsia="Montserrat" w:hAnsi="Montserrat" w:cs="Montserrat"/>
          <w:color w:val="4F81BD"/>
          <w:sz w:val="22"/>
          <w:szCs w:val="22"/>
        </w:rPr>
        <w:t>Mamaysky</w:t>
      </w:r>
      <w:proofErr w:type="spellEnd"/>
      <w:r w:rsidRPr="00AE4EFA">
        <w:rPr>
          <w:rFonts w:ascii="Montserrat" w:eastAsia="Montserrat" w:hAnsi="Montserrat" w:cs="Montserrat"/>
          <w:color w:val="4F81BD"/>
          <w:sz w:val="22"/>
          <w:szCs w:val="22"/>
        </w:rPr>
        <w:t>, H., &amp; Wang, J. (2000). Foundations of Technical Analysis: Computational Algorithms, Statistical Inference, and Empirical Implementation. The Journal of Finance, 55(4), 1705–1765.</w:t>
      </w:r>
    </w:p>
    <w:p w14:paraId="00000006"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This paper introduces statistical inference techniques to validate technical indicators. The authors propose computational models to assess the effectiveness of various patterns.</w:t>
      </w:r>
    </w:p>
    <w:p w14:paraId="00000007"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lastRenderedPageBreak/>
        <w:t>Relevance to START: The study suggests that computational techniques improve the reliability of trading strategies. We will incorporate machine learning and LLMs to enhance pattern detection and signal validation.</w:t>
      </w:r>
    </w:p>
    <w:p w14:paraId="00000008"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2" w:name="_dxk2nh24dsmh" w:colFirst="0" w:colLast="0"/>
      <w:bookmarkEnd w:id="2"/>
      <w:r w:rsidRPr="00AE4EFA">
        <w:rPr>
          <w:rFonts w:ascii="Montserrat" w:eastAsia="Montserrat" w:hAnsi="Montserrat" w:cs="Montserrat"/>
          <w:color w:val="4F81BD"/>
          <w:sz w:val="22"/>
          <w:szCs w:val="22"/>
        </w:rPr>
        <w:t>Park, C.-H., &amp; Irwin, S. H. (2007). What Do We Know About the Profitability of Technical Analysis? Journal of Economic Surveys, 21(4), 786–826.</w:t>
      </w:r>
    </w:p>
    <w:p w14:paraId="00000009"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This survey of 95 studies evaluates the profitability of technical analysis, finding that it performs well in momentum-driven markets but has mixed results in mean-reverting environments.</w:t>
      </w:r>
    </w:p>
    <w:p w14:paraId="0000000A"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This insight suggests that our optimized strategy may be more effective in trending markets. We will test its performance under different market conditions.</w:t>
      </w:r>
    </w:p>
    <w:p w14:paraId="0000000B"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3" w:name="_ah1dilvm4k3o" w:colFirst="0" w:colLast="0"/>
      <w:bookmarkEnd w:id="3"/>
      <w:r w:rsidRPr="00AE4EFA">
        <w:rPr>
          <w:rFonts w:ascii="Montserrat" w:eastAsia="Montserrat" w:hAnsi="Montserrat" w:cs="Montserrat"/>
          <w:color w:val="4F81BD"/>
          <w:sz w:val="22"/>
          <w:szCs w:val="22"/>
        </w:rPr>
        <w:t>Griffioen, G. A. (2003). Technical Trading: Is It Still Beating the Market? Tinbergen Institute Discussion Paper, TI 2003-068/2.</w:t>
      </w:r>
    </w:p>
    <w:p w14:paraId="0000000C"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This study examines out-of-sample forecasting using technical trading rules and finds that transaction costs erode most gains.</w:t>
      </w:r>
    </w:p>
    <w:p w14:paraId="0000000D"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 xml:space="preserve">Relevance to START: Transaction costs are critical in evaluating profitability. Our </w:t>
      </w:r>
      <w:proofErr w:type="spellStart"/>
      <w:r w:rsidRPr="00AE4EFA">
        <w:rPr>
          <w:rFonts w:ascii="Montserrat" w:eastAsia="Montserrat" w:hAnsi="Montserrat" w:cs="Montserrat"/>
        </w:rPr>
        <w:t>backtesting</w:t>
      </w:r>
      <w:proofErr w:type="spellEnd"/>
      <w:r w:rsidRPr="00AE4EFA">
        <w:rPr>
          <w:rFonts w:ascii="Montserrat" w:eastAsia="Montserrat" w:hAnsi="Montserrat" w:cs="Montserrat"/>
        </w:rPr>
        <w:t xml:space="preserve"> will incorporate realistic cost structures to ensure our strategy remains viable.</w:t>
      </w:r>
    </w:p>
    <w:p w14:paraId="0000000E"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4" w:name="_34360jqmv296" w:colFirst="0" w:colLast="0"/>
      <w:bookmarkEnd w:id="4"/>
      <w:r w:rsidRPr="00AE4EFA">
        <w:rPr>
          <w:rFonts w:ascii="Montserrat" w:eastAsia="Montserrat" w:hAnsi="Montserrat" w:cs="Montserrat"/>
          <w:color w:val="4F81BD"/>
          <w:sz w:val="22"/>
          <w:szCs w:val="22"/>
        </w:rPr>
        <w:t>Coles, A., &amp; Hawkins, D. (2011). MIDAS Technical Analysis: A VWAP Approach to Trading and Investing in Today's Markets. Wiley Trading Series.</w:t>
      </w:r>
    </w:p>
    <w:p w14:paraId="0000000F"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lastRenderedPageBreak/>
        <w:t>Summary: This book introduces the Market Interpretation/Data Analysis System (MIDAS) approach, which leverages VWAP for support and resistance levels.</w:t>
      </w:r>
    </w:p>
    <w:p w14:paraId="00000010"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MIDAS provides an alternative method for detecting trading opportunities. We will compare its effectiveness with MACD and RSI in filtering false signals.</w:t>
      </w:r>
    </w:p>
    <w:p w14:paraId="00000011"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5" w:name="_xf2d3oqv8h66" w:colFirst="0" w:colLast="0"/>
      <w:bookmarkEnd w:id="5"/>
      <w:r w:rsidRPr="00AE4EFA">
        <w:rPr>
          <w:rFonts w:ascii="Montserrat" w:eastAsia="Montserrat" w:hAnsi="Montserrat" w:cs="Montserrat"/>
          <w:color w:val="4F81BD"/>
          <w:sz w:val="22"/>
          <w:szCs w:val="22"/>
        </w:rPr>
        <w:t>Drummond, C. (1978). How to Make Money in the Futures Market…and lots of it! Hearne Associates/Drummond Publications.</w:t>
      </w:r>
    </w:p>
    <w:p w14:paraId="00000012"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The book presents Drummond Geometry, a multi-timeframe technical analysis method for support and resistance.</w:t>
      </w:r>
    </w:p>
    <w:p w14:paraId="00000013"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We will test whether multi-timeframe analysis improves the precision of entry and exit signals.</w:t>
      </w:r>
    </w:p>
    <w:p w14:paraId="00000014"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6" w:name="_6nmg7n4y3yk0" w:colFirst="0" w:colLast="0"/>
      <w:bookmarkEnd w:id="6"/>
      <w:r w:rsidRPr="00AE4EFA">
        <w:rPr>
          <w:rFonts w:ascii="Montserrat" w:eastAsia="Montserrat" w:hAnsi="Montserrat" w:cs="Montserrat"/>
          <w:color w:val="4F81BD"/>
          <w:sz w:val="22"/>
          <w:szCs w:val="22"/>
        </w:rPr>
        <w:t>Keller, D. (Ed.). (2007). Breakthroughs in Technical Analysis: New Thinking from the World's Top Minds. Bloomberg Press.</w:t>
      </w:r>
    </w:p>
    <w:p w14:paraId="00000015"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This compilation features insights from leading technical analysts, including advancements in sentiment analysis and hybrid approaches.</w:t>
      </w:r>
    </w:p>
    <w:p w14:paraId="00000016"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We will integrate sentiment analysis with technical indicators to improve signal accuracy.</w:t>
      </w:r>
    </w:p>
    <w:p w14:paraId="00000017"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7" w:name="_eofejnsmv53a" w:colFirst="0" w:colLast="0"/>
      <w:bookmarkEnd w:id="7"/>
      <w:r w:rsidRPr="00AE4EFA">
        <w:rPr>
          <w:rFonts w:ascii="Montserrat" w:eastAsia="Montserrat" w:hAnsi="Montserrat" w:cs="Montserrat"/>
          <w:color w:val="4F81BD"/>
          <w:sz w:val="22"/>
          <w:szCs w:val="22"/>
        </w:rPr>
        <w:t>Balsara, N. J., Chen, G., &amp; Zheng, L. (2007). The Chinese Stock Market: An Examination of the Random Walk Model and Technical Trading Rules. The Quarterly Journal of Business and Economics, 46(1), 69–89.</w:t>
      </w:r>
    </w:p>
    <w:p w14:paraId="00000018"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lastRenderedPageBreak/>
        <w:t>Summary: This study finds that contrarian technical strategies, such as Bollinger Bands and breakout rules, yield positive returns in specific markets.</w:t>
      </w:r>
    </w:p>
    <w:p w14:paraId="00000019"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We will incorporate volatility-based indicators to assess their impact on risk-reward ratios.</w:t>
      </w:r>
    </w:p>
    <w:p w14:paraId="0000001A"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8" w:name="_ujoxdiv3ju6p" w:colFirst="0" w:colLast="0"/>
      <w:bookmarkEnd w:id="8"/>
      <w:r w:rsidRPr="00AE4EFA">
        <w:rPr>
          <w:rFonts w:ascii="Montserrat" w:eastAsia="Montserrat" w:hAnsi="Montserrat" w:cs="Montserrat"/>
          <w:color w:val="4F81BD"/>
          <w:sz w:val="22"/>
          <w:szCs w:val="22"/>
        </w:rPr>
        <w:t xml:space="preserve">Chan, L. K. C., Jegadeesh, N., &amp; </w:t>
      </w:r>
      <w:proofErr w:type="spellStart"/>
      <w:r w:rsidRPr="00AE4EFA">
        <w:rPr>
          <w:rFonts w:ascii="Montserrat" w:eastAsia="Montserrat" w:hAnsi="Montserrat" w:cs="Montserrat"/>
          <w:color w:val="4F81BD"/>
          <w:sz w:val="22"/>
          <w:szCs w:val="22"/>
        </w:rPr>
        <w:t>Lakonishok</w:t>
      </w:r>
      <w:proofErr w:type="spellEnd"/>
      <w:r w:rsidRPr="00AE4EFA">
        <w:rPr>
          <w:rFonts w:ascii="Montserrat" w:eastAsia="Montserrat" w:hAnsi="Montserrat" w:cs="Montserrat"/>
          <w:color w:val="4F81BD"/>
          <w:sz w:val="22"/>
          <w:szCs w:val="22"/>
        </w:rPr>
        <w:t>, J. (1996). Momentum Strategies. The Journal of Finance, 51(5), 1681–1713.</w:t>
      </w:r>
    </w:p>
    <w:p w14:paraId="0000001B"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Summary: The authors analyze momentum strategies and conclude that buying past winners and selling losers leads to positive returns over intermediate timeframes.</w:t>
      </w:r>
    </w:p>
    <w:p w14:paraId="0000001C"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Relevance to START: Integrating volume analysis with MACD and RSI could enhance profitability if momentum persists in intraday markets.</w:t>
      </w:r>
    </w:p>
    <w:p w14:paraId="0000001D" w14:textId="77777777" w:rsidR="00194BE9" w:rsidRPr="00AE4EFA" w:rsidRDefault="00000000" w:rsidP="00AE4EFA">
      <w:pPr>
        <w:pStyle w:val="Heading2"/>
        <w:keepNext w:val="0"/>
        <w:keepLines w:val="0"/>
        <w:spacing w:before="200" w:after="200" w:line="480" w:lineRule="auto"/>
        <w:jc w:val="both"/>
        <w:rPr>
          <w:rFonts w:ascii="Montserrat" w:eastAsia="Montserrat" w:hAnsi="Montserrat" w:cs="Montserrat"/>
          <w:color w:val="4F81BD"/>
          <w:sz w:val="22"/>
          <w:szCs w:val="22"/>
        </w:rPr>
      </w:pPr>
      <w:bookmarkStart w:id="9" w:name="_l33k129cb3o6" w:colFirst="0" w:colLast="0"/>
      <w:bookmarkEnd w:id="9"/>
      <w:r w:rsidRPr="00AE4EFA">
        <w:rPr>
          <w:rFonts w:ascii="Montserrat" w:eastAsia="Montserrat" w:hAnsi="Montserrat" w:cs="Montserrat"/>
          <w:color w:val="4F81BD"/>
          <w:sz w:val="22"/>
          <w:szCs w:val="22"/>
        </w:rPr>
        <w:t>Conclusion</w:t>
      </w:r>
    </w:p>
    <w:p w14:paraId="0000001E" w14:textId="77777777" w:rsidR="00194BE9" w:rsidRPr="00AE4EFA" w:rsidRDefault="00000000" w:rsidP="00AE4EFA">
      <w:pPr>
        <w:spacing w:before="200" w:after="200" w:line="480" w:lineRule="auto"/>
        <w:jc w:val="both"/>
        <w:rPr>
          <w:rFonts w:ascii="Montserrat" w:eastAsia="Montserrat" w:hAnsi="Montserrat" w:cs="Montserrat"/>
        </w:rPr>
      </w:pPr>
      <w:r w:rsidRPr="00AE4EFA">
        <w:rPr>
          <w:rFonts w:ascii="Montserrat" w:eastAsia="Montserrat" w:hAnsi="Montserrat" w:cs="Montserrat"/>
        </w:rPr>
        <w:t>The sources reviewed provide strong empirical and theoretical support for our research. Several studies suggest technical indicators can be profitable when optimized and used in momentum-driven markets. However, transaction costs, market conditions, and the role of external factors such as news sentiment must be considered. The insights gained from these sources will shape the methodology and testing framework for the START project, ensuring a data-driven approach to intraday trading optimization.</w:t>
      </w:r>
    </w:p>
    <w:p w14:paraId="0000001F" w14:textId="77777777" w:rsidR="00194BE9" w:rsidRPr="00AE4EFA" w:rsidRDefault="00194BE9" w:rsidP="00AE4EFA">
      <w:pPr>
        <w:spacing w:before="200" w:after="200" w:line="480" w:lineRule="auto"/>
        <w:jc w:val="both"/>
        <w:rPr>
          <w:rFonts w:ascii="Montserrat" w:eastAsia="Montserrat" w:hAnsi="Montserrat" w:cs="Montserrat"/>
        </w:rPr>
      </w:pPr>
    </w:p>
    <w:sectPr w:rsidR="00194BE9" w:rsidRPr="00AE4EFA">
      <w:headerReference w:type="default" r:id="rId6"/>
      <w:foot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2E47" w14:textId="77777777" w:rsidR="0087128F" w:rsidRDefault="0087128F">
      <w:pPr>
        <w:spacing w:line="240" w:lineRule="auto"/>
      </w:pPr>
      <w:r>
        <w:separator/>
      </w:r>
    </w:p>
  </w:endnote>
  <w:endnote w:type="continuationSeparator" w:id="0">
    <w:p w14:paraId="4993AD29" w14:textId="77777777" w:rsidR="0087128F" w:rsidRDefault="008712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529803C-41EE-4D4D-95EF-8D2DB0DD42FB}"/>
    <w:embedBold r:id="rId2" w:fontKey="{FD4B9DA8-B2DD-CD42-9611-1A11528D2039}"/>
    <w:embedItalic r:id="rId3" w:fontKey="{8B3EBD0B-356F-4243-8700-654CC113619C}"/>
  </w:font>
  <w:font w:name="Times New Roman">
    <w:panose1 w:val="02020603050405020304"/>
    <w:charset w:val="00"/>
    <w:family w:val="roman"/>
    <w:pitch w:val="variable"/>
    <w:sig w:usb0="E0002EFF" w:usb1="C000785B" w:usb2="00000009" w:usb3="00000000" w:csb0="000001FF" w:csb1="00000000"/>
    <w:embedRegular r:id="rId4" w:fontKey="{99E86BF7-D164-B748-8360-F96BCCD70B2C}"/>
  </w:font>
  <w:font w:name="Montserrat">
    <w:panose1 w:val="00000500000000000000"/>
    <w:charset w:val="4D"/>
    <w:family w:val="auto"/>
    <w:pitch w:val="variable"/>
    <w:sig w:usb0="2000020F" w:usb1="00000003" w:usb2="00000000" w:usb3="00000000" w:csb0="00000197" w:csb1="00000000"/>
    <w:embedRegular r:id="rId5" w:fontKey="{CDE1E769-84B7-1D40-A485-BF7871DC6E83}"/>
  </w:font>
  <w:font w:name="Calibri">
    <w:panose1 w:val="020F0502020204030204"/>
    <w:charset w:val="00"/>
    <w:family w:val="swiss"/>
    <w:pitch w:val="variable"/>
    <w:sig w:usb0="E0002AFF" w:usb1="C000247B" w:usb2="00000009" w:usb3="00000000" w:csb0="000001FF" w:csb1="00000000"/>
    <w:embedRegular r:id="rId6" w:fontKey="{8D7BBA0B-4A78-B745-B52E-223930014B21}"/>
  </w:font>
  <w:font w:name="Cambria">
    <w:panose1 w:val="02040503050406030204"/>
    <w:charset w:val="00"/>
    <w:family w:val="roman"/>
    <w:pitch w:val="variable"/>
    <w:sig w:usb0="E00002FF" w:usb1="400004FF" w:usb2="00000000" w:usb3="00000000" w:csb0="0000019F" w:csb1="00000000"/>
    <w:embedRegular r:id="rId7" w:fontKey="{5923DEDC-50AA-B146-911D-C7B38EC2B6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840"/>
      <w:gridCol w:w="2520"/>
    </w:tblGrid>
    <w:tr w:rsidR="00AE4EFA" w14:paraId="4D1BA998" w14:textId="77777777" w:rsidTr="00AE4EFA">
      <w:trPr>
        <w:trHeight w:hRule="exact" w:val="115"/>
        <w:jc w:val="center"/>
      </w:trPr>
      <w:tc>
        <w:tcPr>
          <w:tcW w:w="6840" w:type="dxa"/>
          <w:shd w:val="clear" w:color="auto" w:fill="4F81BD" w:themeFill="accent1"/>
          <w:tcMar>
            <w:top w:w="0" w:type="dxa"/>
            <w:bottom w:w="0" w:type="dxa"/>
          </w:tcMar>
        </w:tcPr>
        <w:p w14:paraId="4F70E232" w14:textId="77777777" w:rsidR="00AE4EFA" w:rsidRDefault="00AE4EFA">
          <w:pPr>
            <w:pStyle w:val="Header"/>
            <w:tabs>
              <w:tab w:val="clear" w:pos="4680"/>
              <w:tab w:val="clear" w:pos="9360"/>
            </w:tabs>
            <w:rPr>
              <w:caps/>
              <w:sz w:val="18"/>
            </w:rPr>
          </w:pPr>
        </w:p>
      </w:tc>
      <w:tc>
        <w:tcPr>
          <w:tcW w:w="2520" w:type="dxa"/>
          <w:shd w:val="clear" w:color="auto" w:fill="4F81BD" w:themeFill="accent1"/>
          <w:tcMar>
            <w:top w:w="0" w:type="dxa"/>
            <w:bottom w:w="0" w:type="dxa"/>
          </w:tcMar>
        </w:tcPr>
        <w:p w14:paraId="38A2802A" w14:textId="77777777" w:rsidR="00AE4EFA" w:rsidRDefault="00AE4EFA">
          <w:pPr>
            <w:pStyle w:val="Header"/>
            <w:tabs>
              <w:tab w:val="clear" w:pos="4680"/>
              <w:tab w:val="clear" w:pos="9360"/>
            </w:tabs>
            <w:jc w:val="right"/>
            <w:rPr>
              <w:caps/>
              <w:sz w:val="18"/>
            </w:rPr>
          </w:pPr>
        </w:p>
      </w:tc>
    </w:tr>
    <w:tr w:rsidR="00AE4EFA" w14:paraId="7630C940" w14:textId="77777777" w:rsidTr="00AE4EFA">
      <w:trPr>
        <w:jc w:val="center"/>
      </w:trPr>
      <w:sdt>
        <w:sdtPr>
          <w:rPr>
            <w:b/>
            <w:bCs/>
            <w:caps/>
            <w:color w:val="808080" w:themeColor="background1" w:themeShade="80"/>
            <w:sz w:val="18"/>
            <w:szCs w:val="18"/>
          </w:rPr>
          <w:alias w:val="Author"/>
          <w:tag w:val=""/>
          <w:id w:val="1534151868"/>
          <w:placeholder>
            <w:docPart w:val="EF8FA32157A80844AF6911B87D7C5DA9"/>
          </w:placeholder>
          <w:dataBinding w:prefixMappings="xmlns:ns0='http://purl.org/dc/elements/1.1/' xmlns:ns1='http://schemas.openxmlformats.org/package/2006/metadata/core-properties' " w:xpath="/ns1:coreProperties[1]/ns0:creator[1]" w:storeItemID="{6C3C8BC8-F283-45AE-878A-BAB7291924A1}"/>
          <w:text/>
        </w:sdtPr>
        <w:sdtContent>
          <w:tc>
            <w:tcPr>
              <w:tcW w:w="6840" w:type="dxa"/>
              <w:shd w:val="clear" w:color="auto" w:fill="auto"/>
              <w:vAlign w:val="center"/>
            </w:tcPr>
            <w:p w14:paraId="3945F9FF" w14:textId="43EB1EB1" w:rsidR="00AE4EFA" w:rsidRPr="00AE4EFA" w:rsidRDefault="00AE4EFA">
              <w:pPr>
                <w:pStyle w:val="Footer"/>
                <w:tabs>
                  <w:tab w:val="clear" w:pos="4680"/>
                  <w:tab w:val="clear" w:pos="9360"/>
                </w:tabs>
                <w:rPr>
                  <w:b/>
                  <w:bCs/>
                  <w:caps/>
                  <w:color w:val="808080" w:themeColor="background1" w:themeShade="80"/>
                  <w:sz w:val="18"/>
                  <w:szCs w:val="18"/>
                </w:rPr>
              </w:pPr>
              <w:r w:rsidRPr="00AE4EFA">
                <w:rPr>
                  <w:b/>
                  <w:bCs/>
                  <w:caps/>
                  <w:color w:val="808080" w:themeColor="background1" w:themeShade="80"/>
                  <w:sz w:val="18"/>
                  <w:szCs w:val="18"/>
                </w:rPr>
                <w:t>shanmugapriya mohankumar | Naresh anbazhagan</w:t>
              </w:r>
            </w:p>
          </w:tc>
        </w:sdtContent>
      </w:sdt>
      <w:tc>
        <w:tcPr>
          <w:tcW w:w="2520" w:type="dxa"/>
          <w:shd w:val="clear" w:color="auto" w:fill="auto"/>
          <w:vAlign w:val="center"/>
        </w:tcPr>
        <w:p w14:paraId="4C9473F1" w14:textId="77777777" w:rsidR="00AE4EFA" w:rsidRDefault="00AE4EFA">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DF74438" w14:textId="77777777" w:rsidR="00AE4EFA" w:rsidRDefault="00AE4E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760"/>
      <w:gridCol w:w="3600"/>
    </w:tblGrid>
    <w:tr w:rsidR="00AE4EFA" w14:paraId="11EBE401" w14:textId="77777777" w:rsidTr="00AE4EFA">
      <w:trPr>
        <w:trHeight w:hRule="exact" w:val="115"/>
        <w:jc w:val="center"/>
      </w:trPr>
      <w:tc>
        <w:tcPr>
          <w:tcW w:w="5760" w:type="dxa"/>
          <w:shd w:val="clear" w:color="auto" w:fill="4F81BD" w:themeFill="accent1"/>
          <w:tcMar>
            <w:top w:w="0" w:type="dxa"/>
            <w:bottom w:w="0" w:type="dxa"/>
          </w:tcMar>
        </w:tcPr>
        <w:p w14:paraId="0FB4D159" w14:textId="77777777" w:rsidR="00AE4EFA" w:rsidRDefault="00AE4EFA" w:rsidP="00AE4EFA">
          <w:pPr>
            <w:pStyle w:val="Header"/>
            <w:tabs>
              <w:tab w:val="clear" w:pos="4680"/>
              <w:tab w:val="clear" w:pos="9360"/>
            </w:tabs>
            <w:rPr>
              <w:caps/>
              <w:sz w:val="18"/>
            </w:rPr>
          </w:pPr>
        </w:p>
      </w:tc>
      <w:tc>
        <w:tcPr>
          <w:tcW w:w="3600" w:type="dxa"/>
          <w:shd w:val="clear" w:color="auto" w:fill="4F81BD" w:themeFill="accent1"/>
          <w:tcMar>
            <w:top w:w="0" w:type="dxa"/>
            <w:bottom w:w="0" w:type="dxa"/>
          </w:tcMar>
        </w:tcPr>
        <w:p w14:paraId="26CFEE0B" w14:textId="77777777" w:rsidR="00AE4EFA" w:rsidRDefault="00AE4EFA" w:rsidP="00AE4EFA">
          <w:pPr>
            <w:pStyle w:val="Header"/>
            <w:tabs>
              <w:tab w:val="clear" w:pos="4680"/>
              <w:tab w:val="clear" w:pos="9360"/>
            </w:tabs>
            <w:jc w:val="right"/>
            <w:rPr>
              <w:caps/>
              <w:sz w:val="18"/>
            </w:rPr>
          </w:pPr>
        </w:p>
      </w:tc>
    </w:tr>
    <w:tr w:rsidR="00AE4EFA" w14:paraId="1E47A886" w14:textId="77777777" w:rsidTr="00AE4EFA">
      <w:trPr>
        <w:jc w:val="center"/>
      </w:trPr>
      <w:sdt>
        <w:sdtPr>
          <w:rPr>
            <w:b/>
            <w:bCs/>
            <w:caps/>
            <w:color w:val="808080" w:themeColor="background1" w:themeShade="80"/>
            <w:sz w:val="18"/>
            <w:szCs w:val="18"/>
          </w:rPr>
          <w:alias w:val="Author"/>
          <w:tag w:val=""/>
          <w:id w:val="-366227722"/>
          <w:placeholder>
            <w:docPart w:val="36EC801315DF634E9EEA805C2E90B265"/>
          </w:placeholder>
          <w:dataBinding w:prefixMappings="xmlns:ns0='http://purl.org/dc/elements/1.1/' xmlns:ns1='http://schemas.openxmlformats.org/package/2006/metadata/core-properties' " w:xpath="/ns1:coreProperties[1]/ns0:creator[1]" w:storeItemID="{6C3C8BC8-F283-45AE-878A-BAB7291924A1}"/>
          <w:text/>
        </w:sdtPr>
        <w:sdtContent>
          <w:tc>
            <w:tcPr>
              <w:tcW w:w="5760" w:type="dxa"/>
              <w:shd w:val="clear" w:color="auto" w:fill="auto"/>
              <w:vAlign w:val="center"/>
            </w:tcPr>
            <w:p w14:paraId="2196C332" w14:textId="14E441E4" w:rsidR="00AE4EFA" w:rsidRPr="00AE4EFA" w:rsidRDefault="00AE4EFA" w:rsidP="00AE4EFA">
              <w:pPr>
                <w:pStyle w:val="Footer"/>
                <w:tabs>
                  <w:tab w:val="clear" w:pos="4680"/>
                  <w:tab w:val="clear" w:pos="9360"/>
                </w:tabs>
                <w:rPr>
                  <w:b/>
                  <w:bCs/>
                  <w:caps/>
                  <w:color w:val="808080" w:themeColor="background1" w:themeShade="80"/>
                  <w:sz w:val="18"/>
                  <w:szCs w:val="18"/>
                </w:rPr>
              </w:pPr>
              <w:r w:rsidRPr="00AE4EFA">
                <w:rPr>
                  <w:b/>
                  <w:bCs/>
                  <w:caps/>
                  <w:color w:val="808080" w:themeColor="background1" w:themeShade="80"/>
                  <w:sz w:val="18"/>
                  <w:szCs w:val="18"/>
                </w:rPr>
                <w:t>shanmugapriya mohankumar | Naresh anbazhagan</w:t>
              </w:r>
            </w:p>
          </w:tc>
        </w:sdtContent>
      </w:sdt>
      <w:tc>
        <w:tcPr>
          <w:tcW w:w="3600" w:type="dxa"/>
          <w:shd w:val="clear" w:color="auto" w:fill="auto"/>
          <w:vAlign w:val="center"/>
        </w:tcPr>
        <w:p w14:paraId="2FCB1DEC" w14:textId="77777777" w:rsidR="00AE4EFA" w:rsidRDefault="00AE4EFA" w:rsidP="00AE4EFA">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noProof/>
              <w:color w:val="808080" w:themeColor="background1" w:themeShade="80"/>
              <w:sz w:val="18"/>
              <w:szCs w:val="18"/>
            </w:rPr>
            <w:fldChar w:fldCharType="end"/>
          </w:r>
        </w:p>
      </w:tc>
    </w:tr>
  </w:tbl>
  <w:p w14:paraId="00000023" w14:textId="77777777" w:rsidR="00194BE9" w:rsidRDefault="00194B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D903" w14:textId="77777777" w:rsidR="0087128F" w:rsidRDefault="0087128F">
      <w:pPr>
        <w:spacing w:line="240" w:lineRule="auto"/>
      </w:pPr>
      <w:r>
        <w:separator/>
      </w:r>
    </w:p>
  </w:footnote>
  <w:footnote w:type="continuationSeparator" w:id="0">
    <w:p w14:paraId="311D6666" w14:textId="77777777" w:rsidR="0087128F" w:rsidRDefault="008712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194BE9" w:rsidRDefault="00194BE9">
    <w:pPr>
      <w:pStyle w:val="Heading1"/>
      <w:keepNext w:val="0"/>
      <w:keepLines w:val="0"/>
      <w:spacing w:before="200" w:after="200" w:line="360" w:lineRule="auto"/>
    </w:pPr>
    <w:bookmarkStart w:id="10" w:name="_4g92fwa5vfv4" w:colFirst="0" w:colLast="0"/>
    <w:bookmarkEnd w:id="1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194BE9" w:rsidRDefault="00000000">
    <w:pPr>
      <w:pStyle w:val="Heading1"/>
      <w:keepNext w:val="0"/>
      <w:keepLines w:val="0"/>
      <w:spacing w:before="200" w:after="200" w:line="360" w:lineRule="auto"/>
      <w:jc w:val="center"/>
      <w:rPr>
        <w:rFonts w:ascii="Montserrat" w:eastAsia="Montserrat" w:hAnsi="Montserrat" w:cs="Montserrat"/>
        <w:color w:val="365F91"/>
        <w:sz w:val="28"/>
        <w:szCs w:val="28"/>
      </w:rPr>
    </w:pPr>
    <w:bookmarkStart w:id="11" w:name="_ea5lsbu25si" w:colFirst="0" w:colLast="0"/>
    <w:bookmarkEnd w:id="11"/>
    <w:r>
      <w:rPr>
        <w:rFonts w:ascii="Montserrat" w:eastAsia="Montserrat" w:hAnsi="Montserrat" w:cs="Montserrat"/>
        <w:color w:val="365F91"/>
        <w:sz w:val="28"/>
        <w:szCs w:val="28"/>
      </w:rPr>
      <w:t>Annotated Bibliography</w:t>
    </w:r>
  </w:p>
  <w:p w14:paraId="00000022" w14:textId="77777777" w:rsidR="00194BE9" w:rsidRDefault="00000000">
    <w:pPr>
      <w:pStyle w:val="Heading1"/>
      <w:keepNext w:val="0"/>
      <w:keepLines w:val="0"/>
      <w:spacing w:before="200" w:after="200" w:line="360" w:lineRule="auto"/>
      <w:jc w:val="center"/>
    </w:pPr>
    <w:bookmarkStart w:id="12" w:name="_xna2wf1q1yjr" w:colFirst="0" w:colLast="0"/>
    <w:bookmarkEnd w:id="12"/>
    <w:r>
      <w:rPr>
        <w:rFonts w:ascii="Montserrat" w:eastAsia="Montserrat" w:hAnsi="Montserrat" w:cs="Montserrat"/>
        <w:color w:val="365F91"/>
        <w:sz w:val="28"/>
        <w:szCs w:val="28"/>
      </w:rPr>
      <w:t>Strategic Technical Analysis for Reliable Trading (START)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E9"/>
    <w:rsid w:val="00194BE9"/>
    <w:rsid w:val="006F6069"/>
    <w:rsid w:val="0087128F"/>
    <w:rsid w:val="00AE4EFA"/>
    <w:rsid w:val="00C2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1295D"/>
  <w15:docId w15:val="{8FD940E1-DBCA-8248-8757-BD331575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E4EFA"/>
    <w:pPr>
      <w:tabs>
        <w:tab w:val="center" w:pos="4680"/>
        <w:tab w:val="right" w:pos="9360"/>
      </w:tabs>
      <w:spacing w:line="240" w:lineRule="auto"/>
    </w:pPr>
  </w:style>
  <w:style w:type="character" w:customStyle="1" w:styleId="HeaderChar">
    <w:name w:val="Header Char"/>
    <w:basedOn w:val="DefaultParagraphFont"/>
    <w:link w:val="Header"/>
    <w:uiPriority w:val="99"/>
    <w:rsid w:val="00AE4EFA"/>
  </w:style>
  <w:style w:type="paragraph" w:styleId="Footer">
    <w:name w:val="footer"/>
    <w:basedOn w:val="Normal"/>
    <w:link w:val="FooterChar"/>
    <w:uiPriority w:val="99"/>
    <w:unhideWhenUsed/>
    <w:rsid w:val="00AE4EFA"/>
    <w:pPr>
      <w:tabs>
        <w:tab w:val="center" w:pos="4680"/>
        <w:tab w:val="right" w:pos="9360"/>
      </w:tabs>
      <w:spacing w:line="240" w:lineRule="auto"/>
    </w:pPr>
  </w:style>
  <w:style w:type="character" w:customStyle="1" w:styleId="FooterChar">
    <w:name w:val="Footer Char"/>
    <w:basedOn w:val="DefaultParagraphFont"/>
    <w:link w:val="Footer"/>
    <w:uiPriority w:val="99"/>
    <w:rsid w:val="00AE4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8FA32157A80844AF6911B87D7C5DA9"/>
        <w:category>
          <w:name w:val="General"/>
          <w:gallery w:val="placeholder"/>
        </w:category>
        <w:types>
          <w:type w:val="bbPlcHdr"/>
        </w:types>
        <w:behaviors>
          <w:behavior w:val="content"/>
        </w:behaviors>
        <w:guid w:val="{184EB8F1-F7AB-8444-A2EF-17F965728F14}"/>
      </w:docPartPr>
      <w:docPartBody>
        <w:p w:rsidR="00000000" w:rsidRDefault="00F777CC" w:rsidP="00F777CC">
          <w:pPr>
            <w:pStyle w:val="EF8FA32157A80844AF6911B87D7C5DA9"/>
          </w:pPr>
          <w:r>
            <w:rPr>
              <w:rStyle w:val="PlaceholderText"/>
            </w:rPr>
            <w:t>[Author]</w:t>
          </w:r>
        </w:p>
      </w:docPartBody>
    </w:docPart>
    <w:docPart>
      <w:docPartPr>
        <w:name w:val="36EC801315DF634E9EEA805C2E90B265"/>
        <w:category>
          <w:name w:val="General"/>
          <w:gallery w:val="placeholder"/>
        </w:category>
        <w:types>
          <w:type w:val="bbPlcHdr"/>
        </w:types>
        <w:behaviors>
          <w:behavior w:val="content"/>
        </w:behaviors>
        <w:guid w:val="{F3B9FFEE-5098-E542-B482-E115467FB396}"/>
      </w:docPartPr>
      <w:docPartBody>
        <w:p w:rsidR="00000000" w:rsidRDefault="00F777CC" w:rsidP="00F777CC">
          <w:pPr>
            <w:pStyle w:val="36EC801315DF634E9EEA805C2E90B265"/>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CC"/>
    <w:rsid w:val="00047AE5"/>
    <w:rsid w:val="006F6069"/>
    <w:rsid w:val="00F7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77CC"/>
    <w:rPr>
      <w:color w:val="808080"/>
    </w:rPr>
  </w:style>
  <w:style w:type="paragraph" w:customStyle="1" w:styleId="EF8FA32157A80844AF6911B87D7C5DA9">
    <w:name w:val="EF8FA32157A80844AF6911B87D7C5DA9"/>
    <w:rsid w:val="00F777CC"/>
  </w:style>
  <w:style w:type="paragraph" w:customStyle="1" w:styleId="36EC801315DF634E9EEA805C2E90B265">
    <w:name w:val="36EC801315DF634E9EEA805C2E90B265"/>
    <w:rsid w:val="00F777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782</Words>
  <Characters>4462</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shanmugapriya mohankumar | Naresh anbazhagan</dc:creator>
  <cp:lastModifiedBy>Naresh Anbazhagan</cp:lastModifiedBy>
  <cp:revision>2</cp:revision>
  <dcterms:created xsi:type="dcterms:W3CDTF">2025-03-21T21:47:00Z</dcterms:created>
  <dcterms:modified xsi:type="dcterms:W3CDTF">2025-03-21T21:47:00Z</dcterms:modified>
</cp:coreProperties>
</file>