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D1377" w14:textId="0FD69330" w:rsidR="00EF5465" w:rsidRPr="00EF5465" w:rsidRDefault="00EF5465" w:rsidP="00EF5465">
      <w:pPr>
        <w:spacing w:before="4680" w:after="120" w:line="480" w:lineRule="auto"/>
        <w:jc w:val="center"/>
        <w:rPr>
          <w:rFonts w:ascii="Aptos Mono" w:hAnsi="Aptos Mono"/>
          <w:b/>
          <w:bCs/>
          <w:color w:val="153D63" w:themeColor="text2" w:themeTint="E6"/>
        </w:rPr>
      </w:pPr>
      <w:r w:rsidRPr="00EF5465">
        <w:rPr>
          <w:rFonts w:ascii="Aptos Mono" w:hAnsi="Aptos Mono"/>
          <w:b/>
          <w:bCs/>
          <w:color w:val="153D63" w:themeColor="text2" w:themeTint="E6"/>
        </w:rPr>
        <w:t>Strategic Technical Analysis for Reliable Trading (START)</w:t>
      </w:r>
    </w:p>
    <w:p w14:paraId="3B4C9DCF" w14:textId="3EED0205" w:rsidR="00EF5465" w:rsidRPr="00EF5465" w:rsidRDefault="00EF5465" w:rsidP="00EF5465">
      <w:pPr>
        <w:spacing w:line="480" w:lineRule="auto"/>
        <w:jc w:val="center"/>
        <w:rPr>
          <w:rFonts w:ascii="Aptos Mono" w:hAnsi="Aptos Mono"/>
          <w:color w:val="215E99" w:themeColor="text2" w:themeTint="BF"/>
        </w:rPr>
      </w:pPr>
      <w:r w:rsidRPr="00EF5465">
        <w:rPr>
          <w:rFonts w:ascii="Aptos Mono" w:hAnsi="Aptos Mono"/>
          <w:color w:val="215E99" w:themeColor="text2" w:themeTint="BF"/>
        </w:rPr>
        <w:t>PROJECT PROPOSAL</w:t>
      </w:r>
    </w:p>
    <w:p w14:paraId="6D880621" w14:textId="165FFEC7" w:rsidR="00EF5465" w:rsidRPr="00EF5465" w:rsidRDefault="00EF5465" w:rsidP="00EF5465">
      <w:pPr>
        <w:spacing w:before="4440" w:after="0" w:line="360" w:lineRule="auto"/>
        <w:jc w:val="both"/>
        <w:rPr>
          <w:rFonts w:ascii="Aptos Mono" w:hAnsi="Aptos Mono"/>
          <w:color w:val="404040" w:themeColor="text1" w:themeTint="BF"/>
        </w:rPr>
      </w:pPr>
      <w:r w:rsidRPr="00EF5465">
        <w:rPr>
          <w:rFonts w:ascii="Aptos Mono" w:hAnsi="Aptos Mono"/>
          <w:color w:val="404040" w:themeColor="text1" w:themeTint="BF"/>
        </w:rPr>
        <w:t>Submitted By: Naresh Anbazhagan &amp; Shanmugapriya Mohankumar</w:t>
      </w:r>
    </w:p>
    <w:p w14:paraId="55D006AD" w14:textId="7B001ED7" w:rsidR="00EF5465" w:rsidRPr="00EF5465" w:rsidRDefault="00EF5465" w:rsidP="00EF5465">
      <w:pPr>
        <w:spacing w:line="360" w:lineRule="auto"/>
        <w:rPr>
          <w:rFonts w:ascii="Aptos Mono" w:hAnsi="Aptos Mono"/>
          <w:color w:val="404040" w:themeColor="text1" w:themeTint="BF"/>
        </w:rPr>
      </w:pPr>
      <w:r w:rsidRPr="00EF5465">
        <w:rPr>
          <w:rFonts w:ascii="Aptos Mono" w:hAnsi="Aptos Mono"/>
          <w:color w:val="404040" w:themeColor="text1" w:themeTint="BF"/>
        </w:rPr>
        <w:t xml:space="preserve">Instructor: Dr. </w:t>
      </w:r>
      <w:proofErr w:type="spellStart"/>
      <w:r w:rsidRPr="00EF5465">
        <w:rPr>
          <w:rFonts w:ascii="Aptos Mono" w:hAnsi="Aptos Mono"/>
          <w:color w:val="404040" w:themeColor="text1" w:themeTint="BF"/>
        </w:rPr>
        <w:t>Xuejing</w:t>
      </w:r>
      <w:proofErr w:type="spellEnd"/>
      <w:r w:rsidRPr="00EF5465">
        <w:rPr>
          <w:rFonts w:ascii="Aptos Mono" w:hAnsi="Aptos Mono"/>
          <w:color w:val="404040" w:themeColor="text1" w:themeTint="BF"/>
        </w:rPr>
        <w:t xml:space="preserve"> Duan</w:t>
      </w:r>
      <w:r w:rsidRPr="00EF5465">
        <w:rPr>
          <w:rFonts w:ascii="Aptos Mono" w:hAnsi="Aptos Mono"/>
          <w:color w:val="404040" w:themeColor="text1" w:themeTint="BF"/>
        </w:rPr>
        <w:br/>
        <w:t>Institution: McDaniel College – M.S. in Data Analytics</w:t>
      </w:r>
      <w:r w:rsidRPr="00EF5465">
        <w:rPr>
          <w:rFonts w:ascii="Aptos Mono" w:hAnsi="Aptos Mono"/>
          <w:color w:val="404040" w:themeColor="text1" w:themeTint="BF"/>
        </w:rPr>
        <w:br/>
        <w:t xml:space="preserve">Date: </w:t>
      </w:r>
      <w:r w:rsidR="009D66EC">
        <w:rPr>
          <w:rFonts w:ascii="Aptos Mono" w:hAnsi="Aptos Mono"/>
          <w:color w:val="404040" w:themeColor="text1" w:themeTint="BF"/>
        </w:rPr>
        <w:t>February</w:t>
      </w:r>
      <w:r w:rsidRPr="00EF5465">
        <w:rPr>
          <w:rFonts w:ascii="Aptos Mono" w:hAnsi="Aptos Mono"/>
          <w:color w:val="404040" w:themeColor="text1" w:themeTint="BF"/>
        </w:rPr>
        <w:t xml:space="preserve"> 7, 202</w:t>
      </w:r>
      <w:r w:rsidR="009D66EC">
        <w:rPr>
          <w:rFonts w:ascii="Aptos Mono" w:hAnsi="Aptos Mono"/>
          <w:color w:val="404040" w:themeColor="text1" w:themeTint="BF"/>
        </w:rPr>
        <w:t>6</w:t>
      </w:r>
    </w:p>
    <w:p w14:paraId="46FEF54D" w14:textId="4BE73FB1" w:rsidR="00FE55E3" w:rsidRPr="00266E56" w:rsidRDefault="00FE55E3" w:rsidP="00266E56">
      <w:pPr>
        <w:spacing w:before="240" w:after="240" w:line="360" w:lineRule="auto"/>
        <w:jc w:val="both"/>
        <w:rPr>
          <w:rFonts w:ascii="Calibri" w:hAnsi="Calibri" w:cs="Calibri"/>
          <w:sz w:val="22"/>
          <w:szCs w:val="22"/>
        </w:rPr>
      </w:pPr>
      <w:r w:rsidRPr="000D32CE">
        <w:rPr>
          <w:rFonts w:ascii="Calibri" w:hAnsi="Calibri" w:cs="Calibri"/>
          <w:b/>
          <w:bCs/>
          <w:sz w:val="28"/>
          <w:szCs w:val="28"/>
        </w:rPr>
        <w:lastRenderedPageBreak/>
        <w:t>S</w:t>
      </w:r>
      <w:r w:rsidRPr="00FE55E3">
        <w:rPr>
          <w:rFonts w:ascii="Calibri" w:hAnsi="Calibri" w:cs="Calibri"/>
          <w:sz w:val="22"/>
          <w:szCs w:val="22"/>
        </w:rPr>
        <w:t>trategic Technical Analysis for Reliable Trading (START) will design and prototype an adaptive intraday trading framework that combines classic technical indicators (MACD, RSI, VWAP), machine-learning models, reinforcement-learning agents, and sentiment signals to inform trade decisions. Static rule sets often fail during regime shifts and volatility spikes; START addresses this by pairing indicator-based features with adaptive ML and sentiment context. The project is timely as intraday markets are increasingly shaped by rapid news flow and structural change. The end goal is a modular, AI-driven framework rigorously evaluated—after costs—for its potential to improve risk-adjusted performance, reduce drawdowns, and enhance decision-making across regimes.</w:t>
      </w:r>
    </w:p>
    <w:p w14:paraId="5965DA1F" w14:textId="106DBB45" w:rsidR="00266E56" w:rsidRPr="00D60D2F" w:rsidRDefault="00266E56" w:rsidP="00266E56">
      <w:pPr>
        <w:spacing w:before="240" w:after="240" w:line="360" w:lineRule="auto"/>
        <w:jc w:val="both"/>
        <w:rPr>
          <w:rFonts w:ascii="Aptos Mono" w:hAnsi="Aptos Mono"/>
          <w:color w:val="153D63" w:themeColor="text2" w:themeTint="E6"/>
        </w:rPr>
      </w:pPr>
      <w:r w:rsidRPr="00D60D2F">
        <w:rPr>
          <w:rFonts w:ascii="Aptos Mono" w:hAnsi="Aptos Mono"/>
          <w:color w:val="153D63" w:themeColor="text2" w:themeTint="E6"/>
        </w:rPr>
        <w:t>Methodology</w:t>
      </w:r>
    </w:p>
    <w:p w14:paraId="009040D9" w14:textId="77777777" w:rsidR="00D60D2F" w:rsidRDefault="00D60D2F" w:rsidP="00266E56">
      <w:pPr>
        <w:spacing w:before="240" w:after="240" w:line="360" w:lineRule="auto"/>
        <w:jc w:val="both"/>
        <w:rPr>
          <w:rFonts w:ascii="Calibri" w:hAnsi="Calibri" w:cs="Calibri"/>
          <w:sz w:val="22"/>
          <w:szCs w:val="22"/>
        </w:rPr>
      </w:pPr>
      <w:r w:rsidRPr="00D60D2F">
        <w:rPr>
          <w:rFonts w:ascii="Calibri" w:hAnsi="Calibri" w:cs="Calibri"/>
          <w:sz w:val="22"/>
          <w:szCs w:val="22"/>
        </w:rPr>
        <w:t xml:space="preserve">START will ingest and validate 5-minute OHLCV+VWAP bars for AAPL, TSLA, AMZN, MSFT (Jan 2023–Jul 2025; Alpaca primary), then engineer MACD, RSI, </w:t>
      </w:r>
      <w:proofErr w:type="gramStart"/>
      <w:r w:rsidRPr="00D60D2F">
        <w:rPr>
          <w:rFonts w:ascii="Calibri" w:hAnsi="Calibri" w:cs="Calibri"/>
          <w:sz w:val="22"/>
          <w:szCs w:val="22"/>
        </w:rPr>
        <w:t>MA(</w:t>
      </w:r>
      <w:proofErr w:type="gramEnd"/>
      <w:r w:rsidRPr="00D60D2F">
        <w:rPr>
          <w:rFonts w:ascii="Calibri" w:hAnsi="Calibri" w:cs="Calibri"/>
          <w:sz w:val="22"/>
          <w:szCs w:val="22"/>
        </w:rPr>
        <w:t>20/50), VWAP distance, returns, and rolling volatility. We benchmark buy-and-hold and MA crossover and train lightweight ML (linear/logistic) for next-bar direction/risk score, with LSTM/CNN for temporal structure. Phase-2 (planned): RL (PPO/DQN; long/flat/short; reward = after-cost returns with drawdown limits) and LLM sentiment (Mistral/</w:t>
      </w:r>
      <w:proofErr w:type="spellStart"/>
      <w:r w:rsidRPr="00D60D2F">
        <w:rPr>
          <w:rFonts w:ascii="Calibri" w:hAnsi="Calibri" w:cs="Calibri"/>
          <w:sz w:val="22"/>
          <w:szCs w:val="22"/>
        </w:rPr>
        <w:t>Mixtral</w:t>
      </w:r>
      <w:proofErr w:type="spellEnd"/>
      <w:r w:rsidRPr="00D60D2F">
        <w:rPr>
          <w:rFonts w:ascii="Calibri" w:hAnsi="Calibri" w:cs="Calibri"/>
          <w:sz w:val="22"/>
          <w:szCs w:val="22"/>
        </w:rPr>
        <w:t xml:space="preserve">) aligned at 5-minute cadence. </w:t>
      </w:r>
    </w:p>
    <w:p w14:paraId="61172F93" w14:textId="173FAB03" w:rsidR="00D60D2F" w:rsidRPr="00D60D2F" w:rsidRDefault="00D60D2F" w:rsidP="00266E56">
      <w:pPr>
        <w:spacing w:before="240" w:after="240" w:line="360" w:lineRule="auto"/>
        <w:jc w:val="both"/>
        <w:rPr>
          <w:rFonts w:ascii="Calibri" w:hAnsi="Calibri" w:cs="Calibri"/>
          <w:sz w:val="22"/>
          <w:szCs w:val="22"/>
        </w:rPr>
      </w:pPr>
      <w:r w:rsidRPr="00D60D2F">
        <w:rPr>
          <w:rFonts w:ascii="Calibri" w:hAnsi="Calibri" w:cs="Calibri"/>
          <w:sz w:val="22"/>
          <w:szCs w:val="22"/>
        </w:rPr>
        <w:t xml:space="preserve">Evaluation uses time-ordered expanding/sliding windows, walk-forward checks, and cost-aware </w:t>
      </w:r>
      <w:proofErr w:type="spellStart"/>
      <w:r w:rsidRPr="00D60D2F">
        <w:rPr>
          <w:rFonts w:ascii="Calibri" w:hAnsi="Calibri" w:cs="Calibri"/>
          <w:sz w:val="22"/>
          <w:szCs w:val="22"/>
        </w:rPr>
        <w:t>backtests</w:t>
      </w:r>
      <w:proofErr w:type="spellEnd"/>
      <w:r w:rsidRPr="00D60D2F">
        <w:rPr>
          <w:rFonts w:ascii="Calibri" w:hAnsi="Calibri" w:cs="Calibri"/>
          <w:sz w:val="22"/>
          <w:szCs w:val="22"/>
        </w:rPr>
        <w:t xml:space="preserve"> (slippage, commissions) reporting </w:t>
      </w:r>
      <w:proofErr w:type="spellStart"/>
      <w:r w:rsidRPr="00D60D2F">
        <w:rPr>
          <w:rFonts w:ascii="Calibri" w:hAnsi="Calibri" w:cs="Calibri"/>
          <w:sz w:val="22"/>
          <w:szCs w:val="22"/>
        </w:rPr>
        <w:t>PnL</w:t>
      </w:r>
      <w:proofErr w:type="spellEnd"/>
      <w:r w:rsidRPr="00D60D2F">
        <w:rPr>
          <w:rFonts w:ascii="Calibri" w:hAnsi="Calibri" w:cs="Calibri"/>
          <w:sz w:val="22"/>
          <w:szCs w:val="22"/>
        </w:rPr>
        <w:t>, Sharpe/Calmar, max drawdown, turnover, and regime stability. Ablations (±sentiment; ±RL; indicators-only vs ML-only vs hybrid) and risk controls (position sizing, drawdown guards) ensure robustness and no leakage.</w:t>
      </w:r>
    </w:p>
    <w:p w14:paraId="447290AA" w14:textId="369083A5" w:rsidR="00266E56" w:rsidRPr="00D60D2F" w:rsidRDefault="00FE55E3" w:rsidP="00266E56">
      <w:pPr>
        <w:spacing w:before="240" w:after="240" w:line="360" w:lineRule="auto"/>
        <w:jc w:val="both"/>
        <w:rPr>
          <w:rFonts w:ascii="Aptos Mono" w:hAnsi="Aptos Mono"/>
          <w:color w:val="153D63" w:themeColor="text2" w:themeTint="E6"/>
        </w:rPr>
      </w:pPr>
      <w:r w:rsidRPr="00D60D2F">
        <w:rPr>
          <w:rFonts w:ascii="Aptos Mono" w:hAnsi="Aptos Mono"/>
          <w:color w:val="153D63" w:themeColor="text2" w:themeTint="E6"/>
        </w:rPr>
        <w:t>Data Description</w:t>
      </w:r>
    </w:p>
    <w:p w14:paraId="42F39FA1" w14:textId="77777777" w:rsidR="00D60D2F" w:rsidRDefault="00FE55E3" w:rsidP="00FE55E3">
      <w:pPr>
        <w:spacing w:before="240" w:after="240" w:line="360" w:lineRule="auto"/>
        <w:jc w:val="both"/>
        <w:rPr>
          <w:rFonts w:ascii="Calibri" w:hAnsi="Calibri" w:cs="Calibri"/>
          <w:sz w:val="22"/>
          <w:szCs w:val="22"/>
        </w:rPr>
      </w:pPr>
      <w:r w:rsidRPr="00FE55E3">
        <w:rPr>
          <w:rFonts w:ascii="Calibri" w:hAnsi="Calibri" w:cs="Calibri"/>
          <w:sz w:val="22"/>
          <w:szCs w:val="22"/>
        </w:rPr>
        <w:t xml:space="preserve">START uses 5-minute OHLCV+VWAP bars for AAPL, TSLA, AMZN, and MSFT from January 2023 through July 2025, sourced primarily from the Alpaca API with </w:t>
      </w:r>
      <w:proofErr w:type="spellStart"/>
      <w:r w:rsidRPr="00FE55E3">
        <w:rPr>
          <w:rFonts w:ascii="Calibri" w:hAnsi="Calibri" w:cs="Calibri"/>
          <w:sz w:val="22"/>
          <w:szCs w:val="22"/>
        </w:rPr>
        <w:t>Tradier</w:t>
      </w:r>
      <w:proofErr w:type="spellEnd"/>
      <w:r w:rsidRPr="00FE55E3">
        <w:rPr>
          <w:rFonts w:ascii="Calibri" w:hAnsi="Calibri" w:cs="Calibri"/>
          <w:sz w:val="22"/>
          <w:szCs w:val="22"/>
        </w:rPr>
        <w:t xml:space="preserve"> as backup. Each record includes timestamp (aligned to regular U.S. market sessions), open, high, low, close, volume, and VWAP; provider corporate-action adjustments (splits/dividends) are accepted where available. Data will be cleaned and validated for missing bars, time gaps, and outliers. </w:t>
      </w:r>
    </w:p>
    <w:p w14:paraId="1BF689C8" w14:textId="0ACBAE8A" w:rsidR="00FE55E3" w:rsidRDefault="00FE55E3" w:rsidP="00FE55E3">
      <w:pPr>
        <w:spacing w:before="240" w:after="240" w:line="360" w:lineRule="auto"/>
        <w:jc w:val="both"/>
        <w:rPr>
          <w:rFonts w:ascii="Calibri" w:hAnsi="Calibri" w:cs="Calibri"/>
          <w:sz w:val="22"/>
          <w:szCs w:val="22"/>
        </w:rPr>
      </w:pPr>
      <w:r w:rsidRPr="00FE55E3">
        <w:rPr>
          <w:rFonts w:ascii="Calibri" w:hAnsi="Calibri" w:cs="Calibri"/>
          <w:sz w:val="22"/>
          <w:szCs w:val="22"/>
        </w:rPr>
        <w:t xml:space="preserve">Derived fields include MACD, RSI, </w:t>
      </w:r>
      <w:proofErr w:type="gramStart"/>
      <w:r w:rsidRPr="00FE55E3">
        <w:rPr>
          <w:rFonts w:ascii="Calibri" w:hAnsi="Calibri" w:cs="Calibri"/>
          <w:sz w:val="22"/>
          <w:szCs w:val="22"/>
        </w:rPr>
        <w:t>MA(</w:t>
      </w:r>
      <w:proofErr w:type="gramEnd"/>
      <w:r w:rsidRPr="00FE55E3">
        <w:rPr>
          <w:rFonts w:ascii="Calibri" w:hAnsi="Calibri" w:cs="Calibri"/>
          <w:sz w:val="22"/>
          <w:szCs w:val="22"/>
        </w:rPr>
        <w:t>20/50), percent and log returns, rolling volatility, and distance from VWAP. The dataset is intentionally narrow (liquid tickers, fixed cadence) to remain interpretable and compute-efficient, and it contains no personal or sensitive data.</w:t>
      </w:r>
    </w:p>
    <w:p w14:paraId="6CD0A1D7" w14:textId="612F8F36" w:rsidR="00FE55E3" w:rsidRPr="00D60D2F" w:rsidRDefault="00FE55E3" w:rsidP="00FE55E3">
      <w:pPr>
        <w:spacing w:before="240" w:after="240" w:line="360" w:lineRule="auto"/>
        <w:jc w:val="both"/>
        <w:rPr>
          <w:rFonts w:ascii="Aptos Mono" w:hAnsi="Aptos Mono"/>
          <w:color w:val="153D63" w:themeColor="text2" w:themeTint="E6"/>
        </w:rPr>
      </w:pPr>
      <w:r w:rsidRPr="00D60D2F">
        <w:rPr>
          <w:rFonts w:ascii="Aptos Mono" w:hAnsi="Aptos Mono"/>
          <w:color w:val="153D63" w:themeColor="text2" w:themeTint="E6"/>
        </w:rPr>
        <w:lastRenderedPageBreak/>
        <w:t>Expected Results</w:t>
      </w:r>
    </w:p>
    <w:p w14:paraId="0685CEA6" w14:textId="77777777" w:rsidR="00D60D2F" w:rsidRDefault="00D60D2F" w:rsidP="00FE55E3">
      <w:pPr>
        <w:spacing w:before="240" w:after="240" w:line="360" w:lineRule="auto"/>
        <w:jc w:val="both"/>
        <w:rPr>
          <w:rFonts w:ascii="Calibri" w:hAnsi="Calibri" w:cs="Calibri"/>
          <w:sz w:val="22"/>
          <w:szCs w:val="22"/>
        </w:rPr>
      </w:pPr>
      <w:r w:rsidRPr="00D60D2F">
        <w:rPr>
          <w:rFonts w:ascii="Calibri" w:hAnsi="Calibri" w:cs="Calibri"/>
          <w:sz w:val="22"/>
          <w:szCs w:val="22"/>
        </w:rPr>
        <w:t xml:space="preserve">START will measure, not assume, edge. We will test whether classic indicators plus lightweight ML improve next-bar, risk-adjusted forecasts versus simple rules after costs; whether LSTM/CNN add lift over linear/logistic models; whether RL (PPO/DQN) improves entry/exit timing under drawdown limits; and whether LLM-based sentiment (Phase-2) strengthens regime robustness. Success means: </w:t>
      </w:r>
    </w:p>
    <w:p w14:paraId="6BFD2E9B" w14:textId="0D71EC3C" w:rsidR="00D60D2F" w:rsidRDefault="00D60D2F" w:rsidP="00FE55E3">
      <w:pPr>
        <w:pStyle w:val="ListParagraph"/>
        <w:numPr>
          <w:ilvl w:val="0"/>
          <w:numId w:val="2"/>
        </w:numPr>
        <w:spacing w:before="240" w:after="240" w:line="360" w:lineRule="auto"/>
        <w:jc w:val="both"/>
        <w:rPr>
          <w:rFonts w:ascii="Calibri" w:hAnsi="Calibri" w:cs="Calibri"/>
          <w:sz w:val="22"/>
          <w:szCs w:val="22"/>
        </w:rPr>
      </w:pPr>
      <w:r w:rsidRPr="00D60D2F">
        <w:rPr>
          <w:rFonts w:ascii="Calibri" w:hAnsi="Calibri" w:cs="Calibri"/>
          <w:sz w:val="22"/>
          <w:szCs w:val="22"/>
        </w:rPr>
        <w:t xml:space="preserve">a reproducible, leakage-controlled </w:t>
      </w:r>
      <w:r w:rsidR="000D32CE" w:rsidRPr="00D60D2F">
        <w:rPr>
          <w:rFonts w:ascii="Calibri" w:hAnsi="Calibri" w:cs="Calibri"/>
          <w:sz w:val="22"/>
          <w:szCs w:val="22"/>
        </w:rPr>
        <w:t>pipeline.</w:t>
      </w:r>
      <w:r w:rsidRPr="00D60D2F">
        <w:rPr>
          <w:rFonts w:ascii="Calibri" w:hAnsi="Calibri" w:cs="Calibri"/>
          <w:sz w:val="22"/>
          <w:szCs w:val="22"/>
        </w:rPr>
        <w:t xml:space="preserve"> </w:t>
      </w:r>
    </w:p>
    <w:p w14:paraId="72FF87A5" w14:textId="77777777" w:rsidR="00D60D2F" w:rsidRDefault="00D60D2F" w:rsidP="00FE55E3">
      <w:pPr>
        <w:pStyle w:val="ListParagraph"/>
        <w:numPr>
          <w:ilvl w:val="0"/>
          <w:numId w:val="2"/>
        </w:numPr>
        <w:spacing w:before="240" w:after="240" w:line="360" w:lineRule="auto"/>
        <w:jc w:val="both"/>
        <w:rPr>
          <w:rFonts w:ascii="Calibri" w:hAnsi="Calibri" w:cs="Calibri"/>
          <w:sz w:val="22"/>
          <w:szCs w:val="22"/>
        </w:rPr>
      </w:pPr>
      <w:r w:rsidRPr="00D60D2F">
        <w:rPr>
          <w:rFonts w:ascii="Calibri" w:hAnsi="Calibri" w:cs="Calibri"/>
          <w:sz w:val="22"/>
          <w:szCs w:val="22"/>
        </w:rPr>
        <w:t xml:space="preserve">statistically defensible, out-of-sample gains in at least one regime on net </w:t>
      </w:r>
      <w:proofErr w:type="spellStart"/>
      <w:r w:rsidRPr="00D60D2F">
        <w:rPr>
          <w:rFonts w:ascii="Calibri" w:hAnsi="Calibri" w:cs="Calibri"/>
          <w:sz w:val="22"/>
          <w:szCs w:val="22"/>
        </w:rPr>
        <w:t>PnL</w:t>
      </w:r>
      <w:proofErr w:type="spellEnd"/>
      <w:r w:rsidRPr="00D60D2F">
        <w:rPr>
          <w:rFonts w:ascii="Calibri" w:hAnsi="Calibri" w:cs="Calibri"/>
          <w:sz w:val="22"/>
          <w:szCs w:val="22"/>
        </w:rPr>
        <w:t xml:space="preserve">, Sharpe/Calmar, max drawdown, turnover, and stability diagnostics; and </w:t>
      </w:r>
    </w:p>
    <w:p w14:paraId="027C57AF" w14:textId="6C7F8433" w:rsidR="00D60D2F" w:rsidRPr="00D60D2F" w:rsidRDefault="00D60D2F" w:rsidP="00FE55E3">
      <w:pPr>
        <w:pStyle w:val="ListParagraph"/>
        <w:numPr>
          <w:ilvl w:val="0"/>
          <w:numId w:val="2"/>
        </w:numPr>
        <w:spacing w:before="240" w:after="240" w:line="360" w:lineRule="auto"/>
        <w:jc w:val="both"/>
        <w:rPr>
          <w:rFonts w:ascii="Calibri" w:hAnsi="Calibri" w:cs="Calibri"/>
          <w:sz w:val="22"/>
          <w:szCs w:val="22"/>
        </w:rPr>
      </w:pPr>
      <w:r w:rsidRPr="00D60D2F">
        <w:rPr>
          <w:rFonts w:ascii="Calibri" w:hAnsi="Calibri" w:cs="Calibri"/>
          <w:sz w:val="22"/>
          <w:szCs w:val="22"/>
        </w:rPr>
        <w:t xml:space="preserve">transparent ablations isolating the contributions of ML, RL, and sentiment. If gains are not observed, we will report a clear negative or regime-specific result with failure conditions to guide iteration. </w:t>
      </w:r>
    </w:p>
    <w:p w14:paraId="2A9240DB" w14:textId="6888211E" w:rsidR="00FE55E3" w:rsidRDefault="00D60D2F" w:rsidP="00FE55E3">
      <w:pPr>
        <w:spacing w:before="240" w:after="240" w:line="360" w:lineRule="auto"/>
        <w:jc w:val="both"/>
        <w:rPr>
          <w:rFonts w:ascii="Calibri" w:hAnsi="Calibri" w:cs="Calibri"/>
          <w:sz w:val="22"/>
          <w:szCs w:val="22"/>
        </w:rPr>
      </w:pPr>
      <w:r w:rsidRPr="000D32CE">
        <w:rPr>
          <w:rFonts w:ascii="Aptos Mono" w:hAnsi="Aptos Mono"/>
          <w:color w:val="153D63" w:themeColor="text2" w:themeTint="E6"/>
          <w:sz w:val="22"/>
          <w:szCs w:val="22"/>
        </w:rPr>
        <w:t>Deliverable:</w:t>
      </w:r>
      <w:r w:rsidRPr="000D32CE">
        <w:rPr>
          <w:rFonts w:ascii="Calibri" w:hAnsi="Calibri" w:cs="Calibri"/>
          <w:sz w:val="21"/>
          <w:szCs w:val="21"/>
        </w:rPr>
        <w:t xml:space="preserve"> </w:t>
      </w:r>
      <w:r w:rsidR="000D32CE">
        <w:rPr>
          <w:rFonts w:ascii="Calibri" w:hAnsi="Calibri" w:cs="Calibri"/>
          <w:sz w:val="22"/>
          <w:szCs w:val="22"/>
        </w:rPr>
        <w:t>A</w:t>
      </w:r>
      <w:r w:rsidRPr="00D60D2F">
        <w:rPr>
          <w:rFonts w:ascii="Calibri" w:hAnsi="Calibri" w:cs="Calibri"/>
          <w:sz w:val="22"/>
          <w:szCs w:val="22"/>
        </w:rPr>
        <w:t xml:space="preserve"> user-friendly, modular prototype with paper-trading mode and a simple UI, designed for subsequent production hardening</w:t>
      </w:r>
      <w:r w:rsidR="00FE55E3" w:rsidRPr="00FE55E3">
        <w:rPr>
          <w:rFonts w:ascii="Calibri" w:hAnsi="Calibri" w:cs="Calibri"/>
          <w:sz w:val="22"/>
          <w:szCs w:val="22"/>
        </w:rPr>
        <w:t>.</w:t>
      </w:r>
    </w:p>
    <w:p w14:paraId="49ACA256" w14:textId="376444D9" w:rsidR="00FE55E3" w:rsidRPr="00D60D2F" w:rsidRDefault="00FE55E3" w:rsidP="00FE55E3">
      <w:pPr>
        <w:spacing w:before="240" w:after="240" w:line="360" w:lineRule="auto"/>
        <w:jc w:val="both"/>
        <w:rPr>
          <w:rFonts w:ascii="Aptos Mono" w:hAnsi="Aptos Mono"/>
          <w:color w:val="153D63" w:themeColor="text2" w:themeTint="E6"/>
        </w:rPr>
      </w:pPr>
      <w:r w:rsidRPr="00D60D2F">
        <w:rPr>
          <w:rFonts w:ascii="Aptos Mono" w:hAnsi="Aptos Mono"/>
          <w:color w:val="153D63" w:themeColor="text2" w:themeTint="E6"/>
        </w:rPr>
        <w:t>References</w:t>
      </w:r>
    </w:p>
    <w:p w14:paraId="727A5008" w14:textId="77777777" w:rsidR="00D60D2F" w:rsidRPr="00D60D2F" w:rsidRDefault="00D60D2F" w:rsidP="00D60D2F">
      <w:pPr>
        <w:spacing w:before="240" w:after="240" w:line="360" w:lineRule="auto"/>
        <w:jc w:val="both"/>
        <w:rPr>
          <w:rFonts w:ascii="Aptos Mono" w:hAnsi="Aptos Mono"/>
          <w:sz w:val="21"/>
          <w:szCs w:val="21"/>
        </w:rPr>
      </w:pPr>
      <w:r w:rsidRPr="00D60D2F">
        <w:rPr>
          <w:rFonts w:ascii="Aptos Mono" w:hAnsi="Aptos Mono"/>
          <w:sz w:val="21"/>
          <w:szCs w:val="21"/>
        </w:rPr>
        <w:t xml:space="preserve">Brock, W., </w:t>
      </w:r>
      <w:proofErr w:type="spellStart"/>
      <w:r w:rsidRPr="00D60D2F">
        <w:rPr>
          <w:rFonts w:ascii="Aptos Mono" w:hAnsi="Aptos Mono"/>
          <w:sz w:val="21"/>
          <w:szCs w:val="21"/>
        </w:rPr>
        <w:t>Lakonishok</w:t>
      </w:r>
      <w:proofErr w:type="spellEnd"/>
      <w:r w:rsidRPr="00D60D2F">
        <w:rPr>
          <w:rFonts w:ascii="Aptos Mono" w:hAnsi="Aptos Mono"/>
          <w:sz w:val="21"/>
          <w:szCs w:val="21"/>
        </w:rPr>
        <w:t xml:space="preserve">, J., &amp; LeBaron, B. (1992). Simple technical trading rules and the stochastic properties of stock returns. </w:t>
      </w:r>
      <w:r w:rsidRPr="00D60D2F">
        <w:rPr>
          <w:rFonts w:ascii="Aptos Mono" w:hAnsi="Aptos Mono"/>
          <w:i/>
          <w:iCs/>
          <w:sz w:val="21"/>
          <w:szCs w:val="21"/>
        </w:rPr>
        <w:t>The Journal of Finance, 47</w:t>
      </w:r>
      <w:r w:rsidRPr="00D60D2F">
        <w:rPr>
          <w:rFonts w:ascii="Aptos Mono" w:hAnsi="Aptos Mono"/>
          <w:sz w:val="21"/>
          <w:szCs w:val="21"/>
        </w:rPr>
        <w:t>(5), 1731–1764.</w:t>
      </w:r>
    </w:p>
    <w:p w14:paraId="595D2D14" w14:textId="77777777" w:rsidR="00D60D2F" w:rsidRPr="00D60D2F" w:rsidRDefault="00D60D2F" w:rsidP="00D60D2F">
      <w:pPr>
        <w:spacing w:before="240" w:after="240" w:line="360" w:lineRule="auto"/>
        <w:jc w:val="both"/>
        <w:rPr>
          <w:rFonts w:ascii="Aptos Mono" w:hAnsi="Aptos Mono"/>
          <w:sz w:val="21"/>
          <w:szCs w:val="21"/>
        </w:rPr>
      </w:pPr>
      <w:r w:rsidRPr="00D60D2F">
        <w:rPr>
          <w:rFonts w:ascii="Aptos Mono" w:hAnsi="Aptos Mono"/>
          <w:sz w:val="21"/>
          <w:szCs w:val="21"/>
        </w:rPr>
        <w:t xml:space="preserve">Lo, A. W., Mamaysky, H., &amp; Wang, J. (2000). Foundations of technical analysis: Computational algorithms, statistical inference, and empirical implementation. </w:t>
      </w:r>
      <w:r w:rsidRPr="00D60D2F">
        <w:rPr>
          <w:rFonts w:ascii="Aptos Mono" w:hAnsi="Aptos Mono"/>
          <w:i/>
          <w:iCs/>
          <w:sz w:val="21"/>
          <w:szCs w:val="21"/>
        </w:rPr>
        <w:t>The Journal of Finance, 55</w:t>
      </w:r>
      <w:r w:rsidRPr="00D60D2F">
        <w:rPr>
          <w:rFonts w:ascii="Aptos Mono" w:hAnsi="Aptos Mono"/>
          <w:sz w:val="21"/>
          <w:szCs w:val="21"/>
        </w:rPr>
        <w:t>(4), 1705–1765.</w:t>
      </w:r>
    </w:p>
    <w:p w14:paraId="669740F0" w14:textId="77777777" w:rsidR="00D60D2F" w:rsidRPr="00D60D2F" w:rsidRDefault="00D60D2F" w:rsidP="00D60D2F">
      <w:pPr>
        <w:spacing w:before="240" w:after="240" w:line="360" w:lineRule="auto"/>
        <w:jc w:val="both"/>
        <w:rPr>
          <w:rFonts w:ascii="Aptos Mono" w:hAnsi="Aptos Mono"/>
          <w:sz w:val="21"/>
          <w:szCs w:val="21"/>
        </w:rPr>
      </w:pPr>
      <w:r w:rsidRPr="00D60D2F">
        <w:rPr>
          <w:rFonts w:ascii="Aptos Mono" w:hAnsi="Aptos Mono"/>
          <w:sz w:val="21"/>
          <w:szCs w:val="21"/>
        </w:rPr>
        <w:t xml:space="preserve">Park, C.-H., &amp; Irwin, S. H. (2007). What do we know about the profitability of technical analysis? </w:t>
      </w:r>
      <w:r w:rsidRPr="00D60D2F">
        <w:rPr>
          <w:rFonts w:ascii="Aptos Mono" w:hAnsi="Aptos Mono"/>
          <w:i/>
          <w:iCs/>
          <w:sz w:val="21"/>
          <w:szCs w:val="21"/>
        </w:rPr>
        <w:t>Journal of Economic Surveys, 21</w:t>
      </w:r>
      <w:r w:rsidRPr="00D60D2F">
        <w:rPr>
          <w:rFonts w:ascii="Aptos Mono" w:hAnsi="Aptos Mono"/>
          <w:sz w:val="21"/>
          <w:szCs w:val="21"/>
        </w:rPr>
        <w:t>(4), 786–826.</w:t>
      </w:r>
    </w:p>
    <w:p w14:paraId="3925B1A1" w14:textId="36C93B76" w:rsidR="00EF5465" w:rsidRPr="000D32CE" w:rsidRDefault="00D60D2F" w:rsidP="00D60D2F">
      <w:pPr>
        <w:spacing w:before="240" w:after="240" w:line="360" w:lineRule="auto"/>
        <w:jc w:val="both"/>
        <w:rPr>
          <w:rFonts w:ascii="Aptos Mono" w:hAnsi="Aptos Mono"/>
          <w:sz w:val="21"/>
          <w:szCs w:val="21"/>
        </w:rPr>
      </w:pPr>
      <w:r w:rsidRPr="00D60D2F">
        <w:rPr>
          <w:rFonts w:ascii="Aptos Mono" w:hAnsi="Aptos Mono"/>
          <w:sz w:val="21"/>
          <w:szCs w:val="21"/>
        </w:rPr>
        <w:t xml:space="preserve">Deng, Y., Bao, F., Kong, Y., Ren, Z., &amp; Dai, Q. (2020). Deep direct reinforcement learning for financial signal representation and trading. </w:t>
      </w:r>
      <w:r w:rsidRPr="00D60D2F">
        <w:rPr>
          <w:rFonts w:ascii="Aptos Mono" w:hAnsi="Aptos Mono"/>
          <w:i/>
          <w:iCs/>
          <w:sz w:val="21"/>
          <w:szCs w:val="21"/>
        </w:rPr>
        <w:t>IEEE Transactions on Neural Networks and Learning Systems, 31</w:t>
      </w:r>
      <w:r w:rsidRPr="00D60D2F">
        <w:rPr>
          <w:rFonts w:ascii="Aptos Mono" w:hAnsi="Aptos Mono"/>
          <w:sz w:val="21"/>
          <w:szCs w:val="21"/>
        </w:rPr>
        <w:t>(2), 569–584.</w:t>
      </w:r>
    </w:p>
    <w:sectPr w:rsidR="00EF5465" w:rsidRPr="000D3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B655B" w14:textId="77777777" w:rsidR="003015AD" w:rsidRDefault="003015AD" w:rsidP="00D60D2F">
      <w:pPr>
        <w:spacing w:after="0" w:line="240" w:lineRule="auto"/>
      </w:pPr>
      <w:r>
        <w:separator/>
      </w:r>
    </w:p>
  </w:endnote>
  <w:endnote w:type="continuationSeparator" w:id="0">
    <w:p w14:paraId="71721653" w14:textId="77777777" w:rsidR="003015AD" w:rsidRDefault="003015AD" w:rsidP="00D60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AC995" w14:textId="77777777" w:rsidR="003015AD" w:rsidRDefault="003015AD" w:rsidP="00D60D2F">
      <w:pPr>
        <w:spacing w:after="0" w:line="240" w:lineRule="auto"/>
      </w:pPr>
      <w:r>
        <w:separator/>
      </w:r>
    </w:p>
  </w:footnote>
  <w:footnote w:type="continuationSeparator" w:id="0">
    <w:p w14:paraId="36B93337" w14:textId="77777777" w:rsidR="003015AD" w:rsidRDefault="003015AD" w:rsidP="00D60D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D58A4"/>
    <w:multiLevelType w:val="hybridMultilevel"/>
    <w:tmpl w:val="86866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7908F4"/>
    <w:multiLevelType w:val="hybridMultilevel"/>
    <w:tmpl w:val="70EC8A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33138818">
    <w:abstractNumId w:val="1"/>
  </w:num>
  <w:num w:numId="2" w16cid:durableId="41562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65"/>
    <w:rsid w:val="00004347"/>
    <w:rsid w:val="000D32CE"/>
    <w:rsid w:val="00266E56"/>
    <w:rsid w:val="003015AD"/>
    <w:rsid w:val="00447F3E"/>
    <w:rsid w:val="009D66EC"/>
    <w:rsid w:val="00AE3DB6"/>
    <w:rsid w:val="00D60D2F"/>
    <w:rsid w:val="00D956CE"/>
    <w:rsid w:val="00EF5465"/>
    <w:rsid w:val="00FE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75F52"/>
  <w15:chartTrackingRefBased/>
  <w15:docId w15:val="{9C646C1B-D3ED-514D-BF25-9E04EC696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46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66E5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60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D2F"/>
  </w:style>
  <w:style w:type="paragraph" w:styleId="Footer">
    <w:name w:val="footer"/>
    <w:basedOn w:val="Normal"/>
    <w:link w:val="FooterChar"/>
    <w:uiPriority w:val="99"/>
    <w:unhideWhenUsed/>
    <w:rsid w:val="00D60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Anbazhagan</dc:creator>
  <cp:keywords/>
  <dc:description/>
  <cp:lastModifiedBy>Naresh Anbazhagan</cp:lastModifiedBy>
  <cp:revision>3</cp:revision>
  <dcterms:created xsi:type="dcterms:W3CDTF">2025-09-07T15:35:00Z</dcterms:created>
  <dcterms:modified xsi:type="dcterms:W3CDTF">2026-02-09T17:48:00Z</dcterms:modified>
</cp:coreProperties>
</file>