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60" w:after="140" w:line="276" w:lineRule="auto"/>
        <w:jc w:val="center"/>
        <w:keepNext/>
      </w:pPr>
      <w:r>
        <w:rPr>
          <w:rFonts w:ascii="Calibri" w:hAnsi="Calibri"/>
          <w:b/>
          <w:sz w:val="32"/>
          <w:szCs w:val="32"/>
        </w:rPr>
        <w:t xml:space="preserve">CONTRATO DE PRESTACIÓN DE SERVICIOS</w:t>
      </w:r>
    </w:p>
    <w:p>
      <w:pPr>
        <w:spacing w:before="60" w:after="140" w:line="276" w:lineRule="auto"/>
        <w:jc w:val="center"/>
        <w:keepNext/>
      </w:pPr>
      <w:r>
        <w:rPr>
          <w:rFonts w:ascii="Calibri" w:hAnsi="Calibri"/>
          <w:b/>
          <w:sz w:val="24"/>
          <w:szCs w:val="24"/>
        </w:rPr>
        <w:t xml:space="preserve">GDM NEXO — ERP CON FACTURACIÓN ELECTRÓNICA CFDI 4.0</w:t>
      </w:r>
    </w:p>
    <w:p>
      <w:pPr>
        <w:spacing w:before="0" w:after="120" w:line="276" w:lineRule="auto"/>
        <w:jc w:val="center"/>
      </w:pPr>
      <w:r>
        <w:rPr>
          <w:rFonts w:ascii="Calibri" w:hAnsi="Calibri"/>
          <w:sz w:val="22"/>
          <w:szCs w:val="22"/>
        </w:rPr>
        <w:t xml:space="preserve">Versión de los Términos y Condiciones: 2026-07-29.1</w:t>
      </w:r>
    </w:p>
    <w:p>
      <w:pPr>
        <w:spacing w:before="240" w:after="100" w:line="276" w:lineRule="auto"/>
        <w:keepNext/>
      </w:pPr>
      <w:r>
        <w:rPr>
          <w:rFonts w:ascii="Calibri" w:hAnsi="Calibri"/>
          <w:b/>
          <w:sz w:val="23"/>
          <w:szCs w:val="23"/>
        </w:rPr>
        <w:t xml:space="preserve">PARTES</w:t>
      </w:r>
    </w:p>
    <w:p>
      <w:pPr>
        <w:spacing w:before="240" w:after="100" w:line="276" w:lineRule="auto"/>
        <w:keepNext/>
      </w:pPr>
      <w:r>
        <w:rPr>
          <w:rFonts w:ascii="Calibri" w:hAnsi="Calibri"/>
          <w:b/>
          <w:sz w:val="23"/>
          <w:szCs w:val="23"/>
        </w:rPr>
        <w:t xml:space="preserve">EL PRESTADOR: GRUPO HCGM, S.A. DE C.V.</w:t>
      </w:r>
    </w:p>
    <w:p>
      <w:pPr>
        <w:spacing w:before="0" w:after="120" w:line="276" w:lineRule="auto"/>
        <w:ind w:left="230"/>
        <w:jc w:val="both"/>
      </w:pPr>
      <w:r>
        <w:rPr>
          <w:rFonts w:ascii="Calibri" w:hAnsi="Calibri"/>
          <w:sz w:val="22"/>
          <w:szCs w:val="22"/>
        </w:rPr>
        <w:t xml:space="preserve">RFC: GHC1707275Y0</w:t>
      </w:r>
    </w:p>
    <w:p>
      <w:pPr>
        <w:spacing w:before="0" w:after="120" w:line="276" w:lineRule="auto"/>
        <w:ind w:left="230"/>
        <w:jc w:val="both"/>
      </w:pPr>
      <w:r>
        <w:rPr>
          <w:rFonts w:ascii="Calibri" w:hAnsi="Calibri"/>
          <w:sz w:val="22"/>
          <w:szCs w:val="22"/>
        </w:rPr>
        <w:t xml:space="preserve">Domicilio: Adoratrices número 116, Fraccionamiento Villa Teresa, Código Postal 20126, Aguascalientes, Aguascalientes.</w:t>
      </w:r>
    </w:p>
    <w:p>
      <w:pPr>
        <w:spacing w:before="0" w:after="120" w:line="276" w:lineRule="auto"/>
        <w:ind w:left="230"/>
        <w:jc w:val="both"/>
      </w:pPr>
      <w:r>
        <w:rPr>
          <w:rFonts w:ascii="Calibri" w:hAnsi="Calibri"/>
          <w:sz w:val="22"/>
          <w:szCs w:val="22"/>
        </w:rPr>
        <w:t xml:space="preserve">Correo de contacto: info@hcgm.com.mx</w:t>
      </w:r>
    </w:p>
    <w:p>
      <w:pPr>
        <w:spacing w:before="0" w:after="120" w:line="276" w:lineRule="auto"/>
        <w:ind w:left="230"/>
        <w:jc w:val="both"/>
      </w:pPr>
      <w:r>
        <w:rPr>
          <w:rFonts w:ascii="Calibri" w:hAnsi="Calibri"/>
          <w:sz w:val="22"/>
          <w:szCs w:val="22"/>
        </w:rPr>
        <w:t xml:space="preserve">En lo sucesivo, "HCGM".</w:t>
      </w:r>
    </w:p>
    <w:p>
      <w:pPr>
        <w:spacing w:before="240" w:after="100" w:line="276" w:lineRule="auto"/>
        <w:keepNext/>
      </w:pPr>
      <w:r>
        <w:rPr>
          <w:rFonts w:ascii="Calibri" w:hAnsi="Calibri"/>
          <w:b/>
          <w:sz w:val="23"/>
          <w:szCs w:val="23"/>
        </w:rPr>
        <w:t xml:space="preserve">EL CLIENTE: [NOMBRE O RAZÓN SOCIAL DEL CLIENTE]</w:t>
      </w:r>
    </w:p>
    <w:p>
      <w:pPr>
        <w:spacing w:before="0" w:after="120" w:line="276" w:lineRule="auto"/>
        <w:ind w:left="230"/>
        <w:jc w:val="both"/>
      </w:pPr>
      <w:r>
        <w:rPr>
          <w:rFonts w:ascii="Calibri" w:hAnsi="Calibri"/>
          <w:sz w:val="22"/>
          <w:szCs w:val="22"/>
        </w:rPr>
        <w:t xml:space="preserve">RFC: [RFC DEL CLIENTE]</w:t>
      </w:r>
    </w:p>
    <w:p>
      <w:pPr>
        <w:spacing w:before="0" w:after="120" w:line="276" w:lineRule="auto"/>
        <w:ind w:left="230"/>
        <w:jc w:val="both"/>
      </w:pPr>
      <w:r>
        <w:rPr>
          <w:rFonts w:ascii="Calibri" w:hAnsi="Calibri"/>
          <w:sz w:val="22"/>
          <w:szCs w:val="22"/>
        </w:rPr>
        <w:t xml:space="preserve">En lo sucesivo, "EL CLIENTE".</w:t>
      </w:r>
    </w:p>
    <w:p>
      <w:pPr>
        <w:spacing w:before="0" w:after="120" w:line="276" w:lineRule="auto"/>
        <w:jc w:val="both"/>
      </w:pPr>
      <w:r>
        <w:rPr>
          <w:rFonts w:ascii="Calibri" w:hAnsi="Calibri"/>
          <w:sz w:val="22"/>
          <w:szCs w:val="22"/>
        </w:rPr>
        <w:t xml:space="preserve">Fecha de aceptación: _______________________</w:t>
      </w:r>
    </w:p>
    <w:p>
      <w:pPr>
        <w:spacing w:before="0" w:after="120" w:line="276" w:lineRule="auto"/>
        <w:jc w:val="both"/>
      </w:pPr>
      <w:r>
        <w:rPr>
          <w:rFonts w:ascii="Calibri" w:hAnsi="Calibri"/>
          <w:sz w:val="22"/>
          <w:szCs w:val="22"/>
        </w:rPr>
        <w:t xml:space="preserve">Ambas partes reconocen mutuamente capacidad legal para obligarse.</w:t>
      </w:r>
    </w:p>
    <w:p>
      <w:pPr>
        <w:spacing w:before="80" w:after="160"/>
        <w:pBdr>
          <w:bottom w:val="single" w:sz="6" w:space="1" w:color="9AA0A6"/>
        </w:pBdr>
      </w:pPr>
    </w:p>
    <w:p>
      <w:pPr>
        <w:spacing w:before="240" w:after="100" w:line="276" w:lineRule="auto"/>
        <w:keepNext/>
      </w:pPr>
      <w:r>
        <w:rPr>
          <w:rFonts w:ascii="Calibri" w:hAnsi="Calibri"/>
          <w:b/>
          <w:sz w:val="23"/>
          <w:szCs w:val="23"/>
        </w:rPr>
        <w:t xml:space="preserve">PRIMERA — OBJETO</w:t>
      </w:r>
    </w:p>
    <w:p>
      <w:pPr>
        <w:spacing w:before="0" w:after="120" w:line="276" w:lineRule="auto"/>
        <w:jc w:val="both"/>
      </w:pPr>
      <w:r>
        <w:rPr>
          <w:rFonts w:ascii="Calibri" w:hAnsi="Calibri"/>
          <w:sz w:val="22"/>
          <w:szCs w:val="22"/>
        </w:rPr>
        <w:t xml:space="preserve">HCGM otorga a EL CLIENTE el uso, en modalidad de Software como Servicio (SaaS), de la plataforma web denominada GDM NEXO para:</w:t>
      </w:r>
    </w:p>
    <w:p>
      <w:pPr>
        <w:spacing w:before="0" w:after="120" w:line="276" w:lineRule="auto"/>
        <w:ind w:left="230"/>
        <w:jc w:val="both"/>
      </w:pPr>
      <w:r>
        <w:rPr>
          <w:rFonts w:ascii="Calibri" w:hAnsi="Calibri"/>
          <w:sz w:val="22"/>
          <w:szCs w:val="22"/>
        </w:rPr>
        <w:t xml:space="preserve">a) Emitir Comprobantes Fiscales Digitales por Internet CFDI 4.0 conforme al Anexo 20 del SAT.</w:t>
      </w:r>
    </w:p>
    <w:p>
      <w:pPr>
        <w:spacing w:before="0" w:after="120" w:line="276" w:lineRule="auto"/>
        <w:ind w:left="230"/>
        <w:jc w:val="both"/>
      </w:pPr>
      <w:r>
        <w:rPr>
          <w:rFonts w:ascii="Calibri" w:hAnsi="Calibri"/>
          <w:sz w:val="22"/>
          <w:szCs w:val="22"/>
        </w:rPr>
        <w:t xml:space="preserve">b) Emitir los complementos soportados por la plataforma, incluyendo Complemento para Recepción de Pagos 2.0, Complemento Carta Porte 3.1 y Notas de Crédito.</w:t>
      </w:r>
    </w:p>
    <w:p>
      <w:pPr>
        <w:spacing w:before="0" w:after="120" w:line="276" w:lineRule="auto"/>
        <w:ind w:left="230"/>
        <w:jc w:val="both"/>
      </w:pPr>
      <w:r>
        <w:rPr>
          <w:rFonts w:ascii="Calibri" w:hAnsi="Calibri"/>
          <w:sz w:val="22"/>
          <w:szCs w:val="22"/>
        </w:rPr>
        <w:t xml:space="preserve">c) Gestionar clientes, productos, catálogos y consultas de comprobantes.</w:t>
      </w:r>
    </w:p>
    <w:p>
      <w:pPr>
        <w:spacing w:before="0" w:after="120" w:line="276" w:lineRule="auto"/>
        <w:ind w:left="230"/>
        <w:jc w:val="both"/>
      </w:pPr>
      <w:r>
        <w:rPr>
          <w:rFonts w:ascii="Calibri" w:hAnsi="Calibri"/>
          <w:sz w:val="22"/>
          <w:szCs w:val="22"/>
        </w:rPr>
        <w:t xml:space="preserve">d) Consultar, descargar y auditar los CFDI emitidos.</w:t>
      </w:r>
    </w:p>
    <w:p>
      <w:pPr>
        <w:spacing w:before="0" w:after="120" w:line="276" w:lineRule="auto"/>
        <w:jc w:val="both"/>
      </w:pPr>
      <w:r>
        <w:rPr>
          <w:rFonts w:ascii="Calibri" w:hAnsi="Calibri"/>
          <w:sz w:val="22"/>
          <w:szCs w:val="22"/>
        </w:rPr>
        <w:t xml:space="preserve">HCGM comercializa exclusivamente el uso del software. Los timbres fiscales se contratan por plan o por consumo, conforme a la cláusula SEGUNDA.</w:t>
      </w:r>
    </w:p>
    <w:p>
      <w:pPr>
        <w:spacing w:before="0" w:after="120" w:line="276" w:lineRule="auto"/>
        <w:jc w:val="both"/>
      </w:pPr>
      <w:r>
        <w:rPr>
          <w:rFonts w:ascii="Calibri" w:hAnsi="Calibri"/>
          <w:sz w:val="22"/>
          <w:szCs w:val="22"/>
        </w:rPr>
        <w:t xml:space="preserve">HCGM NO es Proveedor Autorizado de Certificación (PAC) ante el SAT. HCGM actúa como intermediario técnico entre EL CLIENTE y un PAC autorizado — actualmente SW Sapien Nube, S.A.P.I. de C.V., o el PAC que HCGM designe. El acto de timbrado fiscal es ejecutado por el PAC bajo su propia autorización SAT.</w:t>
      </w:r>
    </w:p>
    <w:p>
      <w:pPr>
        <w:spacing w:before="240" w:after="100" w:line="276" w:lineRule="auto"/>
        <w:keepNext/>
      </w:pPr>
      <w:r>
        <w:rPr>
          <w:rFonts w:ascii="Calibri" w:hAnsi="Calibri"/>
          <w:b/>
          <w:sz w:val="23"/>
          <w:szCs w:val="23"/>
        </w:rPr>
        <w:t xml:space="preserve">SEGUNDA — CONTRAPRESTACIÓN Y PLAN FISCAL</w:t>
      </w:r>
    </w:p>
    <w:p>
      <w:pPr>
        <w:spacing w:before="0" w:after="120" w:line="276" w:lineRule="auto"/>
        <w:jc w:val="both"/>
      </w:pPr>
      <w:r>
        <w:rPr>
          <w:rFonts w:ascii="Calibri" w:hAnsi="Calibri"/>
          <w:sz w:val="22"/>
          <w:szCs w:val="22"/>
        </w:rPr>
        <w:t xml:space="preserve">2.1. El catálogo de planes vigentes, sus precios y timbres incluidos están publicados en la plataforma y forman parte integrante de este contrato.</w:t>
      </w:r>
    </w:p>
    <w:p>
      <w:pPr>
        <w:spacing w:before="0" w:after="120" w:line="276" w:lineRule="auto"/>
        <w:jc w:val="both"/>
      </w:pPr>
      <w:r>
        <w:rPr>
          <w:rFonts w:ascii="Calibri" w:hAnsi="Calibri"/>
          <w:sz w:val="22"/>
          <w:szCs w:val="22"/>
        </w:rPr>
        <w:t xml:space="preserve">2.2. La vigencia comercial inicia en la fecha de aceptación indicada arriba.</w:t>
      </w:r>
    </w:p>
    <w:p>
      <w:pPr>
        <w:spacing w:before="0" w:after="120" w:line="276" w:lineRule="auto"/>
        <w:jc w:val="both"/>
      </w:pPr>
      <w:r>
        <w:rPr>
          <w:rFonts w:ascii="Calibri" w:hAnsi="Calibri"/>
          <w:sz w:val="22"/>
          <w:szCs w:val="22"/>
        </w:rPr>
        <w:t xml:space="preserve">2.3. Primer periodo — proporcional. Cuando el alta ocurra a mitad de mes calendario: el primer mes se cobra proporcional por los días naturales que resten desde la fecha de alta hasta el último día del mes en curso. El corte se emite el último día natural del mes y se factura a EL CLIENTE. El mismo esquema aplica a los timbres: durante el primer mes EL CLIENTE puede consumir timbres libremente; el corte al final del mes factura los timbres efectivamente consumidos.</w:t>
      </w:r>
    </w:p>
    <w:p>
      <w:pPr>
        <w:spacing w:before="0" w:after="120" w:line="276" w:lineRule="auto"/>
        <w:jc w:val="both"/>
      </w:pPr>
      <w:r>
        <w:rPr>
          <w:rFonts w:ascii="Calibri" w:hAnsi="Calibri"/>
          <w:sz w:val="22"/>
          <w:szCs w:val="22"/>
        </w:rPr>
        <w:t xml:space="preserve">2.4. Periodos subsecuentes — cobro por adelantado. A partir del segundo mes, tanto la renta mensual del plan como los timbres incluidos en el plan se cobran por adelantado al inicio de cada mes calendario. El consumo de timbres por encima del plan se factura al corte del mes en curso.</w:t>
      </w:r>
    </w:p>
    <w:p>
      <w:pPr>
        <w:spacing w:before="0" w:after="120" w:line="276" w:lineRule="auto"/>
        <w:jc w:val="both"/>
      </w:pPr>
      <w:r>
        <w:rPr>
          <w:rFonts w:ascii="Calibri" w:hAnsi="Calibri"/>
          <w:sz w:val="22"/>
          <w:szCs w:val="22"/>
        </w:rPr>
        <w:t xml:space="preserve">2.5. HCGM emitirá el CFDI correspondiente a EL CLIENTE por los servicios prestados en los plazos que el SAT establezca.</w:t>
      </w:r>
    </w:p>
    <w:p>
      <w:pPr>
        <w:spacing w:before="0" w:after="120" w:line="276" w:lineRule="auto"/>
        <w:jc w:val="both"/>
      </w:pPr>
      <w:r>
        <w:rPr>
          <w:rFonts w:ascii="Calibri" w:hAnsi="Calibri"/>
          <w:sz w:val="22"/>
          <w:szCs w:val="22"/>
        </w:rPr>
        <w:t xml:space="preserve">2.6. Los precios publicados no incluyen IVA salvo indicación expresa. Todos los impuestos aplicables corren por cuenta de EL CLIENTE.</w:t>
      </w:r>
    </w:p>
    <w:p>
      <w:pPr>
        <w:spacing w:before="0" w:after="120" w:line="276" w:lineRule="auto"/>
        <w:jc w:val="both"/>
      </w:pPr>
      <w:r>
        <w:rPr>
          <w:rFonts w:ascii="Calibri" w:hAnsi="Calibri"/>
          <w:sz w:val="22"/>
          <w:szCs w:val="22"/>
        </w:rPr>
        <w:t xml:space="preserve">2.7. Mora. El impago mayor a quince (15) días naturales posteriores a la fecha de emisión de la factura de HCGM faculta a este último a suspender el Servicio de inmediato, sin necesidad de declaración judicial y previa notificación por correo electrónico. La reactivación queda sujeta al pago de lo adeudado.</w:t>
      </w:r>
    </w:p>
    <w:p>
      <w:pPr>
        <w:spacing w:before="0" w:after="120" w:line="276" w:lineRule="auto"/>
        <w:jc w:val="both"/>
      </w:pPr>
      <w:r>
        <w:rPr>
          <w:rFonts w:ascii="Calibri" w:hAnsi="Calibri"/>
          <w:sz w:val="22"/>
          <w:szCs w:val="22"/>
        </w:rPr>
        <w:t xml:space="preserve">2.8. Modificación de precios. HCGM podrá modificar precios notificando a EL CLIENTE por correo electrónico con treinta (30) días naturales de anticipación. Los cambios no aplican a periodos ya pagados por adelantado.</w:t>
      </w:r>
    </w:p>
    <w:p>
      <w:pPr>
        <w:spacing w:before="240" w:after="100" w:line="276" w:lineRule="auto"/>
        <w:keepNext/>
      </w:pPr>
      <w:r>
        <w:rPr>
          <w:rFonts w:ascii="Calibri" w:hAnsi="Calibri"/>
          <w:b/>
          <w:sz w:val="23"/>
          <w:szCs w:val="23"/>
        </w:rPr>
        <w:t xml:space="preserve">TERCERA — VIGENCIA Y TERMINACIÓN</w:t>
      </w:r>
    </w:p>
    <w:p>
      <w:pPr>
        <w:spacing w:before="0" w:after="120" w:line="276" w:lineRule="auto"/>
        <w:jc w:val="both"/>
      </w:pPr>
      <w:r>
        <w:rPr>
          <w:rFonts w:ascii="Calibri" w:hAnsi="Calibri"/>
          <w:sz w:val="22"/>
          <w:szCs w:val="22"/>
        </w:rPr>
        <w:t xml:space="preserve">3.1. El contrato entra en vigor al momento de la aceptación electrónica y permanece vigente mientras EL CLIENTE conserve cuenta activa.</w:t>
      </w:r>
    </w:p>
    <w:p>
      <w:pPr>
        <w:spacing w:before="0" w:after="120" w:line="276" w:lineRule="auto"/>
        <w:jc w:val="both"/>
      </w:pPr>
      <w:r>
        <w:rPr>
          <w:rFonts w:ascii="Calibri" w:hAnsi="Calibri"/>
          <w:sz w:val="22"/>
          <w:szCs w:val="22"/>
        </w:rPr>
        <w:t xml:space="preserve">3.2. Terminación por EL CLIENTE:</w:t>
      </w:r>
    </w:p>
    <w:p>
      <w:pPr>
        <w:spacing w:before="0" w:after="120" w:line="276" w:lineRule="auto"/>
        <w:ind w:left="230"/>
        <w:jc w:val="both"/>
      </w:pPr>
      <w:r>
        <w:rPr>
          <w:rFonts w:ascii="Calibri" w:hAnsi="Calibri"/>
          <w:sz w:val="22"/>
          <w:szCs w:val="22"/>
        </w:rPr>
        <w:t xml:space="preserve">a) EL CLIENTE puede cancelar en cualquier momento notificando por escrito a HCGM o desde la plataforma, con al menos quince (15) días naturales de anticipación al final del mes de facturación en curso.</w:t>
      </w:r>
    </w:p>
    <w:p>
      <w:pPr>
        <w:spacing w:before="0" w:after="120" w:line="276" w:lineRule="auto"/>
        <w:ind w:left="230"/>
        <w:jc w:val="both"/>
      </w:pPr>
      <w:r>
        <w:rPr>
          <w:rFonts w:ascii="Calibri" w:hAnsi="Calibri"/>
          <w:sz w:val="22"/>
          <w:szCs w:val="22"/>
        </w:rPr>
        <w:t xml:space="preserve">b) Alternativamente, EL CLIENTE puede optar por no renovar y agotar los timbres pendientes: mantendrá acceso hasta que consuma los timbres del plan o hasta el término del mes ya pagado, lo que ocurra primero.</w:t>
      </w:r>
    </w:p>
    <w:p>
      <w:pPr>
        <w:spacing w:before="0" w:after="120" w:line="276" w:lineRule="auto"/>
        <w:jc w:val="both"/>
      </w:pPr>
      <w:r>
        <w:rPr>
          <w:rFonts w:ascii="Calibri" w:hAnsi="Calibri"/>
          <w:sz w:val="22"/>
          <w:szCs w:val="22"/>
        </w:rPr>
        <w:t xml:space="preserve">3.3. Los timbres NO son reembolsables, en ningún caso, ni siquiera por terminación anticipada. Los pagos mensuales anticipados tampoco se reembolsan por terminación voluntaria de EL CLIENTE.</w:t>
      </w:r>
    </w:p>
    <w:p>
      <w:pPr>
        <w:spacing w:before="0" w:after="120" w:line="276" w:lineRule="auto"/>
        <w:jc w:val="both"/>
      </w:pPr>
      <w:r>
        <w:rPr>
          <w:rFonts w:ascii="Calibri" w:hAnsi="Calibri"/>
          <w:sz w:val="22"/>
          <w:szCs w:val="22"/>
        </w:rPr>
        <w:t xml:space="preserve">3.4. Terminación por HCGM. Previo aviso con treinta (30) días naturales, salvo casos de incumplimiento grave de EL CLIENTE (fraude fiscal, impago mayor a 15 días, actividad ilícita), donde la terminación es inmediata.</w:t>
      </w:r>
    </w:p>
    <w:p>
      <w:pPr>
        <w:spacing w:before="0" w:after="120" w:line="276" w:lineRule="auto"/>
        <w:jc w:val="both"/>
      </w:pPr>
      <w:r>
        <w:rPr>
          <w:rFonts w:ascii="Calibri" w:hAnsi="Calibri"/>
          <w:sz w:val="22"/>
          <w:szCs w:val="22"/>
        </w:rPr>
        <w:t xml:space="preserve">3.5. Portabilidad de datos. Al terminar, EL CLIENTE conserva el derecho de descargar sus datos (CFDI, XMLs, PDFs, catálogos) por noventa (90) días naturales posteriores a la terminación. Pasado ese plazo, HCGM podrá eliminarlos definitivamente.</w:t>
      </w:r>
    </w:p>
    <w:p>
      <w:pPr>
        <w:spacing w:before="0" w:after="120" w:line="276" w:lineRule="auto"/>
        <w:jc w:val="both"/>
      </w:pPr>
      <w:r>
        <w:rPr>
          <w:rFonts w:ascii="Calibri" w:hAnsi="Calibri"/>
          <w:sz w:val="22"/>
          <w:szCs w:val="22"/>
        </w:rPr>
        <w:t xml:space="preserve">3.6. Obligación fiscal post-terminación. La obligación de conservar los CFDI por cinco (5) años ante el SAT (artículo 30 del Código Fiscal de la Federación) permanece con EL CLIENTE.</w:t>
      </w:r>
    </w:p>
    <w:p>
      <w:pPr>
        <w:spacing w:before="240" w:after="100" w:line="276" w:lineRule="auto"/>
        <w:keepNext/>
      </w:pPr>
      <w:r>
        <w:rPr>
          <w:rFonts w:ascii="Calibri" w:hAnsi="Calibri"/>
          <w:b/>
          <w:sz w:val="23"/>
          <w:szCs w:val="23"/>
        </w:rPr>
        <w:t xml:space="preserve">CUARTA — OBLIGACIONES DE EL CLIENTE</w:t>
      </w:r>
    </w:p>
    <w:p>
      <w:pPr>
        <w:spacing w:before="0" w:after="120" w:line="276" w:lineRule="auto"/>
        <w:jc w:val="both"/>
      </w:pPr>
      <w:r>
        <w:rPr>
          <w:rFonts w:ascii="Calibri" w:hAnsi="Calibri"/>
          <w:sz w:val="22"/>
          <w:szCs w:val="22"/>
        </w:rPr>
        <w:t xml:space="preserve">4.1. Custodia y confidencialidad de sus credenciales de acceso.</w:t>
      </w:r>
    </w:p>
    <w:p>
      <w:pPr>
        <w:spacing w:before="0" w:after="120" w:line="276" w:lineRule="auto"/>
        <w:jc w:val="both"/>
      </w:pPr>
      <w:r>
        <w:rPr>
          <w:rFonts w:ascii="Calibri" w:hAnsi="Calibri"/>
          <w:sz w:val="22"/>
          <w:szCs w:val="22"/>
        </w:rPr>
        <w:t xml:space="preserve">4.2. Actos realizados desde su cuenta, aun por terceros con acceso autorizado por él.</w:t>
      </w:r>
    </w:p>
    <w:p>
      <w:pPr>
        <w:spacing w:before="0" w:after="120" w:line="276" w:lineRule="auto"/>
        <w:jc w:val="both"/>
      </w:pPr>
      <w:r>
        <w:rPr>
          <w:rFonts w:ascii="Calibri" w:hAnsi="Calibri"/>
          <w:sz w:val="22"/>
          <w:szCs w:val="22"/>
        </w:rPr>
        <w:t xml:space="preserve">4.3. Veracidad y actualización de los datos capturados.</w:t>
      </w:r>
    </w:p>
    <w:p>
      <w:pPr>
        <w:spacing w:before="0" w:after="120" w:line="276" w:lineRule="auto"/>
        <w:jc w:val="both"/>
      </w:pPr>
      <w:r>
        <w:rPr>
          <w:rFonts w:ascii="Calibri" w:hAnsi="Calibri"/>
          <w:sz w:val="22"/>
          <w:szCs w:val="22"/>
        </w:rPr>
        <w:t xml:space="preserve">4.4. Cargar y mantener actualizado su Certificado de Sello Digital (CSD), su llave privada y su contraseña. El CSD es propiedad exclusiva de EL CLIENTE. HCGM almacena estos elementos cifrados exclusivamente para sellar los CFDI de EL CLIENTE, sin facultades para emitir CFDI fuera de sus instrucciones ni para transferir el CSD a terceros.</w:t>
      </w:r>
    </w:p>
    <w:p>
      <w:pPr>
        <w:spacing w:before="0" w:after="120" w:line="276" w:lineRule="auto"/>
        <w:jc w:val="both"/>
      </w:pPr>
      <w:r>
        <w:rPr>
          <w:rFonts w:ascii="Calibri" w:hAnsi="Calibri"/>
          <w:sz w:val="22"/>
          <w:szCs w:val="22"/>
        </w:rPr>
        <w:t xml:space="preserve">4.5. Responsabilidad fiscal única ante el SAT por:</w:t>
      </w:r>
    </w:p>
    <w:p>
      <w:pPr>
        <w:spacing w:before="0" w:after="120" w:line="276" w:lineRule="auto"/>
        <w:ind w:left="230"/>
        <w:jc w:val="both"/>
      </w:pPr>
      <w:r>
        <w:rPr>
          <w:rFonts w:ascii="Calibri" w:hAnsi="Calibri"/>
          <w:sz w:val="22"/>
          <w:szCs w:val="22"/>
        </w:rPr>
        <w:t xml:space="preserve">a) Veracidad e integridad de los datos del CFDI (importes, conceptos, receptor, régimen, uso, complementos).</w:t>
      </w:r>
    </w:p>
    <w:p>
      <w:pPr>
        <w:spacing w:before="0" w:after="120" w:line="276" w:lineRule="auto"/>
        <w:ind w:left="230"/>
        <w:jc w:val="both"/>
      </w:pPr>
      <w:r>
        <w:rPr>
          <w:rFonts w:ascii="Calibri" w:hAnsi="Calibri"/>
          <w:sz w:val="22"/>
          <w:szCs w:val="22"/>
        </w:rPr>
        <w:t xml:space="preserve">b) Correcta aplicación de tasas, retenciones, forma y método de pago.</w:t>
      </w:r>
    </w:p>
    <w:p>
      <w:pPr>
        <w:spacing w:before="0" w:after="120" w:line="276" w:lineRule="auto"/>
        <w:ind w:left="230"/>
        <w:jc w:val="both"/>
      </w:pPr>
      <w:r>
        <w:rPr>
          <w:rFonts w:ascii="Calibri" w:hAnsi="Calibri"/>
          <w:sz w:val="22"/>
          <w:szCs w:val="22"/>
        </w:rPr>
        <w:t xml:space="preserve">c) Cancelación oportuna, sustitución y corrección de CFDI mal emitidos.</w:t>
      </w:r>
    </w:p>
    <w:p>
      <w:pPr>
        <w:spacing w:before="0" w:after="120" w:line="276" w:lineRule="auto"/>
        <w:ind w:left="230"/>
        <w:jc w:val="both"/>
      </w:pPr>
      <w:r>
        <w:rPr>
          <w:rFonts w:ascii="Calibri" w:hAnsi="Calibri"/>
          <w:sz w:val="22"/>
          <w:szCs w:val="22"/>
        </w:rPr>
        <w:t xml:space="preserve">d) Cumplimiento de obligaciones fiscales derivadas (declaraciones, pagos, contabilidad).</w:t>
      </w:r>
    </w:p>
    <w:p>
      <w:pPr>
        <w:spacing w:before="0" w:after="120" w:line="276" w:lineRule="auto"/>
        <w:ind w:left="230"/>
        <w:jc w:val="both"/>
      </w:pPr>
      <w:r>
        <w:rPr>
          <w:rFonts w:ascii="Calibri" w:hAnsi="Calibri"/>
          <w:sz w:val="22"/>
          <w:szCs w:val="22"/>
        </w:rPr>
        <w:t xml:space="preserve">e) Datos del Complemento Carta Porte 3.1 (ubicaciones, mercancías, autotransporte, figuras, distancias, permisos SCT).</w:t>
      </w:r>
    </w:p>
    <w:p>
      <w:pPr>
        <w:spacing w:before="0" w:after="120" w:line="276" w:lineRule="auto"/>
        <w:jc w:val="both"/>
      </w:pPr>
      <w:r>
        <w:rPr>
          <w:rFonts w:ascii="Calibri" w:hAnsi="Calibri"/>
          <w:sz w:val="22"/>
          <w:szCs w:val="22"/>
        </w:rPr>
        <w:t xml:space="preserve">4.6. HCGM no tiene facultades ni obligación de revisar, validar o corregir el contenido fiscal de los CFDI de EL CLIENTE más allá de las validaciones técnicas automatizadas (formato RFC, cruces contra catálogos SAT, XSD del complemento).</w:t>
      </w:r>
    </w:p>
    <w:p>
      <w:pPr>
        <w:spacing w:before="0" w:after="120" w:line="276" w:lineRule="auto"/>
        <w:jc w:val="both"/>
      </w:pPr>
      <w:r>
        <w:rPr>
          <w:rFonts w:ascii="Calibri" w:hAnsi="Calibri"/>
          <w:sz w:val="22"/>
          <w:szCs w:val="22"/>
        </w:rPr>
        <w:t xml:space="preserve">4.7. Uso permitido. EL CLIENTE se obliga a usar el Servicio conforme a la legislación mexicana aplicable, en particular la fiscal (CFF, LISR, LIVA y Anexo 20 del SAT). Queda prohibido:</w:t>
      </w:r>
    </w:p>
    <w:p>
      <w:pPr>
        <w:spacing w:before="0" w:after="120" w:line="276" w:lineRule="auto"/>
        <w:ind w:left="230"/>
        <w:jc w:val="both"/>
      </w:pPr>
      <w:r>
        <w:rPr>
          <w:rFonts w:ascii="Calibri" w:hAnsi="Calibri"/>
          <w:sz w:val="22"/>
          <w:szCs w:val="22"/>
        </w:rPr>
        <w:t xml:space="preserve">a) Emitir comprobantes falsos, apócrifos o que amparen operaciones inexistentes o simuladas.</w:t>
      </w:r>
    </w:p>
    <w:p>
      <w:pPr>
        <w:spacing w:before="0" w:after="120" w:line="276" w:lineRule="auto"/>
        <w:ind w:left="230"/>
        <w:jc w:val="both"/>
      </w:pPr>
      <w:r>
        <w:rPr>
          <w:rFonts w:ascii="Calibri" w:hAnsi="Calibri"/>
          <w:sz w:val="22"/>
          <w:szCs w:val="22"/>
        </w:rPr>
        <w:t xml:space="preserve">b) Reproducir, revender, sublicenciar, redistribuir u ofrecer el Servicio a terceros sin autorización escrita de HCGM.</w:t>
      </w:r>
    </w:p>
    <w:p>
      <w:pPr>
        <w:spacing w:before="0" w:after="120" w:line="276" w:lineRule="auto"/>
        <w:ind w:left="230"/>
        <w:jc w:val="both"/>
      </w:pPr>
      <w:r>
        <w:rPr>
          <w:rFonts w:ascii="Calibri" w:hAnsi="Calibri"/>
          <w:sz w:val="22"/>
          <w:szCs w:val="22"/>
        </w:rPr>
        <w:t xml:space="preserve">c) Realizar ingeniería inversa, decompilación o intento de acceso no autorizado.</w:t>
      </w:r>
    </w:p>
    <w:p>
      <w:pPr>
        <w:spacing w:before="0" w:after="120" w:line="276" w:lineRule="auto"/>
        <w:ind w:left="230"/>
        <w:jc w:val="both"/>
      </w:pPr>
      <w:r>
        <w:rPr>
          <w:rFonts w:ascii="Calibri" w:hAnsi="Calibri"/>
          <w:sz w:val="22"/>
          <w:szCs w:val="22"/>
        </w:rPr>
        <w:t xml:space="preserve">d) Usar bots, crawlers u otras técnicas automatizadas que degraden el Servicio.</w:t>
      </w:r>
    </w:p>
    <w:p>
      <w:pPr>
        <w:spacing w:before="0" w:after="120" w:line="276" w:lineRule="auto"/>
        <w:ind w:left="230"/>
        <w:jc w:val="both"/>
      </w:pPr>
      <w:r>
        <w:rPr>
          <w:rFonts w:ascii="Calibri" w:hAnsi="Calibri"/>
          <w:sz w:val="22"/>
          <w:szCs w:val="22"/>
        </w:rPr>
        <w:t xml:space="preserve">e) Emplear el Servicio para almacenar o transmitir contenido ilícito.</w:t>
      </w:r>
    </w:p>
    <w:p>
      <w:pPr>
        <w:spacing w:before="240" w:after="100" w:line="276" w:lineRule="auto"/>
        <w:keepNext/>
      </w:pPr>
      <w:r>
        <w:rPr>
          <w:rFonts w:ascii="Calibri" w:hAnsi="Calibri"/>
          <w:b/>
          <w:sz w:val="23"/>
          <w:szCs w:val="23"/>
        </w:rPr>
        <w:t xml:space="preserve">QUINTA — TRATAMIENTO DE DATOS Y CONFIDENCIALIDAD</w:t>
      </w:r>
    </w:p>
    <w:p>
      <w:pPr>
        <w:spacing w:before="0" w:after="120" w:line="276" w:lineRule="auto"/>
        <w:jc w:val="both"/>
      </w:pPr>
      <w:r>
        <w:rPr>
          <w:rFonts w:ascii="Calibri" w:hAnsi="Calibri"/>
          <w:sz w:val="22"/>
          <w:szCs w:val="22"/>
        </w:rPr>
        <w:t xml:space="preserve">5.1. El tratamiento de datos personales se rige por el Aviso de Privacidad Integral publicado por separado en la plataforma, elaborado conforme a la Ley Federal de Protección de Datos Personales en Posesión de los Particulares (LFPDPPP), su Reglamento y los Lineamientos aplicables. La aceptación del presente contrato implica el conocimiento y consentimiento de dicho Aviso.</w:t>
      </w:r>
    </w:p>
    <w:p>
      <w:pPr>
        <w:spacing w:before="0" w:after="120" w:line="276" w:lineRule="auto"/>
        <w:jc w:val="both"/>
      </w:pPr>
      <w:r>
        <w:rPr>
          <w:rFonts w:ascii="Calibri" w:hAnsi="Calibri"/>
          <w:sz w:val="22"/>
          <w:szCs w:val="22"/>
        </w:rPr>
        <w:t xml:space="preserve">5.2. Confidencialidad mutua. Las partes se obligan a mantener bajo estricta confidencialidad la información no pública a la que tengan acceso con motivo de este contrato, salvo información de dominio público, requerimiento legal de autoridad competente o consentimiento expreso de la contraparte. La obligación subsiste por cinco (5) años después de la terminación.</w:t>
      </w:r>
    </w:p>
    <w:p>
      <w:pPr>
        <w:spacing w:before="240" w:after="100" w:line="276" w:lineRule="auto"/>
        <w:keepNext/>
      </w:pPr>
      <w:r>
        <w:rPr>
          <w:rFonts w:ascii="Calibri" w:hAnsi="Calibri"/>
          <w:b/>
          <w:sz w:val="23"/>
          <w:szCs w:val="23"/>
        </w:rPr>
        <w:t xml:space="preserve">SEXTA — AUDITORÍA Y BITÁCORA DE USO</w:t>
      </w:r>
    </w:p>
    <w:p>
      <w:pPr>
        <w:spacing w:before="0" w:after="120" w:line="276" w:lineRule="auto"/>
        <w:jc w:val="both"/>
      </w:pPr>
      <w:r>
        <w:rPr>
          <w:rFonts w:ascii="Calibri" w:hAnsi="Calibri"/>
          <w:sz w:val="22"/>
          <w:szCs w:val="22"/>
        </w:rPr>
        <w:t xml:space="preserve">EL CLIENTE reconoce y acepta que el sistema registra la actividad realizada por cada uno de los usuarios que EL CLIENTE dé de alta, incluyendo la emisión, timbrado, cancelación y consulta de comprobantes, con fecha, hora y usuario que la ejecutó. Dicha bitácora tiene fines de auditoría, seguridad y cumplimiento fiscal, y su resguardo es obligación de HCGM conforme a la cláusula QUINTA.</w:t>
      </w:r>
    </w:p>
    <w:p>
      <w:pPr>
        <w:spacing w:before="0" w:after="120" w:line="276" w:lineRule="auto"/>
        <w:jc w:val="both"/>
      </w:pPr>
      <w:r>
        <w:rPr>
          <w:rFonts w:ascii="Calibri" w:hAnsi="Calibri"/>
          <w:sz w:val="22"/>
          <w:szCs w:val="22"/>
        </w:rPr>
        <w:t xml:space="preserve">EL CLIENTE, en su carácter de responsable de sus propios usuarios, podrá activar el envío de reportes periódicos de dicha bitácora al correo que designe. EL CLIENTE se obliga a informar a sus usuarios de esta circunstancia y a que dicho tratamiento cumpla la normatividad laboral y de datos personales que le resulte aplicable, liberando a HCGM de cualquier responsabilidad al respecto.</w:t>
      </w:r>
    </w:p>
    <w:p>
      <w:pPr>
        <w:spacing w:before="240" w:after="100" w:line="276" w:lineRule="auto"/>
        <w:keepNext/>
      </w:pPr>
      <w:r>
        <w:rPr>
          <w:rFonts w:ascii="Calibri" w:hAnsi="Calibri"/>
          <w:b/>
          <w:sz w:val="23"/>
          <w:szCs w:val="23"/>
        </w:rPr>
        <w:t xml:space="preserve">SÉPTIMA — DISPONIBILIDAD Y LIMITACIÓN DE RESPONSABILIDAD</w:t>
      </w:r>
    </w:p>
    <w:p>
      <w:pPr>
        <w:spacing w:before="0" w:after="120" w:line="276" w:lineRule="auto"/>
        <w:jc w:val="both"/>
      </w:pPr>
      <w:r>
        <w:rPr>
          <w:rFonts w:ascii="Calibri" w:hAnsi="Calibri"/>
          <w:sz w:val="22"/>
          <w:szCs w:val="22"/>
        </w:rPr>
        <w:t xml:space="preserve">7.1. HCGM proporciona el Servicio "tal cual" y "según disponibilidad", sin garantías implícitas de comerciabilidad o idoneidad para un propósito particular más allá de las que la ley imponga imperativamente.</w:t>
      </w:r>
    </w:p>
    <w:p>
      <w:pPr>
        <w:spacing w:before="0" w:after="120" w:line="276" w:lineRule="auto"/>
        <w:jc w:val="both"/>
      </w:pPr>
      <w:r>
        <w:rPr>
          <w:rFonts w:ascii="Calibri" w:hAnsi="Calibri"/>
          <w:sz w:val="22"/>
          <w:szCs w:val="22"/>
        </w:rPr>
        <w:t xml:space="preserve">7.2. HCGM realiza esfuerzos razonables para mantener el Servicio disponible 7 × 24, sin garantizar disponibilidad ininterrumpida. El Servicio puede sufrir interrupciones por mantenimiento programado, actualizaciones, causa fortuita o fuerza mayor, indisponibilidad de servicios de terceros (SAT, PAC, proveedor de hosting) o incidentes de seguridad.</w:t>
      </w:r>
    </w:p>
    <w:p>
      <w:pPr>
        <w:spacing w:before="0" w:after="120" w:line="276" w:lineRule="auto"/>
        <w:jc w:val="both"/>
      </w:pPr>
      <w:r>
        <w:rPr>
          <w:rFonts w:ascii="Calibri" w:hAnsi="Calibri"/>
          <w:sz w:val="22"/>
          <w:szCs w:val="22"/>
        </w:rPr>
        <w:t xml:space="preserve">7.3. El timbrado depende de un Proveedor Autorizado de Certificación (PAC) y de la disponibilidad de los servicios del SAT, ajenos al control de HCGM. Éste último no asume responsabilidad por indisponibilidad de dichos terceros; reintentará conforme sus rutinas técnicas y notificará a EL CLIENTE cuando corresponda.</w:t>
      </w:r>
    </w:p>
    <w:p>
      <w:pPr>
        <w:spacing w:before="0" w:after="120" w:line="276" w:lineRule="auto"/>
        <w:jc w:val="both"/>
      </w:pPr>
      <w:r>
        <w:rPr>
          <w:rFonts w:ascii="Calibri" w:hAnsi="Calibri"/>
          <w:sz w:val="22"/>
          <w:szCs w:val="22"/>
        </w:rPr>
        <w:t xml:space="preserve">7.4. En ningún caso HCGM será responsable por:</w:t>
      </w:r>
    </w:p>
    <w:p>
      <w:pPr>
        <w:spacing w:before="0" w:after="120" w:line="276" w:lineRule="auto"/>
        <w:ind w:left="230"/>
        <w:jc w:val="both"/>
      </w:pPr>
      <w:r>
        <w:rPr>
          <w:rFonts w:ascii="Calibri" w:hAnsi="Calibri"/>
          <w:sz w:val="22"/>
          <w:szCs w:val="22"/>
        </w:rPr>
        <w:t xml:space="preserve">a) Multas, recargos o sanciones fiscales impuestas a EL CLIENTE por el SAT o cualquier autoridad, derivadas de la operación de EL CLIENTE o de la información que este capture.</w:t>
      </w:r>
    </w:p>
    <w:p>
      <w:pPr>
        <w:spacing w:before="0" w:after="120" w:line="276" w:lineRule="auto"/>
        <w:ind w:left="230"/>
        <w:jc w:val="both"/>
      </w:pPr>
      <w:r>
        <w:rPr>
          <w:rFonts w:ascii="Calibri" w:hAnsi="Calibri"/>
          <w:sz w:val="22"/>
          <w:szCs w:val="22"/>
        </w:rPr>
        <w:t xml:space="preserve">b) Daños indirectos, incidentales, consecuenciales, lucro cesante o pérdida de oportunidad.</w:t>
      </w:r>
    </w:p>
    <w:p>
      <w:pPr>
        <w:spacing w:before="0" w:after="120" w:line="276" w:lineRule="auto"/>
        <w:ind w:left="230"/>
        <w:jc w:val="both"/>
      </w:pPr>
      <w:r>
        <w:rPr>
          <w:rFonts w:ascii="Calibri" w:hAnsi="Calibri"/>
          <w:sz w:val="22"/>
          <w:szCs w:val="22"/>
        </w:rPr>
        <w:t xml:space="preserve">c) Interrupciones causadas por el SAT, el PAC, el proveedor de hosting, servicios de red, actos de gobierno o cualquier tercero.</w:t>
      </w:r>
    </w:p>
    <w:p>
      <w:pPr>
        <w:spacing w:before="0" w:after="120" w:line="276" w:lineRule="auto"/>
        <w:ind w:left="230"/>
        <w:jc w:val="both"/>
      </w:pPr>
      <w:r>
        <w:rPr>
          <w:rFonts w:ascii="Calibri" w:hAnsi="Calibri"/>
          <w:sz w:val="22"/>
          <w:szCs w:val="22"/>
        </w:rPr>
        <w:t xml:space="preserve">d) Uso indebido del Servicio por EL CLIENTE o sus usuarios.</w:t>
      </w:r>
    </w:p>
    <w:p>
      <w:pPr>
        <w:spacing w:before="0" w:after="120" w:line="276" w:lineRule="auto"/>
        <w:ind w:left="230"/>
        <w:jc w:val="both"/>
      </w:pPr>
      <w:r>
        <w:rPr>
          <w:rFonts w:ascii="Calibri" w:hAnsi="Calibri"/>
          <w:sz w:val="22"/>
          <w:szCs w:val="22"/>
        </w:rPr>
        <w:t xml:space="preserve">e) Pérdida de datos por eliminación intencional de EL CLIENTE o por vulneración de sus credenciales.</w:t>
      </w:r>
    </w:p>
    <w:p>
      <w:pPr>
        <w:spacing w:before="0" w:after="120" w:line="276" w:lineRule="auto"/>
        <w:jc w:val="both"/>
      </w:pPr>
      <w:r>
        <w:rPr>
          <w:rFonts w:ascii="Calibri" w:hAnsi="Calibri"/>
          <w:sz w:val="22"/>
          <w:szCs w:val="22"/>
        </w:rPr>
        <w:t xml:space="preserve">7.5. Tope de responsabilidad. En cualquier caso en que HCGM resultare responsable, el monto máximo de indemnización se limita al importe efectivamente pagado por EL CLIENTE a HCGM durante los doce (12) meses inmediatos anteriores al hecho generador.</w:t>
      </w:r>
    </w:p>
    <w:p>
      <w:pPr>
        <w:spacing w:before="0" w:after="120" w:line="276" w:lineRule="auto"/>
        <w:jc w:val="both"/>
      </w:pPr>
      <w:r>
        <w:rPr>
          <w:rFonts w:ascii="Calibri" w:hAnsi="Calibri"/>
          <w:sz w:val="22"/>
          <w:szCs w:val="22"/>
        </w:rPr>
        <w:t xml:space="preserve">7.6. Las limitaciones anteriores no aplican en caso de dolo o culpa grave de HCGM debidamente acreditados en sentencia firme.</w:t>
      </w:r>
    </w:p>
    <w:p>
      <w:pPr>
        <w:spacing w:before="0" w:after="120" w:line="276" w:lineRule="auto"/>
        <w:jc w:val="both"/>
      </w:pPr>
      <w:r>
        <w:rPr>
          <w:rFonts w:ascii="Calibri" w:hAnsi="Calibri"/>
          <w:sz w:val="22"/>
          <w:szCs w:val="22"/>
        </w:rPr>
        <w:t xml:space="preserve">7.7. Fuerza mayor. Ninguna parte será responsable por incumplimiento derivado de caso fortuito o fuerza mayor: fallas de infraestructura pública, indisponibilidad del SAT o del PAC, catástrofes naturales, guerra, actos de gobierno, pandemias o cualquier evento fuera de su control razonable.</w:t>
      </w:r>
    </w:p>
    <w:p>
      <w:pPr>
        <w:spacing w:before="240" w:after="100" w:line="276" w:lineRule="auto"/>
        <w:keepNext/>
      </w:pPr>
      <w:r>
        <w:rPr>
          <w:rFonts w:ascii="Calibri" w:hAnsi="Calibri"/>
          <w:b/>
          <w:sz w:val="23"/>
          <w:szCs w:val="23"/>
        </w:rPr>
        <w:t xml:space="preserve">OCTAVA — PROPIEDAD INTELECTUAL</w:t>
      </w:r>
    </w:p>
    <w:p>
      <w:pPr>
        <w:spacing w:before="0" w:after="120" w:line="276" w:lineRule="auto"/>
        <w:jc w:val="both"/>
      </w:pPr>
      <w:r>
        <w:rPr>
          <w:rFonts w:ascii="Calibri" w:hAnsi="Calibri"/>
          <w:sz w:val="22"/>
          <w:szCs w:val="22"/>
        </w:rPr>
        <w:t xml:space="preserve">8.1. El software, diseño, código, marcas, logotipos y documentación del Servicio son propiedad exclusiva de HCGM o de sus licenciantes.</w:t>
      </w:r>
    </w:p>
    <w:p>
      <w:pPr>
        <w:spacing w:before="0" w:after="120" w:line="276" w:lineRule="auto"/>
        <w:jc w:val="both"/>
      </w:pPr>
      <w:r>
        <w:rPr>
          <w:rFonts w:ascii="Calibri" w:hAnsi="Calibri"/>
          <w:sz w:val="22"/>
          <w:szCs w:val="22"/>
        </w:rPr>
        <w:t xml:space="preserve">8.2. HCGM otorga a EL CLIENTE una licencia no exclusiva, no transferible y revocable de uso del Servicio, limitada a la vigencia del contrato y a los usuarios y volúmenes contratados.</w:t>
      </w:r>
    </w:p>
    <w:p>
      <w:pPr>
        <w:spacing w:before="0" w:after="120" w:line="276" w:lineRule="auto"/>
        <w:jc w:val="both"/>
      </w:pPr>
      <w:r>
        <w:rPr>
          <w:rFonts w:ascii="Calibri" w:hAnsi="Calibri"/>
          <w:sz w:val="22"/>
          <w:szCs w:val="22"/>
        </w:rPr>
        <w:t xml:space="preserve">8.3. Los datos fiscales y operativos de EL CLIENTE son propiedad de EL CLIENTE. HCGM los custodia como encargado y EL CLIENTE podrá exportarlos en cualquier momento desde la plataforma o solicitarlos por escrito a HCGM.</w:t>
      </w:r>
    </w:p>
    <w:p>
      <w:pPr>
        <w:spacing w:before="240" w:after="100" w:line="276" w:lineRule="auto"/>
        <w:keepNext/>
      </w:pPr>
      <w:r>
        <w:rPr>
          <w:rFonts w:ascii="Calibri" w:hAnsi="Calibri"/>
          <w:b/>
          <w:sz w:val="23"/>
          <w:szCs w:val="23"/>
        </w:rPr>
        <w:t xml:space="preserve">NOVENA — MODIFICACIONES</w:t>
      </w:r>
    </w:p>
    <w:p>
      <w:pPr>
        <w:spacing w:before="0" w:after="120" w:line="276" w:lineRule="auto"/>
        <w:jc w:val="both"/>
      </w:pPr>
      <w:r>
        <w:rPr>
          <w:rFonts w:ascii="Calibri" w:hAnsi="Calibri"/>
          <w:sz w:val="22"/>
          <w:szCs w:val="22"/>
        </w:rPr>
        <w:t xml:space="preserve">HCGM podrá modificar estos Términos notificando a EL CLIENTE por correo electrónico y mediante aviso destacado en la plataforma, con al menos quince (15) días naturales de anticipación. El uso continuado del Servicio después de la fecha de vigencia constituye aceptación. Si EL CLIENTE no está de acuerdo, podrá terminar conforme a la cláusula TERCERA. Cada versión queda archivada por HCGM con su número y fecha.</w:t>
      </w:r>
    </w:p>
    <w:p>
      <w:pPr>
        <w:spacing w:before="240" w:after="100" w:line="276" w:lineRule="auto"/>
        <w:keepNext/>
      </w:pPr>
      <w:r>
        <w:rPr>
          <w:rFonts w:ascii="Calibri" w:hAnsi="Calibri"/>
          <w:b/>
          <w:sz w:val="23"/>
          <w:szCs w:val="23"/>
        </w:rPr>
        <w:t xml:space="preserve">DÉCIMA — LEY APLICABLE Y JURISDICCIÓN</w:t>
      </w:r>
    </w:p>
    <w:p>
      <w:pPr>
        <w:spacing w:before="0" w:after="120" w:line="276" w:lineRule="auto"/>
        <w:jc w:val="both"/>
      </w:pPr>
      <w:r>
        <w:rPr>
          <w:rFonts w:ascii="Calibri" w:hAnsi="Calibri"/>
          <w:sz w:val="22"/>
          <w:szCs w:val="22"/>
        </w:rPr>
        <w:t xml:space="preserve">Este contrato se rige por las leyes federales de los Estados Unidos Mexicanos.</w:t>
      </w:r>
    </w:p>
    <w:p>
      <w:pPr>
        <w:spacing w:before="0" w:after="120" w:line="276" w:lineRule="auto"/>
        <w:jc w:val="both"/>
      </w:pPr>
      <w:r>
        <w:rPr>
          <w:rFonts w:ascii="Calibri" w:hAnsi="Calibri"/>
          <w:sz w:val="22"/>
          <w:szCs w:val="22"/>
        </w:rPr>
        <w:t xml:space="preserve">Para toda interpretación, cumplimiento y ejecución, las partes se someten expresamente a la jurisdicción de los tribunales competentes en el Estado de Aguascalientes, Aguascalientes, México, renunciando a cualquier otro fuero que por razón de su domicilio presente o futuro pudiera corresponderles.</w:t>
      </w:r>
    </w:p>
    <w:p>
      <w:pPr>
        <w:spacing w:before="80" w:after="160"/>
        <w:pBdr>
          <w:bottom w:val="single" w:sz="6" w:space="1" w:color="9AA0A6"/>
        </w:pBdr>
      </w:pPr>
    </w:p>
    <w:p>
      <w:pPr>
        <w:spacing w:before="240" w:after="100" w:line="276" w:lineRule="auto"/>
        <w:keepNext/>
      </w:pPr>
      <w:r>
        <w:rPr>
          <w:rFonts w:ascii="Calibri" w:hAnsi="Calibri"/>
          <w:b/>
          <w:sz w:val="23"/>
          <w:szCs w:val="23"/>
        </w:rPr>
        <w:t xml:space="preserve">ACEPTACIÓN</w:t>
      </w:r>
    </w:p>
    <w:p>
      <w:pPr>
        <w:spacing w:before="0" w:after="120" w:line="276" w:lineRule="auto"/>
        <w:jc w:val="both"/>
      </w:pPr>
      <w:r>
        <w:rPr>
          <w:rFonts w:ascii="Calibri" w:hAnsi="Calibri"/>
          <w:sz w:val="22"/>
          <w:szCs w:val="22"/>
        </w:rPr>
        <w:t xml:space="preserve">EL CLIENTE manifiesta que leyó y acepta el presente contrato y los Términos y Condiciones en su versión 2026-07-29.1, y lo firma con la Firma Electrónica Avanzada (e.firma) del contribuyente [RFC DEL CLIENTE], con los efectos jurídicos que le reconocen el Código de Comercio y el Código Fiscal de la Federación.</w:t>
      </w:r>
    </w:p>
    <w:p>
      <w:pPr>
        <w:spacing w:before="0" w:after="120" w:line="276" w:lineRule="auto"/>
        <w:jc w:val="both"/>
      </w:pPr>
      <w:r>
        <w:rPr>
          <w:rFonts w:ascii="Calibri" w:hAnsi="Calibri"/>
          <w:sz w:val="22"/>
          <w:szCs w:val="22"/>
        </w:rPr>
        <w:t xml:space="preserve">La firma se realiza sobre el texto íntegro de este documento. Cualquier alteración posterior invalida la firma.</w:t>
      </w:r>
    </w:p>
    <w:p>
      <w:pPr>
        <w:spacing w:before="80" w:after="160"/>
        <w:pBdr>
          <w:bottom w:val="double" w:sz="6" w:space="1" w:color="9AA0A6"/>
        </w:pBdr>
      </w:pPr>
    </w:p>
    <w:p>
      <w:pPr>
        <w:spacing w:before="60" w:after="140" w:line="276" w:lineRule="auto"/>
        <w:jc w:val="center"/>
        <w:keepNext/>
      </w:pPr>
      <w:r>
        <w:rPr>
          <w:rFonts w:ascii="Calibri" w:hAnsi="Calibri"/>
          <w:b/>
          <w:sz w:val="26"/>
          <w:szCs w:val="26"/>
        </w:rPr>
        <w:t xml:space="preserve">MANIFIESTO PARA EL SERVICIO DE TIMBRADO DE DOCUMENTOS</w:t>
      </w:r>
    </w:p>
    <w:p>
      <w:pPr>
        <w:spacing w:before="0" w:after="120" w:line="276" w:lineRule="auto"/>
        <w:jc w:val="center"/>
      </w:pPr>
      <w:r>
        <w:rPr>
          <w:rFonts w:ascii="Calibri" w:hAnsi="Calibri"/>
          <w:sz w:val="22"/>
          <w:szCs w:val="22"/>
        </w:rPr>
        <w:t xml:space="preserve">Versión: 2</w:t>
      </w:r>
    </w:p>
    <w:p>
      <w:pPr>
        <w:spacing w:before="240" w:after="100" w:line="276" w:lineRule="auto"/>
        <w:keepNext/>
      </w:pPr>
      <w:r>
        <w:rPr>
          <w:rFonts w:ascii="Calibri" w:hAnsi="Calibri"/>
          <w:b/>
          <w:sz w:val="23"/>
          <w:szCs w:val="23"/>
        </w:rPr>
        <w:t xml:space="preserve">AUTORIZACIÓN Y MANIFESTACIÓN DE CONOCIMIENTO A PRODIGIA PROCESOS DIGITALES ADMINISTRATIVOS, S.A. DE C.V.</w:t>
      </w:r>
    </w:p>
    <w:p>
      <w:pPr>
        <w:spacing w:before="0" w:after="120" w:line="276" w:lineRule="auto"/>
        <w:jc w:val="both"/>
      </w:pPr>
      <w:r>
        <w:rPr>
          <w:rFonts w:ascii="Calibri" w:hAnsi="Calibri"/>
          <w:sz w:val="22"/>
          <w:szCs w:val="22"/>
        </w:rPr>
        <w:t xml:space="preserve">El Contribuyente [NOMBRE O RAZÓN SOCIAL DEL CLIENTE], con clave de RFC [RFC DEL CLIENTE], otorga la presente autorización a favor de PRODIGIA PROCESOS DIGITALES ADMINISTRATIVOS, SA DE CV, proveedor de Certificación de Comprobantes Fiscales Digitales a través de Internet (CFDI) autorizado por el SAT en su resolución número 600-04-03-2013-09763 de fecha 19 de Febrero de 2013, para que le preste el servicio de Certificación de CFDI de conformidad a las siguientes:</w:t>
      </w:r>
    </w:p>
    <w:p>
      <w:pPr>
        <w:spacing w:before="240" w:after="100" w:line="276" w:lineRule="auto"/>
        <w:keepNext/>
      </w:pPr>
      <w:r>
        <w:rPr>
          <w:rFonts w:ascii="Calibri" w:hAnsi="Calibri"/>
          <w:b/>
          <w:sz w:val="23"/>
          <w:szCs w:val="23"/>
        </w:rPr>
        <w:t xml:space="preserve">CLÁUSULAS</w:t>
      </w:r>
    </w:p>
    <w:p>
      <w:pPr>
        <w:spacing w:before="0" w:after="120" w:line="276" w:lineRule="auto"/>
        <w:jc w:val="both"/>
      </w:pPr>
      <w:r>
        <w:rPr>
          <w:rFonts w:ascii="Calibri" w:hAnsi="Calibri"/>
          <w:sz w:val="22"/>
          <w:szCs w:val="22"/>
        </w:rPr>
        <w:t xml:space="preserve">PRIMERA. El servicio de Certificación de CFDI que proveerá PRODIGIA PROCESOS DIGITALES ADMINISTRATIVOS, SA DE CV de acuerdo a lo dispuesta en el primer párrafo de la regla 2.7.2.5, consiste en:</w:t>
      </w:r>
    </w:p>
    <w:p>
      <w:pPr>
        <w:spacing w:before="0" w:after="120" w:line="276" w:lineRule="auto"/>
        <w:jc w:val="both"/>
      </w:pPr>
      <w:r>
        <w:rPr>
          <w:rFonts w:ascii="Calibri" w:hAnsi="Calibri"/>
          <w:sz w:val="22"/>
          <w:szCs w:val="22"/>
        </w:rPr>
        <w:t xml:space="preserve">I. Validen el cumplimiento de los requisitos establecidos en el artículo 29-A de este Código, los establecidos en los complementos de los comprobantes fiscales digitales por Internet, así como las especificaciones en materia de informática y demás documentos que determine el Servicio de Administración Tributaria mediante reglas de carácter general.</w:t>
      </w:r>
    </w:p>
    <w:p>
      <w:pPr>
        <w:spacing w:before="0" w:after="120" w:line="276" w:lineRule="auto"/>
        <w:jc w:val="both"/>
      </w:pPr>
      <w:r>
        <w:rPr>
          <w:rFonts w:ascii="Calibri" w:hAnsi="Calibri"/>
          <w:sz w:val="22"/>
          <w:szCs w:val="22"/>
        </w:rPr>
        <w:t xml:space="preserve">II. Asignen el folio del comprobante fiscal digital por Internet.</w:t>
      </w:r>
    </w:p>
    <w:p>
      <w:pPr>
        <w:spacing w:before="0" w:after="120" w:line="276" w:lineRule="auto"/>
        <w:jc w:val="both"/>
      </w:pPr>
      <w:r>
        <w:rPr>
          <w:rFonts w:ascii="Calibri" w:hAnsi="Calibri"/>
          <w:sz w:val="22"/>
          <w:szCs w:val="22"/>
        </w:rPr>
        <w:t xml:space="preserve">III. Incorporen el sello digital del Servicio de Administración Tributaria.</w:t>
      </w:r>
    </w:p>
    <w:p>
      <w:pPr>
        <w:spacing w:before="0" w:after="120" w:line="276" w:lineRule="auto"/>
        <w:jc w:val="both"/>
      </w:pPr>
      <w:r>
        <w:rPr>
          <w:rFonts w:ascii="Calibri" w:hAnsi="Calibri"/>
          <w:sz w:val="22"/>
          <w:szCs w:val="22"/>
        </w:rPr>
        <w:t xml:space="preserve">SEGUNDA. El servicio de Certificación de CFDI es prestado directamente por PRODIGIA PROCESOS DIGITALES ADMINISTRATIVOS, SA DE CV.</w:t>
      </w:r>
    </w:p>
    <w:p>
      <w:pPr>
        <w:spacing w:before="0" w:after="120" w:line="276" w:lineRule="auto"/>
        <w:jc w:val="both"/>
      </w:pPr>
      <w:r>
        <w:rPr>
          <w:rFonts w:ascii="Calibri" w:hAnsi="Calibri"/>
          <w:sz w:val="22"/>
          <w:szCs w:val="22"/>
        </w:rPr>
        <w:t xml:space="preserve">TERCERA. De acuerdo a lo dispuesto en el segundo párrafo de la regla 2.7.2.7 de la Resolución Miscelánea Fiscal vigente y en la regla 2.7.2.5 en el inciso II, el contribuyente manifiesta su conocimiento y presta su autorización para que PRODIGIA PROCESOS DIGITALES ADMINISTRATIVOS, SA DE CV entregue al SAT copia de los comprobantes que le haya certificado.</w:t>
      </w:r>
    </w:p>
    <w:p>
      <w:pPr>
        <w:spacing w:before="0" w:after="120" w:line="276" w:lineRule="auto"/>
        <w:jc w:val="both"/>
      </w:pPr>
      <w:r>
        <w:rPr>
          <w:rFonts w:ascii="Calibri" w:hAnsi="Calibri"/>
          <w:sz w:val="22"/>
          <w:szCs w:val="22"/>
        </w:rPr>
        <w:t xml:space="preserve">CUARTA. Esta autorización es válida únicamente para el contribuyente especificado en este documento.</w:t>
      </w:r>
    </w:p>
    <w:p>
      <w:pPr>
        <w:spacing w:before="0" w:after="120" w:line="276" w:lineRule="auto"/>
        <w:jc w:val="both"/>
      </w:pPr>
      <w:r>
        <w:rPr>
          <w:rFonts w:ascii="Calibri" w:hAnsi="Calibri"/>
          <w:sz w:val="22"/>
          <w:szCs w:val="22"/>
        </w:rPr>
        <w:t xml:space="preserve">De conformidad con lo anterior se firma este documento el día _______________________</w:t>
      </w:r>
    </w:p>
    <w:p>
      <w:pPr>
        <w:spacing w:before="0" w:after="120" w:line="276" w:lineRule="auto"/>
        <w:jc w:val="both"/>
      </w:pPr>
      <w:r>
        <w:rPr>
          <w:rFonts w:ascii="Calibri" w:hAnsi="Calibri"/>
          <w:sz w:val="22"/>
          <w:szCs w:val="22"/>
        </w:rPr>
        <w:t xml:space="preserve">Nombre del contribuyente: [NOMBRE O RAZÓN SOCIAL DEL CLIENTE]</w:t>
      </w:r>
    </w:p>
    <w:p>
      <w:pPr>
        <w:spacing w:before="0" w:after="120" w:line="276" w:lineRule="auto"/>
        <w:jc w:val="both"/>
      </w:pPr>
      <w:r>
        <w:rPr>
          <w:rFonts w:ascii="Calibri" w:hAnsi="Calibri"/>
          <w:sz w:val="22"/>
          <w:szCs w:val="22"/>
        </w:rPr>
        <w:t xml:space="preserve">RFC del contribuyente: [RFC DEL CLIENTE]</w:t>
      </w:r>
    </w:p>
    <w:sectPr>
      <w:pgSz w:w="12240" w:h="15840"/>
      <w:pgMar w:top="1440" w:right="1440" w:bottom="1440" w:left="1440" w:header="720" w:footer="720" w:gutter="0"/>
    </w:sectPr>
  </w:body>
</w:document>
</file>