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e3a8a"/>
          <w:sz w:val="64"/>
          <w:szCs w:val="64"/>
        </w:rPr>
        <w:t xml:space="preserve">GDM Facturación</w:t>
      </w:r>
    </w:p>
    <w:p>
      <w:pPr>
        <w:spacing w:after="60"/>
        <w:jc w:val="center"/>
      </w:pPr>
      <w:r>
        <w:rPr>
          <w:color w:val="334155"/>
          <w:sz w:val="30"/>
          <w:szCs w:val="30"/>
        </w:rPr>
        <w:t xml:space="preserve">Facturación electrónica CFDI 4.0</w:t>
      </w:r>
    </w:p>
    <w:p>
      <w:pPr>
        <w:spacing w:after="500"/>
        <w:jc w:val="center"/>
      </w:pPr>
      <w:r>
        <w:rPr>
          <w:color w:val="64748b"/>
          <w:sz w:val="24"/>
          <w:szCs w:val="24"/>
        </w:rPr>
        <w:t xml:space="preserve">Guía rápida de facturación</w:t>
      </w:r>
    </w:p>
    <w:p>
      <w:pPr>
        <w:jc w:val="center"/>
      </w:pPr>
      <w:r>
        <w:rPr>
          <w:color w:val="334155"/>
          <w:sz w:val="20"/>
          <w:szCs w:val="20"/>
        </w:rPr>
        <w:t xml:space="preserve">High Consulting México · HCGM · Julio 2026</w:t>
      </w:r>
    </w:p>
    <w:p>
      <w:r>
        <w:br w:type="page"/>
      </w:r>
    </w:p>
    <w:p>
      <w:pPr>
        <w:pStyle w:val="Heading1"/>
        <w:spacing w:after="120" w:before="300"/>
      </w:pPr>
      <w:r>
        <w:rPr>
          <w:color w:val="1e3a8a"/>
        </w:rPr>
        <w:t xml:space="preserve">1. Acceso al sistema</w:t>
      </w:r>
    </w:p>
    <w:p>
      <w:pPr>
        <w:spacing w:after="100"/>
      </w:pPr>
      <w:r>
        <w:rPr>
          <w:sz w:val="21"/>
          <w:szCs w:val="21"/>
        </w:rPr>
        <w:t xml:space="preserve">Desde la página pública pulsa “Entrar al sistema” e ingresa con tu correo y contraseña. En el primer acceso el sistema te pedirá cambiar tu contraseña temporal.</w:t>
      </w:r>
    </w:p>
    <w:p>
      <w:pPr>
        <w:spacing w:after="40" w:before="100"/>
        <w:jc w:val="center"/>
      </w:pPr>
      <w:r>
        <w:drawing>
          <wp:inline distT="0" distB="0" distL="0" distR="0">
            <wp:extent cx="3429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Inicio de sesión.</w:t>
      </w:r>
    </w:p>
    <w:p>
      <w:pPr>
        <w:spacing w:after="100"/>
      </w:pPr>
      <w:r>
        <w:rPr>
          <w:sz w:val="21"/>
          <w:szCs w:val="21"/>
        </w:rPr>
        <w:t xml:space="preserve">Como usuario de facturación verás seis menús: Dashboard, Facturas, Notas de Crédito, Clientes, Productos y Reportes.</w:t>
      </w:r>
    </w:p>
    <w:p>
      <w:pPr>
        <w:pStyle w:val="Heading1"/>
        <w:spacing w:after="120" w:before="300"/>
      </w:pPr>
      <w:r>
        <w:rPr>
          <w:color w:val="1e3a8a"/>
        </w:rPr>
        <w:t xml:space="preserve">2. Dashboard</w:t>
      </w:r>
    </w:p>
    <w:p>
      <w:pPr>
        <w:spacing w:after="100"/>
      </w:pPr>
      <w:r>
        <w:rPr>
          <w:sz w:val="21"/>
          <w:szCs w:val="21"/>
        </w:rPr>
        <w:t xml:space="preserve">Resumen de tu cartera al día: facturas emitidas, total facturado, cobrado (pagos + notas de crédito) y saldo por cobrar.</w:t>
      </w:r>
    </w:p>
    <w:p>
      <w:pPr>
        <w:spacing w:after="4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Dashboard.</w:t>
      </w:r>
    </w:p>
    <w:p>
      <w:pPr>
        <w:pStyle w:val="Heading1"/>
        <w:spacing w:after="120" w:before="300"/>
      </w:pPr>
      <w:r>
        <w:rPr>
          <w:color w:val="1e3a8a"/>
        </w:rPr>
        <w:t xml:space="preserve">3. Facturas</w:t>
      </w:r>
    </w:p>
    <w:p>
      <w:pPr>
        <w:spacing w:after="100"/>
      </w:pPr>
      <w:r>
        <w:rPr>
          <w:sz w:val="21"/>
          <w:szCs w:val="21"/>
        </w:rPr>
        <w:t xml:space="preserve">Lista tus facturas con su folio, cliente, total, saldo y estado: Capturada (borrador), Timbrada, Pagada o Cancelada. Con “Nueva Factura” creas un comprobante; cada factura tiene una fila de iconos de acción a la derecha.</w:t>
      </w:r>
    </w:p>
    <w:p>
      <w:pPr>
        <w:spacing w:after="4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Panel de Facturas.</w:t>
      </w:r>
    </w:p>
    <w:p>
      <w:pPr>
        <w:pStyle w:val="Heading2"/>
        <w:spacing w:after="70" w:before="200"/>
      </w:pPr>
      <w:r>
        <w:rPr>
          <w:color w:val="334155"/>
        </w:rPr>
        <w:t xml:space="preserve">Los iconos de acción</w:t>
      </w:r>
    </w:p>
    <w:p>
      <w:pPr>
        <w:spacing w:after="100"/>
      </w:pPr>
      <w:r>
        <w:rPr>
          <w:sz w:val="21"/>
          <w:szCs w:val="21"/>
        </w:rPr>
        <w:t xml:space="preserve">Según el estado de la factura verás distintos iconos: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4000"/>
        <w:gridCol w:w="1960"/>
      </w:tblGrid>
      <w:tr>
        <w:trPr>
          <w:tblHeader/>
        </w:trPr>
        <w:tc>
          <w:tcPr>
            <w:tcW w:type="dxa" w:w="150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90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400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196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Aparece en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DC2626"/>
                <w:sz w:val="24"/>
                <w:szCs w:val="24"/>
              </w:rPr>
              <w:t xml:space="preserve">● </w:t>
            </w:r>
            <w:r>
              <w:rPr>
                <w:sz w:val="18"/>
                <w:szCs w:val="18"/>
              </w:rPr>
              <w:t xml:space="preserve">Rojo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PDF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Descarga el PDF de la factura.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Siempre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6A34A"/>
                <w:sz w:val="24"/>
                <w:szCs w:val="24"/>
              </w:rPr>
              <w:t xml:space="preserve">● </w:t>
            </w:r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XML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Descarga el archivo XML (CFDI) timbrado.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Siempre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563EB"/>
                <w:sz w:val="24"/>
                <w:szCs w:val="24"/>
              </w:rPr>
              <w:t xml:space="preserve">● </w:t>
            </w:r>
            <w:r>
              <w:rPr>
                <w:sz w:val="18"/>
                <w:szCs w:val="18"/>
              </w:rPr>
              <w:t xml:space="preserve">Azul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Vista previa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Muestra el PDF sin descargarlo.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Siempre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EA5E9"/>
                <w:sz w:val="24"/>
                <w:szCs w:val="24"/>
              </w:rPr>
              <w:t xml:space="preserve">● </w:t>
            </w:r>
            <w:r>
              <w:rPr>
                <w:sz w:val="18"/>
                <w:szCs w:val="18"/>
              </w:rPr>
              <w:t xml:space="preserve">Azul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Editar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Edita la factura (cliente, conceptos, importes).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Solo Capturada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7C3AED"/>
                <w:sz w:val="24"/>
                <w:szCs w:val="24"/>
              </w:rPr>
              <w:t xml:space="preserve">● </w:t>
            </w:r>
            <w:r>
              <w:rPr>
                <w:sz w:val="18"/>
                <w:szCs w:val="18"/>
              </w:rPr>
              <w:t xml:space="preserve">Morado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Timbrar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Timbra el CFDI ante el SAT con el CSD del emisor.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Solo Capturada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6A34A"/>
                <w:sz w:val="24"/>
                <w:szCs w:val="24"/>
              </w:rPr>
              <w:t xml:space="preserve">● </w:t>
            </w:r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Abonos / saldo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Registra pagos, consulta notas de crédito y el saldo.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Solo Timbrada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4F46E5"/>
                <w:sz w:val="24"/>
                <w:szCs w:val="24"/>
              </w:rPr>
              <w:t xml:space="preserve">● </w:t>
            </w:r>
            <w:r>
              <w:rPr>
                <w:sz w:val="18"/>
                <w:szCs w:val="18"/>
              </w:rPr>
              <w:t xml:space="preserve">Índigo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Historial de timbres: factura, notas de crédito y pagos.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Solo Timbrada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A580C"/>
                <w:sz w:val="24"/>
                <w:szCs w:val="24"/>
              </w:rPr>
              <w:t xml:space="preserve">● </w:t>
            </w:r>
            <w:r>
              <w:rPr>
                <w:sz w:val="18"/>
                <w:szCs w:val="18"/>
              </w:rPr>
              <w:t xml:space="preserve">Naranja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Cancelar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Cancela el CFDI ante el SAT indicando el motivo.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Timbrada</w:t>
            </w:r>
          </w:p>
        </w:tc>
      </w:tr>
    </w:tbl>
    <w:p>
      <w:pPr>
        <w:spacing w:after="60" w:before="180"/>
      </w:pPr>
      <w:r>
        <w:rPr>
          <w:b/>
          <w:bCs/>
          <w:sz w:val="21"/>
          <w:szCs w:val="21"/>
        </w:rPr>
        <w:t xml:space="preserve">Factura TIMBRADA:</w:t>
      </w:r>
    </w:p>
    <w:p>
      <w:pPr>
        <w:spacing w:after="40" w:before="100"/>
        <w:jc w:val="center"/>
      </w:pPr>
      <w:r>
        <w:drawing>
          <wp:inline distT="0" distB="0" distL="0" distR="0">
            <wp:extent cx="28575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PDF · XML · Vista previa · Abonos/saldo · Historia · Cancelar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Factura CAPTURADA (borrador):</w:t>
      </w:r>
    </w:p>
    <w:p>
      <w:pPr>
        <w:spacing w:after="40" w:before="100"/>
        <w:jc w:val="center"/>
      </w:pPr>
      <w:r>
        <w:drawing>
          <wp:inline distT="0" distB="0" distL="0" distR="0">
            <wp:extent cx="2857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PDF · XML · Vista previa · Editar · Timbrar · Descartar</w:t>
      </w:r>
    </w:p>
    <w:p>
      <w:pPr>
        <w:spacing w:after="100"/>
      </w:pPr>
      <w:r>
        <w:rPr>
          <w:sz w:val="21"/>
          <w:szCs w:val="21"/>
        </w:rPr>
        <w:t xml:space="preserve">Flujo típico: se Captura (borrador) → se Edita si hace falta → se Timbra (icono morado) → ya timbrada, se descarga el PDF/XML, se registran Abonos y, si procede, se Cancela.</w:t>
      </w:r>
    </w:p>
    <w:p>
      <w:pPr>
        <w:pStyle w:val="Heading1"/>
        <w:spacing w:after="120" w:before="300"/>
      </w:pPr>
      <w:r>
        <w:rPr>
          <w:color w:val="1e3a8a"/>
        </w:rPr>
        <w:t xml:space="preserve">4. Notas de crédito</w:t>
      </w:r>
    </w:p>
    <w:p>
      <w:pPr>
        <w:spacing w:after="100"/>
      </w:pPr>
      <w:r>
        <w:rPr>
          <w:sz w:val="21"/>
          <w:szCs w:val="21"/>
        </w:rPr>
        <w:t xml:space="preserve">Emite notas de crédito (CFDI de egreso) relacionadas a una factura, por descuento, bonificación o devolución. Quedan ligadas a la factura y ajustan su saldo.</w:t>
      </w:r>
    </w:p>
    <w:p>
      <w:pPr>
        <w:spacing w:after="4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Notas de crédito.</w:t>
      </w:r>
    </w:p>
    <w:p>
      <w:pPr>
        <w:pStyle w:val="Heading1"/>
        <w:spacing w:after="120" w:before="300"/>
      </w:pPr>
      <w:r>
        <w:rPr>
          <w:color w:val="1e3a8a"/>
        </w:rPr>
        <w:t xml:space="preserve">5. Clientes</w:t>
      </w:r>
    </w:p>
    <w:p>
      <w:pPr>
        <w:spacing w:after="100"/>
      </w:pPr>
      <w:r>
        <w:rPr>
          <w:sz w:val="21"/>
          <w:szCs w:val="21"/>
        </w:rPr>
        <w:t xml:space="preserve">Administra a tus clientes (receptores de tus facturas). Puedes darlos de alta, editarlos (lápiz azul) y eliminarlos (bote rojo).</w:t>
      </w:r>
    </w:p>
    <w:p>
      <w:pPr>
        <w:spacing w:after="4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Clientes.</w:t>
      </w:r>
    </w:p>
    <w:p>
      <w:pPr>
        <w:pStyle w:val="Heading2"/>
        <w:spacing w:after="70" w:before="200"/>
      </w:pPr>
      <w:r>
        <w:rPr>
          <w:color w:val="334155"/>
        </w:rPr>
        <w:t xml:space="preserve">Lectura de la Constancia de Situación Fiscal (CIF)</w:t>
      </w:r>
    </w:p>
    <w:p>
      <w:pPr>
        <w:spacing w:after="100"/>
      </w:pPr>
      <w:r>
        <w:rPr>
          <w:sz w:val="21"/>
          <w:szCs w:val="21"/>
        </w:rPr>
        <w:t xml:space="preserve">Al crear o editar un cliente, en lugar de teclear los datos puedes subir el PDF de su CIF: el sistema la lee y llena solo el RFC, la razón social, el régimen fiscal y el domicilio.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Botón “Leer Constancia de Situación Fiscal → Subir PDF”.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Pulsa “Nuevo Cliente” (o el lápiz para editar).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En el recuadro azul, pulsa “Subir PDF” y elige la CIF.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El sistema llena los datos fiscales; revísalos y completa contacto si aplica.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Pulsa “Crear cliente” o “Guardar cambios”.</w:t>
      </w:r>
    </w:p>
    <w:p>
      <w:pPr>
        <w:pStyle w:val="Heading1"/>
        <w:spacing w:after="120" w:before="300"/>
      </w:pPr>
      <w:r>
        <w:rPr>
          <w:color w:val="1e3a8a"/>
        </w:rPr>
        <w:t xml:space="preserve">6. Productos</w:t>
      </w:r>
    </w:p>
    <w:p>
      <w:pPr>
        <w:spacing w:after="100"/>
      </w:pPr>
      <w:r>
        <w:rPr>
          <w:sz w:val="21"/>
          <w:szCs w:val="21"/>
        </w:rPr>
        <w:t xml:space="preserve">Catálogo de productos y servicios con su clave del SAT, unidad y precio, que usas al armar tus facturas.</w:t>
      </w:r>
    </w:p>
    <w:p>
      <w:pPr>
        <w:spacing w:after="4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Productos.</w:t>
      </w:r>
    </w:p>
    <w:p>
      <w:pPr>
        <w:pStyle w:val="Heading1"/>
        <w:spacing w:after="120" w:before="300"/>
      </w:pPr>
      <w:r>
        <w:rPr>
          <w:color w:val="1e3a8a"/>
        </w:rPr>
        <w:t xml:space="preserve">7. Reportes</w:t>
      </w:r>
    </w:p>
    <w:p>
      <w:pPr>
        <w:spacing w:after="100"/>
      </w:pPr>
      <w:r>
        <w:rPr>
          <w:sz w:val="21"/>
          <w:szCs w:val="21"/>
        </w:rPr>
        <w:t xml:space="preserve">Reportes de facturación y cobranza: ingresos por periodo, saldos por cliente y cobranza detallada, con descarga en PDF.</w:t>
      </w:r>
    </w:p>
    <w:p>
      <w:pPr>
        <w:spacing w:after="4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Reportes.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GDM Facturación · HCGM · </w:t>
    </w: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39713dd2c9b94f5ff318457aae73164863f25dc.png"/><Relationship Id="rId9" Type="http://schemas.openxmlformats.org/officeDocument/2006/relationships/image" Target="media/52dda237d36a5716d87c50ae37daf0ead41166d0.png"/><Relationship Id="rId10" Type="http://schemas.openxmlformats.org/officeDocument/2006/relationships/image" Target="media/04f4c30dd76c760ee8f76207078d2599e9a12ab5.png"/><Relationship Id="rId11" Type="http://schemas.openxmlformats.org/officeDocument/2006/relationships/image" Target="media/2f3ff575c65cecb536f92f26ca80cf01362fd4c6.png"/><Relationship Id="rId12" Type="http://schemas.openxmlformats.org/officeDocument/2006/relationships/image" Target="media/cf6c78c10a3144da8137a421101955af107dff2a.png"/><Relationship Id="rId13" Type="http://schemas.openxmlformats.org/officeDocument/2006/relationships/image" Target="media/ca7f099252ce0541713484aaff2cf0e2a802490f.png"/><Relationship Id="rId14" Type="http://schemas.openxmlformats.org/officeDocument/2006/relationships/image" Target="media/f6069673c33dc3ed4a29291ee36ce1c6651912f0.png"/><Relationship Id="rId15" Type="http://schemas.openxmlformats.org/officeDocument/2006/relationships/image" Target="media/e9775ce18806d927a52202482e0da4cba3f6fbef.png"/><Relationship Id="rId16" Type="http://schemas.openxmlformats.org/officeDocument/2006/relationships/image" Target="media/73d309daba0a67b0bab2ea28200afa638fe6947a.png"/><Relationship Id="rId17" Type="http://schemas.openxmlformats.org/officeDocument/2006/relationships/image" Target="media/0dcb981d5077ef0eef20342041347401fa943eb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GDM Facturación — Guía rápida de facturación</dc:title>
  <dc:creator>HCGM</dc:creator>
  <cp:lastModifiedBy>Un-named</cp:lastModifiedBy>
  <cp:revision>1</cp:revision>
  <dcterms:created xsi:type="dcterms:W3CDTF">2026-07-15T20:17:37.004Z</dcterms:created>
  <dcterms:modified xsi:type="dcterms:W3CDTF">2026-07-15T20:17:37.005Z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