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Calibri" w:hAnsi="Calibri"/>
          <w:b/>
          <w:sz w:val="30"/>
          <w:szCs w:val="30"/>
        </w:rPr>
        <w:t xml:space="preserve">CONTRATO DE PRESTACIÓN DE SERVICIOS</w:t>
      </w:r>
    </w:p>
    <w:p>
      <w:r>
        <w:rPr>
          <w:rFonts w:ascii="Calibri" w:hAnsi="Calibri"/>
          <w:b/>
          <w:sz w:val="23"/>
          <w:szCs w:val="23"/>
        </w:rPr>
        <w:t xml:space="preserve">GDM NEXO — ERP CON FACTURACIÓN ELECTRÓNICA CFDI 4.0</w:t>
      </w:r>
    </w:p>
    <w:p>
      <w:r>
        <w:rPr>
          <w:rFonts w:ascii="Calibri" w:hAnsi="Calibri"/>
          <w:sz w:val="21"/>
          <w:szCs w:val="21"/>
        </w:rPr>
        <w:t xml:space="preserve">Versión de los Términos y Condiciones: 2026-07-29.1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PARTES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EL PRESTADOR: GRUPO HCGM, S.A. DE C.V.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RFC: GHC1707275Y0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Domicilio: Adoratrices número 116, Fraccionamiento Villa Teresa,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Código Postal 20126, Aguascalientes, Aguascalientes.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Correo de contacto: info@hcgm.com.mx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En lo sucesivo, "HCGM".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EL CLIENTE: [NOMBRE O RAZÓN SOCIAL DEL CLIENTE]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RFC: [RFC DEL CLIENTE]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En lo sucesivo, "EL CLIENTE".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Fecha de aceptación: _______________________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Ambas partes reconocen mutuamente capacidad legal para obligarse.</w:t>
      </w:r>
    </w:p>
    <w:p>
      <w:pPr>
        <w:spacing w:before="0" w:after="60"/>
      </w:pPr>
    </w:p>
    <w:p>
      <w:pPr>
        <w:spacing w:before="40" w:after="40"/>
        <w:pBdr>
          <w:bottom w:val="single" w:sz="6" w:space="1" w:color="9AA0A6"/>
        </w:pBdr>
      </w:pP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PRIMERA — OBJETO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HCGM otorga a EL CLIENTE el uso, en modalidad de Software como Servicio (SaaS),</w:t>
      </w:r>
    </w:p>
    <w:p>
      <w:r>
        <w:rPr>
          <w:rFonts w:ascii="Calibri" w:hAnsi="Calibri"/>
          <w:sz w:val="21"/>
          <w:szCs w:val="21"/>
        </w:rPr>
        <w:t xml:space="preserve">de la plataforma web denominada GDM NEXO para:</w:t>
      </w:r>
    </w:p>
    <w:p>
      <w:pPr>
        <w:spacing w:before="0" w:after="60"/>
      </w:pP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a) Emitir Comprobantes Fiscales Digitales por Internet CFDI 4.0 conforme al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Anexo 20 del SAT.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b) Emitir los complementos soportados por la plataforma, incluyendo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Complemento para Recepción de Pagos 2.0, Complemento Carta Porte 3.1 y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Notas de Crédito.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c) Gestionar clientes, productos, catálogos y consultas de comprobantes.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d) Consultar, descargar y auditar los CFDI emitidos.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HCGM comercializa exclusivamente el uso del software. Los timbres fiscales se</w:t>
      </w:r>
    </w:p>
    <w:p>
      <w:r>
        <w:rPr>
          <w:rFonts w:ascii="Calibri" w:hAnsi="Calibri"/>
          <w:sz w:val="21"/>
          <w:szCs w:val="21"/>
        </w:rPr>
        <w:t xml:space="preserve">contratan por plan o por consumo, conforme a la cláusula SEGUNDA.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HCGM NO es Proveedor Autorizado de Certificación (PAC) ante el SAT. HCGM actúa</w:t>
      </w:r>
    </w:p>
    <w:p>
      <w:r>
        <w:rPr>
          <w:rFonts w:ascii="Calibri" w:hAnsi="Calibri"/>
          <w:sz w:val="21"/>
          <w:szCs w:val="21"/>
        </w:rPr>
        <w:t xml:space="preserve">como intermediario técnico entre EL CLIENTE y un PAC autorizado — actualmente</w:t>
      </w:r>
    </w:p>
    <w:p>
      <w:r>
        <w:rPr>
          <w:rFonts w:ascii="Calibri" w:hAnsi="Calibri"/>
          <w:sz w:val="21"/>
          <w:szCs w:val="21"/>
        </w:rPr>
        <w:t xml:space="preserve">SW Sapien Nube, S.A.P.I. de C.V., o el PAC que HCGM designe. El acto de</w:t>
      </w:r>
    </w:p>
    <w:p>
      <w:r>
        <w:rPr>
          <w:rFonts w:ascii="Calibri" w:hAnsi="Calibri"/>
          <w:sz w:val="21"/>
          <w:szCs w:val="21"/>
        </w:rPr>
        <w:t xml:space="preserve">timbrado fiscal es ejecutado por el PAC bajo su propia autorización SAT.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SEGUNDA — CONTRAPRESTACIÓN Y PLAN FISCAL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2.1. El catálogo de planes vigentes, sus precios y timbres incluidos están</w:t>
      </w:r>
    </w:p>
    <w:p>
      <w:r>
        <w:rPr>
          <w:rFonts w:ascii="Calibri" w:hAnsi="Calibri"/>
          <w:sz w:val="21"/>
          <w:szCs w:val="21"/>
        </w:rPr>
        <w:t xml:space="preserve">publicados en la plataforma y forman parte integrante de este contrato.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2.2. La vigencia comercial inicia en la fecha de aceptación indicada arriba.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2.3. Primer periodo — proporcional. Cuando el alta ocurra a mitad de mes</w:t>
      </w:r>
    </w:p>
    <w:p>
      <w:r>
        <w:rPr>
          <w:rFonts w:ascii="Calibri" w:hAnsi="Calibri"/>
          <w:sz w:val="21"/>
          <w:szCs w:val="21"/>
        </w:rPr>
        <w:t xml:space="preserve">calendario: el primer mes se cobra proporcional por los días naturales que</w:t>
      </w:r>
    </w:p>
    <w:p>
      <w:r>
        <w:rPr>
          <w:rFonts w:ascii="Calibri" w:hAnsi="Calibri"/>
          <w:sz w:val="21"/>
          <w:szCs w:val="21"/>
        </w:rPr>
        <w:t xml:space="preserve">resten desde la fecha de alta hasta el último día del mes en curso. El corte se</w:t>
      </w:r>
    </w:p>
    <w:p>
      <w:r>
        <w:rPr>
          <w:rFonts w:ascii="Calibri" w:hAnsi="Calibri"/>
          <w:sz w:val="21"/>
          <w:szCs w:val="21"/>
        </w:rPr>
        <w:t xml:space="preserve">emite el último día natural del mes y se factura a EL CLIENTE. El mismo</w:t>
      </w:r>
    </w:p>
    <w:p>
      <w:r>
        <w:rPr>
          <w:rFonts w:ascii="Calibri" w:hAnsi="Calibri"/>
          <w:sz w:val="21"/>
          <w:szCs w:val="21"/>
        </w:rPr>
        <w:t xml:space="preserve">esquema aplica a los timbres: durante el primer mes EL CLIENTE puede consumir</w:t>
      </w:r>
    </w:p>
    <w:p>
      <w:r>
        <w:rPr>
          <w:rFonts w:ascii="Calibri" w:hAnsi="Calibri"/>
          <w:sz w:val="21"/>
          <w:szCs w:val="21"/>
        </w:rPr>
        <w:t xml:space="preserve">timbres libremente; el corte al final del mes factura los timbres efectivamente</w:t>
      </w:r>
    </w:p>
    <w:p>
      <w:r>
        <w:rPr>
          <w:rFonts w:ascii="Calibri" w:hAnsi="Calibri"/>
          <w:sz w:val="21"/>
          <w:szCs w:val="21"/>
        </w:rPr>
        <w:t xml:space="preserve">consumidos.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2.4. Periodos subsecuentes — cobro por adelantado. A partir del segundo mes,</w:t>
      </w:r>
    </w:p>
    <w:p>
      <w:r>
        <w:rPr>
          <w:rFonts w:ascii="Calibri" w:hAnsi="Calibri"/>
          <w:sz w:val="21"/>
          <w:szCs w:val="21"/>
        </w:rPr>
        <w:t xml:space="preserve">tanto la renta mensual del plan como los timbres incluidos en el plan se cobran</w:t>
      </w:r>
    </w:p>
    <w:p>
      <w:r>
        <w:rPr>
          <w:rFonts w:ascii="Calibri" w:hAnsi="Calibri"/>
          <w:sz w:val="21"/>
          <w:szCs w:val="21"/>
        </w:rPr>
        <w:t xml:space="preserve">por adelantado al inicio de cada mes calendario. El consumo de timbres por</w:t>
      </w:r>
    </w:p>
    <w:p>
      <w:r>
        <w:rPr>
          <w:rFonts w:ascii="Calibri" w:hAnsi="Calibri"/>
          <w:sz w:val="21"/>
          <w:szCs w:val="21"/>
        </w:rPr>
        <w:t xml:space="preserve">encima del plan se factura al corte del mes en curso.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2.5. HCGM emitirá el CFDI correspondiente a EL CLIENTE por los servicios</w:t>
      </w:r>
    </w:p>
    <w:p>
      <w:r>
        <w:rPr>
          <w:rFonts w:ascii="Calibri" w:hAnsi="Calibri"/>
          <w:sz w:val="21"/>
          <w:szCs w:val="21"/>
        </w:rPr>
        <w:t xml:space="preserve">prestados en los plazos que el SAT establezca.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2.6. Los precios publicados no incluyen IVA salvo indicación expresa. Todos los</w:t>
      </w:r>
    </w:p>
    <w:p>
      <w:r>
        <w:rPr>
          <w:rFonts w:ascii="Calibri" w:hAnsi="Calibri"/>
          <w:sz w:val="21"/>
          <w:szCs w:val="21"/>
        </w:rPr>
        <w:t xml:space="preserve">impuestos aplicables corren por cuenta de EL CLIENTE.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2.7. Mora. El impago mayor a quince (15) días naturales posteriores a la fecha</w:t>
      </w:r>
    </w:p>
    <w:p>
      <w:r>
        <w:rPr>
          <w:rFonts w:ascii="Calibri" w:hAnsi="Calibri"/>
          <w:sz w:val="21"/>
          <w:szCs w:val="21"/>
        </w:rPr>
        <w:t xml:space="preserve">de emisión de la factura de HCGM faculta a este último a suspender el Servicio</w:t>
      </w:r>
    </w:p>
    <w:p>
      <w:r>
        <w:rPr>
          <w:rFonts w:ascii="Calibri" w:hAnsi="Calibri"/>
          <w:sz w:val="21"/>
          <w:szCs w:val="21"/>
        </w:rPr>
        <w:t xml:space="preserve">de inmediato, sin necesidad de declaración judicial y previa notificación por</w:t>
      </w:r>
    </w:p>
    <w:p>
      <w:r>
        <w:rPr>
          <w:rFonts w:ascii="Calibri" w:hAnsi="Calibri"/>
          <w:sz w:val="21"/>
          <w:szCs w:val="21"/>
        </w:rPr>
        <w:t xml:space="preserve">correo electrónico. La reactivación queda sujeta al pago de lo adeudado.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2.8. Modificación de precios. HCGM podrá modificar precios notificando a EL</w:t>
      </w:r>
    </w:p>
    <w:p>
      <w:r>
        <w:rPr>
          <w:rFonts w:ascii="Calibri" w:hAnsi="Calibri"/>
          <w:sz w:val="21"/>
          <w:szCs w:val="21"/>
        </w:rPr>
        <w:t xml:space="preserve">CLIENTE por correo electrónico con treinta (30) días naturales de anticipación.</w:t>
      </w:r>
    </w:p>
    <w:p>
      <w:r>
        <w:rPr>
          <w:rFonts w:ascii="Calibri" w:hAnsi="Calibri"/>
          <w:sz w:val="21"/>
          <w:szCs w:val="21"/>
        </w:rPr>
        <w:t xml:space="preserve">Los cambios no aplican a periodos ya pagados por adelantado.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TERCERA — VIGENCIA Y TERMINACIÓN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3.1. El contrato entra en vigor al momento de la aceptación electrónica y</w:t>
      </w:r>
    </w:p>
    <w:p>
      <w:r>
        <w:rPr>
          <w:rFonts w:ascii="Calibri" w:hAnsi="Calibri"/>
          <w:sz w:val="21"/>
          <w:szCs w:val="21"/>
        </w:rPr>
        <w:t xml:space="preserve">permanece vigente mientras EL CLIENTE conserve cuenta activa.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3.2. Terminación por EL CLIENTE:</w:t>
      </w:r>
    </w:p>
    <w:p>
      <w:pPr>
        <w:spacing w:before="0" w:after="60"/>
      </w:pP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a) EL CLIENTE puede cancelar en cualquier momento notificando por escrito a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HCGM o desde la plataforma, con al menos quince (15) días naturales de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anticipación al final del mes de facturación en curso.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b) Alternativamente, EL CLIENTE puede optar por no renovar y agotar los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timbres pendientes: mantendrá acceso hasta que consuma los timbres del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plan o hasta el término del mes ya pagado, lo que ocurra primero.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3.3. Los timbres NO son reembolsables, en ningún caso, ni siquiera por</w:t>
      </w:r>
    </w:p>
    <w:p>
      <w:r>
        <w:rPr>
          <w:rFonts w:ascii="Calibri" w:hAnsi="Calibri"/>
          <w:sz w:val="21"/>
          <w:szCs w:val="21"/>
        </w:rPr>
        <w:t xml:space="preserve">terminación anticipada. Los pagos mensuales anticipados tampoco se reembolsan</w:t>
      </w:r>
    </w:p>
    <w:p>
      <w:r>
        <w:rPr>
          <w:rFonts w:ascii="Calibri" w:hAnsi="Calibri"/>
          <w:sz w:val="21"/>
          <w:szCs w:val="21"/>
        </w:rPr>
        <w:t xml:space="preserve">por terminación voluntaria de EL CLIENTE.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3.4. Terminación por HCGM. Previo aviso con treinta (30) días naturales, salvo</w:t>
      </w:r>
    </w:p>
    <w:p>
      <w:r>
        <w:rPr>
          <w:rFonts w:ascii="Calibri" w:hAnsi="Calibri"/>
          <w:sz w:val="21"/>
          <w:szCs w:val="21"/>
        </w:rPr>
        <w:t xml:space="preserve">casos de incumplimiento grave de EL CLIENTE (fraude fiscal, impago mayor a</w:t>
      </w:r>
    </w:p>
    <w:p>
      <w:r>
        <w:rPr>
          <w:rFonts w:ascii="Calibri" w:hAnsi="Calibri"/>
          <w:sz w:val="21"/>
          <w:szCs w:val="21"/>
        </w:rPr>
        <w:t xml:space="preserve">15 días, actividad ilícita), donde la terminación es inmediata.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3.5. Portabilidad de datos. Al terminar, EL CLIENTE conserva el derecho de</w:t>
      </w:r>
    </w:p>
    <w:p>
      <w:r>
        <w:rPr>
          <w:rFonts w:ascii="Calibri" w:hAnsi="Calibri"/>
          <w:sz w:val="21"/>
          <w:szCs w:val="21"/>
        </w:rPr>
        <w:t xml:space="preserve">descargar sus datos (CFDI, XMLs, PDFs, catálogos) por noventa (90) días</w:t>
      </w:r>
    </w:p>
    <w:p>
      <w:r>
        <w:rPr>
          <w:rFonts w:ascii="Calibri" w:hAnsi="Calibri"/>
          <w:sz w:val="21"/>
          <w:szCs w:val="21"/>
        </w:rPr>
        <w:t xml:space="preserve">naturales posteriores a la terminación. Pasado ese plazo, HCGM podrá eliminarlos</w:t>
      </w:r>
    </w:p>
    <w:p>
      <w:r>
        <w:rPr>
          <w:rFonts w:ascii="Calibri" w:hAnsi="Calibri"/>
          <w:sz w:val="21"/>
          <w:szCs w:val="21"/>
        </w:rPr>
        <w:t xml:space="preserve">definitivamente.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3.6. Obligación fiscal post-terminación. La obligación de conservar los CFDI</w:t>
      </w:r>
    </w:p>
    <w:p>
      <w:r>
        <w:rPr>
          <w:rFonts w:ascii="Calibri" w:hAnsi="Calibri"/>
          <w:sz w:val="21"/>
          <w:szCs w:val="21"/>
        </w:rPr>
        <w:t xml:space="preserve">por cinco (5) años ante el SAT (artículo 30 del Código Fiscal de la Federación)</w:t>
      </w:r>
    </w:p>
    <w:p>
      <w:r>
        <w:rPr>
          <w:rFonts w:ascii="Calibri" w:hAnsi="Calibri"/>
          <w:sz w:val="21"/>
          <w:szCs w:val="21"/>
        </w:rPr>
        <w:t xml:space="preserve">permanece con EL CLIENTE.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CUARTA — OBLIGACIONES DE EL CLIENTE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4.1. Custodia y confidencialidad de sus credenciales de acceso.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4.2. Actos realizados desde su cuenta, aun por terceros con acceso autorizado</w:t>
      </w:r>
    </w:p>
    <w:p>
      <w:r>
        <w:rPr>
          <w:rFonts w:ascii="Calibri" w:hAnsi="Calibri"/>
          <w:sz w:val="21"/>
          <w:szCs w:val="21"/>
        </w:rPr>
        <w:t xml:space="preserve">por él.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4.3. Veracidad y actualización de los datos capturados.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4.4. Cargar y mantener actualizado su Certificado de Sello Digital (CSD), su</w:t>
      </w:r>
    </w:p>
    <w:p>
      <w:r>
        <w:rPr>
          <w:rFonts w:ascii="Calibri" w:hAnsi="Calibri"/>
          <w:sz w:val="21"/>
          <w:szCs w:val="21"/>
        </w:rPr>
        <w:t xml:space="preserve">llave privada y su contraseña. El CSD es propiedad exclusiva de EL CLIENTE.</w:t>
      </w:r>
    </w:p>
    <w:p>
      <w:r>
        <w:rPr>
          <w:rFonts w:ascii="Calibri" w:hAnsi="Calibri"/>
          <w:sz w:val="21"/>
          <w:szCs w:val="21"/>
        </w:rPr>
        <w:t xml:space="preserve">HCGM almacena estos elementos cifrados exclusivamente para sellar los CFDI de</w:t>
      </w:r>
    </w:p>
    <w:p>
      <w:r>
        <w:rPr>
          <w:rFonts w:ascii="Calibri" w:hAnsi="Calibri"/>
          <w:sz w:val="21"/>
          <w:szCs w:val="21"/>
        </w:rPr>
        <w:t xml:space="preserve">EL CLIENTE, sin facultades para emitir CFDI fuera de sus instrucciones ni</w:t>
      </w:r>
    </w:p>
    <w:p>
      <w:r>
        <w:rPr>
          <w:rFonts w:ascii="Calibri" w:hAnsi="Calibri"/>
          <w:sz w:val="21"/>
          <w:szCs w:val="21"/>
        </w:rPr>
        <w:t xml:space="preserve">para transferir el CSD a terceros.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4.5. Responsabilidad fiscal única ante el SAT por: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a) Veracidad e integridad de los datos del CFDI (importes, conceptos,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receptor, régimen, uso, complementos).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b) Correcta aplicación de tasas, retenciones, forma y método de pago.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c) Cancelación oportuna, sustitución y corrección de CFDI mal emitidos.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d) Cumplimiento de obligaciones fiscales derivadas (declaraciones, pagos,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contabilidad).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e) Datos del Complemento Carta Porte 3.1 (ubicaciones, mercancías,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autotransporte, figuras, distancias, permisos SCT).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4.6. HCGM no tiene facultades ni obligación de revisar, validar o corregir el</w:t>
      </w:r>
    </w:p>
    <w:p>
      <w:r>
        <w:rPr>
          <w:rFonts w:ascii="Calibri" w:hAnsi="Calibri"/>
          <w:sz w:val="21"/>
          <w:szCs w:val="21"/>
        </w:rPr>
        <w:t xml:space="preserve">contenido fiscal de los CFDI de EL CLIENTE más allá de las validaciones</w:t>
      </w:r>
    </w:p>
    <w:p>
      <w:r>
        <w:rPr>
          <w:rFonts w:ascii="Calibri" w:hAnsi="Calibri"/>
          <w:sz w:val="21"/>
          <w:szCs w:val="21"/>
        </w:rPr>
        <w:t xml:space="preserve">técnicas automatizadas (formato RFC, cruces contra catálogos SAT, XSD del</w:t>
      </w:r>
    </w:p>
    <w:p>
      <w:r>
        <w:rPr>
          <w:rFonts w:ascii="Calibri" w:hAnsi="Calibri"/>
          <w:sz w:val="21"/>
          <w:szCs w:val="21"/>
        </w:rPr>
        <w:t xml:space="preserve">complemento).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4.7. Uso permitido. EL CLIENTE se obliga a usar el Servicio conforme a la</w:t>
      </w:r>
    </w:p>
    <w:p>
      <w:r>
        <w:rPr>
          <w:rFonts w:ascii="Calibri" w:hAnsi="Calibri"/>
          <w:sz w:val="21"/>
          <w:szCs w:val="21"/>
        </w:rPr>
        <w:t xml:space="preserve">legislación mexicana aplicable, en particular la fiscal (CFF, LISR, LIVA y</w:t>
      </w:r>
    </w:p>
    <w:p>
      <w:r>
        <w:rPr>
          <w:rFonts w:ascii="Calibri" w:hAnsi="Calibri"/>
          <w:sz w:val="21"/>
          <w:szCs w:val="21"/>
        </w:rPr>
        <w:t xml:space="preserve">Anexo 20 del SAT). Queda prohibido:</w:t>
      </w:r>
    </w:p>
    <w:p>
      <w:pPr>
        <w:spacing w:before="0" w:after="60"/>
      </w:pP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a) Emitir comprobantes falsos, apócrifos o que amparen operaciones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inexistentes o simuladas.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b) Reproducir, revender, sublicenciar, redistribuir u ofrecer el Servicio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a terceros sin autorización escrita de HCGM.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c) Realizar ingeniería inversa, decompilación o intento de acceso no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autorizado.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d) Usar bots, crawlers u otras técnicas automatizadas que degraden el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Servicio.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e) Emplear el Servicio para almacenar o transmitir contenido ilícito.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QUINTA — TRATAMIENTO DE DATOS Y CONFIDENCIALIDAD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5.1. El tratamiento de datos personales se rige por el Aviso de Privacidad</w:t>
      </w:r>
    </w:p>
    <w:p>
      <w:r>
        <w:rPr>
          <w:rFonts w:ascii="Calibri" w:hAnsi="Calibri"/>
          <w:sz w:val="21"/>
          <w:szCs w:val="21"/>
        </w:rPr>
        <w:t xml:space="preserve">Integral publicado por separado en la plataforma, elaborado conforme a la Ley</w:t>
      </w:r>
    </w:p>
    <w:p>
      <w:r>
        <w:rPr>
          <w:rFonts w:ascii="Calibri" w:hAnsi="Calibri"/>
          <w:sz w:val="21"/>
          <w:szCs w:val="21"/>
        </w:rPr>
        <w:t xml:space="preserve">Federal de Protección de Datos Personales en Posesión de los Particulares</w:t>
      </w:r>
    </w:p>
    <w:p>
      <w:r>
        <w:rPr>
          <w:rFonts w:ascii="Calibri" w:hAnsi="Calibri"/>
          <w:sz w:val="21"/>
          <w:szCs w:val="21"/>
        </w:rPr>
        <w:t xml:space="preserve">(LFPDPPP), su Reglamento y los Lineamientos aplicables. La aceptación del</w:t>
      </w:r>
    </w:p>
    <w:p>
      <w:r>
        <w:rPr>
          <w:rFonts w:ascii="Calibri" w:hAnsi="Calibri"/>
          <w:sz w:val="21"/>
          <w:szCs w:val="21"/>
        </w:rPr>
        <w:t xml:space="preserve">presente contrato implica el conocimiento y consentimiento de dicho Aviso.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5.2. Confidencialidad mutua. Las partes se obligan a mantener bajo estricta</w:t>
      </w:r>
    </w:p>
    <w:p>
      <w:r>
        <w:rPr>
          <w:rFonts w:ascii="Calibri" w:hAnsi="Calibri"/>
          <w:sz w:val="21"/>
          <w:szCs w:val="21"/>
        </w:rPr>
        <w:t xml:space="preserve">confidencialidad la información no pública a la que tengan acceso con motivo</w:t>
      </w:r>
    </w:p>
    <w:p>
      <w:r>
        <w:rPr>
          <w:rFonts w:ascii="Calibri" w:hAnsi="Calibri"/>
          <w:sz w:val="21"/>
          <w:szCs w:val="21"/>
        </w:rPr>
        <w:t xml:space="preserve">de este contrato, salvo información de dominio público, requerimiento legal de</w:t>
      </w:r>
    </w:p>
    <w:p>
      <w:r>
        <w:rPr>
          <w:rFonts w:ascii="Calibri" w:hAnsi="Calibri"/>
          <w:sz w:val="21"/>
          <w:szCs w:val="21"/>
        </w:rPr>
        <w:t xml:space="preserve">autoridad competente o consentimiento expreso de la contraparte. La obligación</w:t>
      </w:r>
    </w:p>
    <w:p>
      <w:r>
        <w:rPr>
          <w:rFonts w:ascii="Calibri" w:hAnsi="Calibri"/>
          <w:sz w:val="21"/>
          <w:szCs w:val="21"/>
        </w:rPr>
        <w:t xml:space="preserve">subsiste por cinco (5) años después de la terminación.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SEXTA — AUDITORÍA Y BITÁCORA DE USO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EL CLIENTE reconoce y acepta que el sistema registra la actividad realizada por</w:t>
      </w:r>
    </w:p>
    <w:p>
      <w:r>
        <w:rPr>
          <w:rFonts w:ascii="Calibri" w:hAnsi="Calibri"/>
          <w:sz w:val="21"/>
          <w:szCs w:val="21"/>
        </w:rPr>
        <w:t xml:space="preserve">cada uno de los usuarios que EL CLIENTE dé de alta, incluyendo la emisión,</w:t>
      </w:r>
    </w:p>
    <w:p>
      <w:r>
        <w:rPr>
          <w:rFonts w:ascii="Calibri" w:hAnsi="Calibri"/>
          <w:sz w:val="21"/>
          <w:szCs w:val="21"/>
        </w:rPr>
        <w:t xml:space="preserve">timbrado, cancelación y consulta de comprobantes, con fecha, hora y usuario que</w:t>
      </w:r>
    </w:p>
    <w:p>
      <w:r>
        <w:rPr>
          <w:rFonts w:ascii="Calibri" w:hAnsi="Calibri"/>
          <w:sz w:val="21"/>
          <w:szCs w:val="21"/>
        </w:rPr>
        <w:t xml:space="preserve">la ejecutó. Dicha bitácora tiene fines de auditoría, seguridad y cumplimiento</w:t>
      </w:r>
    </w:p>
    <w:p>
      <w:r>
        <w:rPr>
          <w:rFonts w:ascii="Calibri" w:hAnsi="Calibri"/>
          <w:sz w:val="21"/>
          <w:szCs w:val="21"/>
        </w:rPr>
        <w:t xml:space="preserve">fiscal, y su resguardo es obligación de HCGM conforme a la cláusula QUINTA.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EL CLIENTE, en su carácter de responsable de sus propios usuarios, podrá activar</w:t>
      </w:r>
    </w:p>
    <w:p>
      <w:r>
        <w:rPr>
          <w:rFonts w:ascii="Calibri" w:hAnsi="Calibri"/>
          <w:sz w:val="21"/>
          <w:szCs w:val="21"/>
        </w:rPr>
        <w:t xml:space="preserve">el envío de reportes periódicos de dicha bitácora al correo que designe. EL</w:t>
      </w:r>
    </w:p>
    <w:p>
      <w:r>
        <w:rPr>
          <w:rFonts w:ascii="Calibri" w:hAnsi="Calibri"/>
          <w:sz w:val="21"/>
          <w:szCs w:val="21"/>
        </w:rPr>
        <w:t xml:space="preserve">CLIENTE se obliga a informar a sus usuarios de esta circunstancia y a que dicho</w:t>
      </w:r>
    </w:p>
    <w:p>
      <w:r>
        <w:rPr>
          <w:rFonts w:ascii="Calibri" w:hAnsi="Calibri"/>
          <w:sz w:val="21"/>
          <w:szCs w:val="21"/>
        </w:rPr>
        <w:t xml:space="preserve">tratamiento cumpla la normatividad laboral y de datos personales que le resulte</w:t>
      </w:r>
    </w:p>
    <w:p>
      <w:r>
        <w:rPr>
          <w:rFonts w:ascii="Calibri" w:hAnsi="Calibri"/>
          <w:sz w:val="21"/>
          <w:szCs w:val="21"/>
        </w:rPr>
        <w:t xml:space="preserve">aplicable, liberando a HCGM de cualquier responsabilidad al respecto.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SÉPTIMA — DISPONIBILIDAD Y LIMITACIÓN DE RESPONSABILIDAD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7.1. HCGM proporciona el Servicio "tal cual" y "según disponibilidad", sin</w:t>
      </w:r>
    </w:p>
    <w:p>
      <w:r>
        <w:rPr>
          <w:rFonts w:ascii="Calibri" w:hAnsi="Calibri"/>
          <w:sz w:val="21"/>
          <w:szCs w:val="21"/>
        </w:rPr>
        <w:t xml:space="preserve">garantías implícitas de comerciabilidad o idoneidad para un propósito</w:t>
      </w:r>
    </w:p>
    <w:p>
      <w:r>
        <w:rPr>
          <w:rFonts w:ascii="Calibri" w:hAnsi="Calibri"/>
          <w:sz w:val="21"/>
          <w:szCs w:val="21"/>
        </w:rPr>
        <w:t xml:space="preserve">particular más allá de las que la ley imponga imperativamente.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7.2. HCGM realiza esfuerzos razonables para mantener el Servicio disponible</w:t>
      </w:r>
    </w:p>
    <w:p>
      <w:r>
        <w:rPr>
          <w:rFonts w:ascii="Calibri" w:hAnsi="Calibri"/>
          <w:sz w:val="21"/>
          <w:szCs w:val="21"/>
        </w:rPr>
        <w:t xml:space="preserve">7 × 24, sin garantizar disponibilidad ininterrumpida. El Servicio puede sufrir</w:t>
      </w:r>
    </w:p>
    <w:p>
      <w:r>
        <w:rPr>
          <w:rFonts w:ascii="Calibri" w:hAnsi="Calibri"/>
          <w:sz w:val="21"/>
          <w:szCs w:val="21"/>
        </w:rPr>
        <w:t xml:space="preserve">interrupciones por mantenimiento programado, actualizaciones, causa fortuita o</w:t>
      </w:r>
    </w:p>
    <w:p>
      <w:r>
        <w:rPr>
          <w:rFonts w:ascii="Calibri" w:hAnsi="Calibri"/>
          <w:sz w:val="21"/>
          <w:szCs w:val="21"/>
        </w:rPr>
        <w:t xml:space="preserve">fuerza mayor, indisponibilidad de servicios de terceros (SAT, PAC, proveedor</w:t>
      </w:r>
    </w:p>
    <w:p>
      <w:r>
        <w:rPr>
          <w:rFonts w:ascii="Calibri" w:hAnsi="Calibri"/>
          <w:sz w:val="21"/>
          <w:szCs w:val="21"/>
        </w:rPr>
        <w:t xml:space="preserve">de hosting) o incidentes de seguridad.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7.3. El timbrado depende de un Proveedor Autorizado de Certificación (PAC) y</w:t>
      </w:r>
    </w:p>
    <w:p>
      <w:r>
        <w:rPr>
          <w:rFonts w:ascii="Calibri" w:hAnsi="Calibri"/>
          <w:sz w:val="21"/>
          <w:szCs w:val="21"/>
        </w:rPr>
        <w:t xml:space="preserve">de la disponibilidad de los servicios del SAT, ajenos al control de HCGM. Éste</w:t>
      </w:r>
    </w:p>
    <w:p>
      <w:r>
        <w:rPr>
          <w:rFonts w:ascii="Calibri" w:hAnsi="Calibri"/>
          <w:sz w:val="21"/>
          <w:szCs w:val="21"/>
        </w:rPr>
        <w:t xml:space="preserve">último no asume responsabilidad por indisponibilidad de dichos terceros;</w:t>
      </w:r>
    </w:p>
    <w:p>
      <w:r>
        <w:rPr>
          <w:rFonts w:ascii="Calibri" w:hAnsi="Calibri"/>
          <w:sz w:val="21"/>
          <w:szCs w:val="21"/>
        </w:rPr>
        <w:t xml:space="preserve">reintentará conforme sus rutinas técnicas y notificará a EL CLIENTE cuando</w:t>
      </w:r>
    </w:p>
    <w:p>
      <w:r>
        <w:rPr>
          <w:rFonts w:ascii="Calibri" w:hAnsi="Calibri"/>
          <w:sz w:val="21"/>
          <w:szCs w:val="21"/>
        </w:rPr>
        <w:t xml:space="preserve">corresponda.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7.4. En ningún caso HCGM será responsable por:</w:t>
      </w:r>
    </w:p>
    <w:p>
      <w:pPr>
        <w:spacing w:before="0" w:after="60"/>
      </w:pP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a) Multas, recargos o sanciones fiscales impuestas a EL CLIENTE por el SAT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o cualquier autoridad, derivadas de la operación de EL CLIENTE o de la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información que este capture.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b) Daños indirectos, incidentales, consecuenciales, lucro cesante o pérdida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de oportunidad.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c) Interrupciones causadas por el SAT, el PAC, el proveedor de hosting,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servicios de red, actos de gobierno o cualquier tercero.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d) Uso indebido del Servicio por EL CLIENTE o sus usuarios.</w:t>
      </w:r>
    </w:p>
    <w:p>
      <w:pPr>
        <w:ind w:left="200"/>
      </w:pPr>
      <w:r>
        <w:rPr>
          <w:rFonts w:ascii="Calibri" w:hAnsi="Calibri"/>
          <w:sz w:val="21"/>
          <w:szCs w:val="21"/>
        </w:rPr>
        <w:t xml:space="preserve">e) Pérdida de datos por eliminación intencional de EL CLIENTE o por</w:t>
      </w:r>
    </w:p>
    <w:p>
      <w:pPr>
        <w:ind w:left="500"/>
      </w:pPr>
      <w:r>
        <w:rPr>
          <w:rFonts w:ascii="Calibri" w:hAnsi="Calibri"/>
          <w:sz w:val="21"/>
          <w:szCs w:val="21"/>
        </w:rPr>
        <w:t xml:space="preserve">vulneración de sus credenciales.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7.5. Tope de responsabilidad. En cualquier caso en que HCGM resultare</w:t>
      </w:r>
    </w:p>
    <w:p>
      <w:r>
        <w:rPr>
          <w:rFonts w:ascii="Calibri" w:hAnsi="Calibri"/>
          <w:sz w:val="21"/>
          <w:szCs w:val="21"/>
        </w:rPr>
        <w:t xml:space="preserve">responsable, el monto máximo de indemnización se limita al importe efectivamente</w:t>
      </w:r>
    </w:p>
    <w:p>
      <w:r>
        <w:rPr>
          <w:rFonts w:ascii="Calibri" w:hAnsi="Calibri"/>
          <w:sz w:val="21"/>
          <w:szCs w:val="21"/>
        </w:rPr>
        <w:t xml:space="preserve">pagado por EL CLIENTE a HCGM durante los doce (12) meses inmediatos anteriores</w:t>
      </w:r>
    </w:p>
    <w:p>
      <w:r>
        <w:rPr>
          <w:rFonts w:ascii="Calibri" w:hAnsi="Calibri"/>
          <w:sz w:val="21"/>
          <w:szCs w:val="21"/>
        </w:rPr>
        <w:t xml:space="preserve">al hecho generador.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7.6. Las limitaciones anteriores no aplican en caso de dolo o culpa grave de</w:t>
      </w:r>
    </w:p>
    <w:p>
      <w:r>
        <w:rPr>
          <w:rFonts w:ascii="Calibri" w:hAnsi="Calibri"/>
          <w:sz w:val="21"/>
          <w:szCs w:val="21"/>
        </w:rPr>
        <w:t xml:space="preserve">HCGM debidamente acreditados en sentencia firme.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7.7. Fuerza mayor. Ninguna parte será responsable por incumplimiento derivado</w:t>
      </w:r>
    </w:p>
    <w:p>
      <w:r>
        <w:rPr>
          <w:rFonts w:ascii="Calibri" w:hAnsi="Calibri"/>
          <w:sz w:val="21"/>
          <w:szCs w:val="21"/>
        </w:rPr>
        <w:t xml:space="preserve">de caso fortuito o fuerza mayor: fallas de infraestructura pública,</w:t>
      </w:r>
    </w:p>
    <w:p>
      <w:r>
        <w:rPr>
          <w:rFonts w:ascii="Calibri" w:hAnsi="Calibri"/>
          <w:sz w:val="21"/>
          <w:szCs w:val="21"/>
        </w:rPr>
        <w:t xml:space="preserve">indisponibilidad del SAT o del PAC, catástrofes naturales, guerra, actos de</w:t>
      </w:r>
    </w:p>
    <w:p>
      <w:r>
        <w:rPr>
          <w:rFonts w:ascii="Calibri" w:hAnsi="Calibri"/>
          <w:sz w:val="21"/>
          <w:szCs w:val="21"/>
        </w:rPr>
        <w:t xml:space="preserve">gobierno, pandemias o cualquier evento fuera de su control razonable.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OCTAVA — PROPIEDAD INTELECTUAL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8.1. El software, diseño, código, marcas, logotipos y documentación del</w:t>
      </w:r>
    </w:p>
    <w:p>
      <w:r>
        <w:rPr>
          <w:rFonts w:ascii="Calibri" w:hAnsi="Calibri"/>
          <w:sz w:val="21"/>
          <w:szCs w:val="21"/>
        </w:rPr>
        <w:t xml:space="preserve">Servicio son propiedad exclusiva de HCGM o de sus licenciantes.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8.2. HCGM otorga a EL CLIENTE una licencia no exclusiva, no transferible y</w:t>
      </w:r>
    </w:p>
    <w:p>
      <w:r>
        <w:rPr>
          <w:rFonts w:ascii="Calibri" w:hAnsi="Calibri"/>
          <w:sz w:val="21"/>
          <w:szCs w:val="21"/>
        </w:rPr>
        <w:t xml:space="preserve">revocable de uso del Servicio, limitada a la vigencia del contrato y a los</w:t>
      </w:r>
    </w:p>
    <w:p>
      <w:r>
        <w:rPr>
          <w:rFonts w:ascii="Calibri" w:hAnsi="Calibri"/>
          <w:sz w:val="21"/>
          <w:szCs w:val="21"/>
        </w:rPr>
        <w:t xml:space="preserve">usuarios y volúmenes contratados.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8.3. Los datos fiscales y operativos de EL CLIENTE son propiedad de EL</w:t>
      </w:r>
    </w:p>
    <w:p>
      <w:r>
        <w:rPr>
          <w:rFonts w:ascii="Calibri" w:hAnsi="Calibri"/>
          <w:sz w:val="21"/>
          <w:szCs w:val="21"/>
        </w:rPr>
        <w:t xml:space="preserve">CLIENTE. HCGM los custodia como encargado y EL CLIENTE podrá exportarlos en</w:t>
      </w:r>
    </w:p>
    <w:p>
      <w:r>
        <w:rPr>
          <w:rFonts w:ascii="Calibri" w:hAnsi="Calibri"/>
          <w:sz w:val="21"/>
          <w:szCs w:val="21"/>
        </w:rPr>
        <w:t xml:space="preserve">cualquier momento desde la plataforma o solicitarlos por escrito a HCGM.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NOVENA — MODIFICACIONES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HCGM podrá modificar estos Términos notificando a EL CLIENTE por correo</w:t>
      </w:r>
    </w:p>
    <w:p>
      <w:r>
        <w:rPr>
          <w:rFonts w:ascii="Calibri" w:hAnsi="Calibri"/>
          <w:sz w:val="21"/>
          <w:szCs w:val="21"/>
        </w:rPr>
        <w:t xml:space="preserve">electrónico y mediante aviso destacado en la plataforma, con al menos quince</w:t>
      </w:r>
    </w:p>
    <w:p>
      <w:r>
        <w:rPr>
          <w:rFonts w:ascii="Calibri" w:hAnsi="Calibri"/>
          <w:sz w:val="21"/>
          <w:szCs w:val="21"/>
        </w:rPr>
        <w:t xml:space="preserve">(15) días naturales de anticipación. El uso continuado del Servicio después</w:t>
      </w:r>
    </w:p>
    <w:p>
      <w:r>
        <w:rPr>
          <w:rFonts w:ascii="Calibri" w:hAnsi="Calibri"/>
          <w:sz w:val="21"/>
          <w:szCs w:val="21"/>
        </w:rPr>
        <w:t xml:space="preserve">de la fecha de vigencia constituye aceptación. Si EL CLIENTE no está de</w:t>
      </w:r>
    </w:p>
    <w:p>
      <w:r>
        <w:rPr>
          <w:rFonts w:ascii="Calibri" w:hAnsi="Calibri"/>
          <w:sz w:val="21"/>
          <w:szCs w:val="21"/>
        </w:rPr>
        <w:t xml:space="preserve">acuerdo, podrá terminar conforme a la cláusula TERCERA. Cada versión queda</w:t>
      </w:r>
    </w:p>
    <w:p>
      <w:r>
        <w:rPr>
          <w:rFonts w:ascii="Calibri" w:hAnsi="Calibri"/>
          <w:sz w:val="21"/>
          <w:szCs w:val="21"/>
        </w:rPr>
        <w:t xml:space="preserve">archivada por HCGM con su número y fecha.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DÉCIMA — LEY APLICABLE Y JURISDICCIÓN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Este contrato se rige por las leyes federales de los Estados Unidos Mexicanos.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Para toda interpretación, cumplimiento y ejecución, las partes se someten</w:t>
      </w:r>
    </w:p>
    <w:p>
      <w:r>
        <w:rPr>
          <w:rFonts w:ascii="Calibri" w:hAnsi="Calibri"/>
          <w:sz w:val="21"/>
          <w:szCs w:val="21"/>
        </w:rPr>
        <w:t xml:space="preserve">expresamente a la jurisdicción de los tribunales competentes en el Estado de</w:t>
      </w:r>
    </w:p>
    <w:p>
      <w:r>
        <w:rPr>
          <w:rFonts w:ascii="Calibri" w:hAnsi="Calibri"/>
          <w:sz w:val="21"/>
          <w:szCs w:val="21"/>
        </w:rPr>
        <w:t xml:space="preserve">Aguascalientes, Aguascalientes, México, renunciando a cualquier otro fuero</w:t>
      </w:r>
    </w:p>
    <w:p>
      <w:r>
        <w:rPr>
          <w:rFonts w:ascii="Calibri" w:hAnsi="Calibri"/>
          <w:sz w:val="21"/>
          <w:szCs w:val="21"/>
        </w:rPr>
        <w:t xml:space="preserve">que por razón de su domicilio presente o futuro pudiera corresponderles.</w:t>
      </w:r>
    </w:p>
    <w:p>
      <w:pPr>
        <w:spacing w:before="0" w:after="60"/>
      </w:pPr>
    </w:p>
    <w:p>
      <w:pPr>
        <w:spacing w:before="40" w:after="40"/>
        <w:pBdr>
          <w:bottom w:val="single" w:sz="6" w:space="1" w:color="9AA0A6"/>
        </w:pBdr>
      </w:pP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ACEPTACIÓN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EL CLIENTE manifiesta que leyó y acepta el presente contrato y los Términos y</w:t>
      </w:r>
    </w:p>
    <w:p>
      <w:r>
        <w:rPr>
          <w:rFonts w:ascii="Calibri" w:hAnsi="Calibri"/>
          <w:sz w:val="21"/>
          <w:szCs w:val="21"/>
        </w:rPr>
        <w:t xml:space="preserve">Condiciones en su versión 2026-07-29.1, y lo firma con la Firma</w:t>
      </w:r>
    </w:p>
    <w:p>
      <w:r>
        <w:rPr>
          <w:rFonts w:ascii="Calibri" w:hAnsi="Calibri"/>
          <w:sz w:val="21"/>
          <w:szCs w:val="21"/>
        </w:rPr>
        <w:t xml:space="preserve">Electrónica Avanzada (e.firma) del contribuyente [RFC DEL CLIENTE],</w:t>
      </w:r>
    </w:p>
    <w:p>
      <w:r>
        <w:rPr>
          <w:rFonts w:ascii="Calibri" w:hAnsi="Calibri"/>
          <w:sz w:val="21"/>
          <w:szCs w:val="21"/>
        </w:rPr>
        <w:t xml:space="preserve">con los efectos jurídicos que le reconocen el Código de Comercio y el Código</w:t>
      </w:r>
    </w:p>
    <w:p>
      <w:r>
        <w:rPr>
          <w:rFonts w:ascii="Calibri" w:hAnsi="Calibri"/>
          <w:sz w:val="21"/>
          <w:szCs w:val="21"/>
        </w:rPr>
        <w:t xml:space="preserve">Fiscal de la Federación.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La firma se realiza sobre el texto íntegro de este documento. Cualquier</w:t>
      </w:r>
    </w:p>
    <w:p>
      <w:r>
        <w:rPr>
          <w:rFonts w:ascii="Calibri" w:hAnsi="Calibri"/>
          <w:sz w:val="21"/>
          <w:szCs w:val="21"/>
        </w:rPr>
        <w:t xml:space="preserve">alteración posterior invalida la firma.</w:t>
      </w:r>
    </w:p>
    <w:p>
      <w:pPr>
        <w:spacing w:before="0" w:after="60"/>
      </w:pPr>
    </w:p>
    <w:p>
      <w:pPr>
        <w:spacing w:before="40" w:after="40"/>
        <w:pBdr>
          <w:bottom w:val="single" w:sz="6" w:space="1" w:color="9AA0A6"/>
        </w:pBdr>
      </w:pPr>
    </w:p>
    <w:p>
      <w:pPr>
        <w:spacing w:before="0" w:after="60"/>
      </w:pPr>
    </w:p>
    <w:p>
      <w:r>
        <w:rPr>
          <w:rFonts w:ascii="Calibri" w:hAnsi="Calibri"/>
          <w:b/>
          <w:sz w:val="26"/>
          <w:szCs w:val="26"/>
        </w:rPr>
        <w:t xml:space="preserve">MANIFIESTO PARA EL SERVICIO DE TIMBRADO DE DOCUMENTOS</w:t>
      </w:r>
    </w:p>
    <w:p>
      <w:r>
        <w:rPr>
          <w:rFonts w:ascii="Calibri" w:hAnsi="Calibri"/>
          <w:sz w:val="21"/>
          <w:szCs w:val="21"/>
        </w:rPr>
        <w:t xml:space="preserve">Versión: 2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AUTORIZACIÓN Y MANIFESTACIÓN DE CONOCIMIENTO A PRODIGIA PROCESOS DIGITALES</w:t>
      </w:r>
    </w:p>
    <w:p>
      <w:r>
        <w:rPr>
          <w:rFonts w:ascii="Calibri" w:hAnsi="Calibri"/>
          <w:sz w:val="21"/>
          <w:szCs w:val="21"/>
        </w:rPr>
        <w:t xml:space="preserve">ADMINISTRATIVOS, S.A. DE C.V.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El Contribuyente [NOMBRE O RAZÓN SOCIAL DEL CLIENTE], con clave de RFC</w:t>
      </w:r>
    </w:p>
    <w:p>
      <w:r>
        <w:rPr>
          <w:rFonts w:ascii="Calibri" w:hAnsi="Calibri"/>
          <w:sz w:val="21"/>
          <w:szCs w:val="21"/>
        </w:rPr>
        <w:t xml:space="preserve">[RFC DEL CLIENTE], otorga la presente autorización a favor de</w:t>
      </w:r>
    </w:p>
    <w:p>
      <w:r>
        <w:rPr>
          <w:rFonts w:ascii="Calibri" w:hAnsi="Calibri"/>
          <w:sz w:val="21"/>
          <w:szCs w:val="21"/>
        </w:rPr>
        <w:t xml:space="preserve">PRODIGIA PROCESOS DIGITALES ADMINISTRATIVOS, SA DE CV, proveedor de</w:t>
      </w:r>
    </w:p>
    <w:p>
      <w:r>
        <w:rPr>
          <w:rFonts w:ascii="Calibri" w:hAnsi="Calibri"/>
          <w:sz w:val="21"/>
          <w:szCs w:val="21"/>
        </w:rPr>
        <w:t xml:space="preserve">Certificación de Comprobantes Fiscales Digitales a través de Internet (CFDI)</w:t>
      </w:r>
    </w:p>
    <w:p>
      <w:r>
        <w:rPr>
          <w:rFonts w:ascii="Calibri" w:hAnsi="Calibri"/>
          <w:sz w:val="21"/>
          <w:szCs w:val="21"/>
        </w:rPr>
        <w:t xml:space="preserve">autorizado por el SAT en su resolución número 600-04-03-2013-09763 de fecha</w:t>
      </w:r>
    </w:p>
    <w:p>
      <w:r>
        <w:rPr>
          <w:rFonts w:ascii="Calibri" w:hAnsi="Calibri"/>
          <w:sz w:val="21"/>
          <w:szCs w:val="21"/>
        </w:rPr>
        <w:t xml:space="preserve">19 de Febrero de 2013, para que le preste el servicio de Certificación de</w:t>
      </w:r>
    </w:p>
    <w:p>
      <w:r>
        <w:rPr>
          <w:rFonts w:ascii="Calibri" w:hAnsi="Calibri"/>
          <w:sz w:val="21"/>
          <w:szCs w:val="21"/>
        </w:rPr>
        <w:t xml:space="preserve">CFDI de conformidad a las siguientes: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CLÁUSULAS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PRIMERA. El servicio de Certificación de CFDI que proveerá PRODIGIA PROCESOS</w:t>
      </w:r>
    </w:p>
    <w:p>
      <w:r>
        <w:rPr>
          <w:rFonts w:ascii="Calibri" w:hAnsi="Calibri"/>
          <w:sz w:val="21"/>
          <w:szCs w:val="21"/>
        </w:rPr>
        <w:t xml:space="preserve">DIGITALES ADMINISTRATIVOS, SA DE CV de acuerdo a lo dispuesta en el primer</w:t>
      </w:r>
    </w:p>
    <w:p>
      <w:r>
        <w:rPr>
          <w:rFonts w:ascii="Calibri" w:hAnsi="Calibri"/>
          <w:sz w:val="21"/>
          <w:szCs w:val="21"/>
        </w:rPr>
        <w:t xml:space="preserve">párrafo de la regla 2.7.2.5, consiste en: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I. Validen el cumplimiento de los requisitos establecidos en el artículo 29-A</w:t>
      </w:r>
    </w:p>
    <w:p>
      <w:r>
        <w:rPr>
          <w:rFonts w:ascii="Calibri" w:hAnsi="Calibri"/>
          <w:sz w:val="21"/>
          <w:szCs w:val="21"/>
        </w:rPr>
        <w:t xml:space="preserve">de este Código, los establecidos en los complementos de los comprobantes</w:t>
      </w:r>
    </w:p>
    <w:p>
      <w:r>
        <w:rPr>
          <w:rFonts w:ascii="Calibri" w:hAnsi="Calibri"/>
          <w:sz w:val="21"/>
          <w:szCs w:val="21"/>
        </w:rPr>
        <w:t xml:space="preserve">fiscales digitales por Internet, así como las especificaciones en materia de</w:t>
      </w:r>
    </w:p>
    <w:p>
      <w:r>
        <w:rPr>
          <w:rFonts w:ascii="Calibri" w:hAnsi="Calibri"/>
          <w:sz w:val="21"/>
          <w:szCs w:val="21"/>
        </w:rPr>
        <w:t xml:space="preserve">informática y demás documentos que determine el Servicio de Administración</w:t>
      </w:r>
    </w:p>
    <w:p>
      <w:r>
        <w:rPr>
          <w:rFonts w:ascii="Calibri" w:hAnsi="Calibri"/>
          <w:sz w:val="21"/>
          <w:szCs w:val="21"/>
        </w:rPr>
        <w:t xml:space="preserve">Tributaria mediante reglas de carácter general.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II. Asignen el folio del comprobante fiscal digital por Internet.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III. Incorporen el sello digital del Servicio de Administración Tributaria.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SEGUNDA. El servicio de Certificación de CFDI es prestado directamente por</w:t>
      </w:r>
    </w:p>
    <w:p>
      <w:r>
        <w:rPr>
          <w:rFonts w:ascii="Calibri" w:hAnsi="Calibri"/>
          <w:sz w:val="21"/>
          <w:szCs w:val="21"/>
        </w:rPr>
        <w:t xml:space="preserve">PRODIGIA PROCESOS DIGITALES ADMINISTRATIVOS, SA DE CV.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TERCERA. De acuerdo a lo dispuesto en el segundo párrafo de la regla 2.7.2.7</w:t>
      </w:r>
    </w:p>
    <w:p>
      <w:r>
        <w:rPr>
          <w:rFonts w:ascii="Calibri" w:hAnsi="Calibri"/>
          <w:sz w:val="21"/>
          <w:szCs w:val="21"/>
        </w:rPr>
        <w:t xml:space="preserve">de la Resolución Miscelánea Fiscal vigente y en la regla 2.7.2.5 en el inciso</w:t>
      </w:r>
    </w:p>
    <w:p>
      <w:r>
        <w:rPr>
          <w:rFonts w:ascii="Calibri" w:hAnsi="Calibri"/>
          <w:sz w:val="21"/>
          <w:szCs w:val="21"/>
        </w:rPr>
        <w:t xml:space="preserve">II, el contribuyente manifiesta su conocimiento y presta su autorización para</w:t>
      </w:r>
    </w:p>
    <w:p>
      <w:r>
        <w:rPr>
          <w:rFonts w:ascii="Calibri" w:hAnsi="Calibri"/>
          <w:sz w:val="21"/>
          <w:szCs w:val="21"/>
        </w:rPr>
        <w:t xml:space="preserve">que PRODIGIA PROCESOS DIGITALES ADMINISTRATIVOS, SA DE CV entregue al SAT</w:t>
      </w:r>
    </w:p>
    <w:p>
      <w:r>
        <w:rPr>
          <w:rFonts w:ascii="Calibri" w:hAnsi="Calibri"/>
          <w:sz w:val="21"/>
          <w:szCs w:val="21"/>
        </w:rPr>
        <w:t xml:space="preserve">copia de los comprobantes que le haya certificado.</w:t>
      </w:r>
    </w:p>
    <w:p>
      <w:pPr>
        <w:spacing w:before="0" w:after="60"/>
      </w:pPr>
    </w:p>
    <w:p>
      <w:r>
        <w:rPr>
          <w:rFonts w:ascii="Calibri" w:hAnsi="Calibri"/>
          <w:b/>
          <w:sz w:val="23"/>
          <w:szCs w:val="23"/>
        </w:rPr>
        <w:t xml:space="preserve">CUARTA. Esta autorización es válida únicamente para el contribuyente</w:t>
      </w:r>
    </w:p>
    <w:p>
      <w:r>
        <w:rPr>
          <w:rFonts w:ascii="Calibri" w:hAnsi="Calibri"/>
          <w:sz w:val="21"/>
          <w:szCs w:val="21"/>
        </w:rPr>
        <w:t xml:space="preserve">especificado en este documento.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De conformidad con lo anterior se firma este documento el día _______________________</w:t>
      </w:r>
    </w:p>
    <w:p>
      <w:pPr>
        <w:spacing w:before="0" w:after="60"/>
      </w:pPr>
    </w:p>
    <w:p>
      <w:r>
        <w:rPr>
          <w:rFonts w:ascii="Calibri" w:hAnsi="Calibri"/>
          <w:sz w:val="21"/>
          <w:szCs w:val="21"/>
        </w:rPr>
        <w:t xml:space="preserve">Nombre del contribuyente: [NOMBRE O RAZÓN SOCIAL DEL CLIENTE]</w:t>
      </w:r>
    </w:p>
    <w:p>
      <w:r>
        <w:rPr>
          <w:rFonts w:ascii="Calibri" w:hAnsi="Calibri"/>
          <w:sz w:val="21"/>
          <w:szCs w:val="21"/>
        </w:rPr>
        <w:t xml:space="preserve">RFC del contribuyente: [RFC DEL CLIENTE]</w:t>
      </w:r>
    </w:p>
    <w:p>
      <w:pPr>
        <w:spacing w:before="0" w:after="60"/>
      </w:pPr>
    </w:p>
    <w:sectPr>
      <w:pgSz w:w="12240" w:h="15840"/>
      <w:pgMar w:top="1440" w:right="1440" w:bottom="1440" w:left="1440" w:header="720" w:footer="720" w:gutter="0"/>
    </w:sectPr>
  </w:body>
</w:document>
</file>