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600" w:line="276" w:lineRule="auto"/>
      </w:pPr>
    </w:p>
    <w:p>
      <w:pPr>
        <w:spacing w:before="0" w:after="80" w:line="276" w:lineRule="auto"/>
        <w:jc w:val="center"/>
      </w:pPr>
      <w:r>
        <w:rPr>
          <w:rFonts w:ascii="Calibri" w:hAnsi="Calibri"/>
          <w:b/>
          <w:color w:val="1F4E79"/>
          <w:sz w:val="56"/>
          <w:szCs w:val="56"/>
        </w:rPr>
        <w:t xml:space="preserve">GDM NEXO</w:t>
      </w:r>
    </w:p>
    <w:p>
      <w:pPr>
        <w:spacing w:before="0" w:after="40" w:line="276" w:lineRule="auto"/>
        <w:jc w:val="center"/>
      </w:pPr>
      <w:r>
        <w:rPr>
          <w:rFonts w:ascii="Calibri" w:hAnsi="Calibri"/>
          <w:color w:val="2E5A87"/>
          <w:sz w:val="28"/>
          <w:szCs w:val="28"/>
        </w:rPr>
        <w:t xml:space="preserve">ERP con Facturación Electrónica CFDI 4.0</w:t>
      </w:r>
    </w:p>
    <w:p>
      <w:pPr>
        <w:spacing w:before="0" w:after="220" w:line="276" w:lineRule="auto"/>
        <w:jc w:val="center"/>
      </w:pPr>
      <w:r>
        <w:rPr>
          <w:rFonts w:ascii="Calibri" w:hAnsi="Calibri"/>
          <w:b/>
          <w:sz w:val="30"/>
          <w:szCs w:val="30"/>
        </w:rPr>
        <w:t xml:space="preserve">Manual del usuario</w:t>
      </w:r>
    </w:p>
    <w:p>
      <w:pPr>
        <w:spacing w:before="0" w:after="320" w:line="276" w:lineRule="auto"/>
        <w:jc w:val="center"/>
      </w:pPr>
      <w:r>
        <w:rPr>
          <w:rFonts w:ascii="Calibri" w:hAnsi="Calibri"/>
          <w:color w:val="777777"/>
          <w:sz w:val="20"/>
          <w:szCs w:val="20"/>
        </w:rPr>
        <w:t xml:space="preserve">GRUPO HCGM, S.A. de C.V.  ·  High Consulting México  ·  Septiembre 2026</w:t>
      </w:r>
    </w:p>
    <w:p>
      <w:pPr>
        <w:spacing w:before="0" w:after="40" w:line="276" w:lineRule="auto"/>
        <w:jc w:val="center"/>
      </w:pPr>
      <w:r>
        <w:rPr>
          <w:rFonts w:ascii="Calibri" w:hAnsi="Calibri"/>
          <w:i/>
          <w:color w:val="555555"/>
          <w:sz w:val="22"/>
          <w:szCs w:val="22"/>
        </w:rPr>
        <w:t xml:space="preserve">GDM NEXO reúne en un solo sistema tu facturación, contabilidad, nómina, tesorería, inventario, compras y más. Este manual recorre los módulos; ten en cuenta que verás sólo los que tu usuario tiene permitidos.</w:t>
      </w:r>
    </w:p>
    <w:p>
      <w:pPr>
        <w:spacing w:before="0" w:after="0" w:line="276" w:lineRule="auto"/>
      </w:pPr>
      <w:r>
        <w:rPr>
          <w:rFonts w:ascii="Calibri" w:hAnsi="Calibri"/>
          <w:sz w:val="22"/>
          <w:szCs w:val="22"/>
        </w:rPr>
        <w:t xml:space="preserve"/>
      </w:r>
    </w:p>
    <w:p>
      <w:r>
        <w:br w:type="page"/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1. Acceso al sistema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Desde la página de inicio pulsa «Ingresar» e ingresa con tu correo y contraseña. En el primer acceso el sistema te pedirá cambiar tu contraseña temporal. Si tu usuario pertenece a varias empresas, podrás cambiar la empresa activa desde el menú.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Inicio de sesión.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Inicio de sesión.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2. Cómo está organizado NEXO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El menú lateral izquierdo agrupa los módulos. No todos los usuarios ven lo mismo: cada persona pertenece a un grupo de trabajo que define qué módulos aparecen, y tu administrador lo asigna. La pantalla a la que llegas al entrar también depende de tu grupo.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Menú lateral con los módulos disponibles para tu grupo.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Menú lateral.</w:t>
      </w:r>
    </w:p>
    <w:p>
      <w:pPr>
        <w:spacing w:before="220" w:after="80" w:line="276" w:lineRule="auto"/>
        <w:keepNext/>
      </w:pPr>
      <w:r>
        <w:rPr>
          <w:rFonts w:ascii="Calibri" w:hAnsi="Calibri"/>
          <w:b/>
          <w:color w:val="2E5A87"/>
          <w:sz w:val="25"/>
          <w:szCs w:val="25"/>
        </w:rPr>
        <w:t xml:space="preserve">Grupos de trabajo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Cada grupo alcanza lo que necesita para trabajar:</w:t>
      </w:r>
    </w:p>
    <w:tbl>
      <w:tblPr>
        <w:tblW w:w="1008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</w:tblPr>
      <w:tblGrid>
        <w:gridCol w:w="2800"/>
        <w:gridCol w:w="7280"/>
      </w:tblGrid>
      <w:tr>
        <w:tc>
          <w:tcPr>
            <w:tcW w:w="2800" w:type="dxa"/>
            <w:shd w:val="clear" w:fill="E7EDF3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  <w:szCs w:val="19"/>
              </w:rPr>
              <w:t xml:space="preserve">Grupo</w:t>
            </w:r>
          </w:p>
        </w:tc>
        <w:tc>
          <w:tcPr>
            <w:tcW w:w="7280" w:type="dxa"/>
            <w:shd w:val="clear" w:fill="E7EDF3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  <w:szCs w:val="19"/>
              </w:rPr>
              <w:t xml:space="preserve">Qué ve</w:t>
            </w:r>
          </w:p>
        </w:tc>
      </w:tr>
      <w:tr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Administrador</w:t>
            </w:r>
          </w:p>
        </w:tc>
        <w:tc>
          <w:tcPr>
            <w:tcW w:w="72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Todos los módulos del sistema.</w:t>
            </w:r>
          </w:p>
        </w:tc>
      </w:tr>
      <w:tr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Ventas</w:t>
            </w:r>
          </w:p>
        </w:tc>
        <w:tc>
          <w:tcPr>
            <w:tcW w:w="72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Facturas, Carta Porte, Notas de crédito, Clientes, Productos, Lector de XML, Punto de Venta y Monedas.</w:t>
            </w:r>
          </w:p>
        </w:tc>
      </w:tr>
      <w:tr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Almacén</w:t>
            </w:r>
          </w:p>
        </w:tc>
        <w:tc>
          <w:tcPr>
            <w:tcW w:w="72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Productos y Almacén (existencias, almacenes, inventario físico).</w:t>
            </w:r>
          </w:p>
        </w:tc>
      </w:tr>
      <w:tr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Compras</w:t>
            </w:r>
          </w:p>
        </w:tc>
        <w:tc>
          <w:tcPr>
            <w:tcW w:w="72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Compras (órdenes, faltantes y recepción de XML), Proveedores, Productos y Lector de XML.</w:t>
            </w:r>
          </w:p>
        </w:tc>
      </w:tr>
      <w:tr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Tesorería</w:t>
            </w:r>
          </w:p>
        </w:tc>
        <w:tc>
          <w:tcPr>
            <w:tcW w:w="72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Tesorería (cuentas por pagar, remesas y pagos), Proveedores y Monedas.</w:t>
            </w:r>
          </w:p>
        </w:tc>
      </w:tr>
      <w:tr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Punto de venta</w:t>
            </w:r>
          </w:p>
        </w:tc>
        <w:tc>
          <w:tcPr>
            <w:tcW w:w="72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Únicamente el Punto de Venta. Pensado para el cajero de mostrador.</w:t>
            </w:r>
          </w:p>
        </w:tc>
      </w:tr>
      <w:tr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Recursos Humanos</w:t>
            </w:r>
          </w:p>
        </w:tc>
        <w:tc>
          <w:tcPr>
            <w:tcW w:w="72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Nómina completa (expediente, cálculo, parámetros y reportes) y Lector de XML.</w:t>
            </w:r>
          </w:p>
        </w:tc>
      </w:tr>
      <w:tr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Contabilidad</w:t>
            </w:r>
          </w:p>
        </w:tc>
        <w:tc>
          <w:tcPr>
            <w:tcW w:w="72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Catálogo de cuentas, pólizas, balanza y estados financieros; Clientes, Proveedores, Tesorería, Lector de XML y Auditoría (69-B).</w:t>
            </w:r>
          </w:p>
        </w:tc>
      </w:tr>
    </w:tbl>
    <w:p>
      <w:pPr>
        <w:spacing w:before="0" w:after="160" w:line="276" w:lineRule="auto"/>
      </w:pP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Nota: esconder un módulo del menú no es lo que protege el sistema; el servidor vuelve a verificar tus permisos en cada acción, así que teclear una dirección que no te toca no te da acceso.</w:t>
      </w:r>
    </w:p>
    <w:p>
      <w:pPr>
        <w:spacing w:before="220" w:after="80" w:line="276" w:lineRule="auto"/>
        <w:keepNext/>
      </w:pPr>
      <w:r>
        <w:rPr>
          <w:rFonts w:ascii="Calibri" w:hAnsi="Calibri"/>
          <w:b/>
          <w:color w:val="2E5A87"/>
          <w:sz w:val="25"/>
          <w:szCs w:val="25"/>
        </w:rPr>
        <w:t xml:space="preserve">Varias empresas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Si operas más de una empresa, usa «Cambiar empresa» para alternar. Cada empresa tiene su propio catálogo, folios y contabilidad.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Menú de cambio de empresa.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Cambio de empresa activa.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3. Dashboard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Resumen del negocio al día: ventas, cobrado, saldo por cobrar y línea de crédito. Es información de dirección, por eso no todos los grupos lo ven.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Dashboard.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Dashboard.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4. Facturas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Lista tus facturas con su folio, cliente, total, saldo y estado: Capturada (borrador), Timbrada, Pagada o Cancelada. Con «Nueva Factura» creas un comprobante CFDI 4.0; cada factura pasa por un flujo hasta timbrarse ante el SAT.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Panel de Facturas.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Panel de Facturas.</w:t>
      </w:r>
    </w:p>
    <w:p>
      <w:pPr>
        <w:spacing w:before="220" w:after="80" w:line="276" w:lineRule="auto"/>
        <w:keepNext/>
      </w:pPr>
      <w:r>
        <w:rPr>
          <w:rFonts w:ascii="Calibri" w:hAnsi="Calibri"/>
          <w:b/>
          <w:color w:val="2E5A87"/>
          <w:sz w:val="25"/>
          <w:szCs w:val="25"/>
        </w:rPr>
        <w:t xml:space="preserve">Los iconos de acción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Según el estado de la factura verás distintos iconos:</w:t>
      </w:r>
    </w:p>
    <w:tbl>
      <w:tblPr>
        <w:tblW w:w="10080" w:type="dxa"/>
        <w:tblBorders>
          <w:top w:val="single" w:sz="4" w:space="0" w:color="C9CED3"/>
          <w:left w:val="single" w:sz="4" w:space="0" w:color="C9CED3"/>
          <w:bottom w:val="single" w:sz="4" w:space="0" w:color="C9CED3"/>
          <w:right w:val="single" w:sz="4" w:space="0" w:color="C9CED3"/>
          <w:insideH w:val="single" w:sz="4" w:space="0" w:color="C9CED3"/>
          <w:insideV w:val="single" w:sz="4" w:space="0" w:color="C9CED3"/>
        </w:tblBorders>
      </w:tblPr>
      <w:tblGrid>
        <w:gridCol w:w="1600"/>
        <w:gridCol w:w="1400"/>
        <w:gridCol w:w="4680"/>
        <w:gridCol w:w="2400"/>
      </w:tblGrid>
      <w:tr>
        <w:tc>
          <w:tcPr>
            <w:tcW w:w="1600" w:type="dxa"/>
            <w:shd w:val="clear" w:fill="E7EDF3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  <w:szCs w:val="19"/>
              </w:rPr>
              <w:t xml:space="preserve">Color</w:t>
            </w:r>
          </w:p>
        </w:tc>
        <w:tc>
          <w:tcPr>
            <w:tcW w:w="1400" w:type="dxa"/>
            <w:shd w:val="clear" w:fill="E7EDF3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  <w:szCs w:val="19"/>
              </w:rPr>
              <w:t xml:space="preserve">Icono</w:t>
            </w:r>
          </w:p>
        </w:tc>
        <w:tc>
          <w:tcPr>
            <w:tcW w:w="4680" w:type="dxa"/>
            <w:shd w:val="clear" w:fill="E7EDF3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  <w:szCs w:val="19"/>
              </w:rPr>
              <w:t xml:space="preserve">Qué hace</w:t>
            </w:r>
          </w:p>
        </w:tc>
        <w:tc>
          <w:tcPr>
            <w:tcW w:w="2400" w:type="dxa"/>
            <w:shd w:val="clear" w:fill="E7EDF3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sz w:val="19"/>
                <w:szCs w:val="19"/>
              </w:rPr>
              <w:t xml:space="preserve">Aparece en</w:t>
            </w:r>
          </w:p>
        </w:tc>
      </w:tr>
      <w:tr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C0392B"/>
                <w:sz w:val="22"/>
                <w:szCs w:val="22"/>
              </w:rPr>
              <w:t xml:space="preserve">● </w:t>
            </w:r>
            <w:r>
              <w:rPr>
                <w:rFonts w:ascii="Calibri" w:hAnsi="Calibri"/>
                <w:sz w:val="22"/>
                <w:szCs w:val="22"/>
              </w:rPr>
              <w:t xml:space="preserve">Rojo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PDF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Descarga el PDF de la factura.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Siempre</w:t>
            </w:r>
          </w:p>
        </w:tc>
      </w:tr>
      <w:tr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E8B57"/>
                <w:sz w:val="22"/>
                <w:szCs w:val="22"/>
              </w:rPr>
              <w:t xml:space="preserve">● </w:t>
            </w:r>
            <w:r>
              <w:rPr>
                <w:rFonts w:ascii="Calibri" w:hAnsi="Calibri"/>
                <w:sz w:val="22"/>
                <w:szCs w:val="22"/>
              </w:rPr>
              <w:t xml:space="preserve">Verde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XML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Descarga el archivo XML (CFDI) timbrado.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Siempre</w:t>
            </w:r>
          </w:p>
        </w:tc>
      </w:tr>
      <w:tr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563EB"/>
                <w:sz w:val="22"/>
                <w:szCs w:val="22"/>
              </w:rPr>
              <w:t xml:space="preserve">● </w:t>
            </w:r>
            <w:r>
              <w:rPr>
                <w:rFonts w:ascii="Calibri" w:hAnsi="Calibri"/>
                <w:sz w:val="22"/>
                <w:szCs w:val="22"/>
              </w:rPr>
              <w:t xml:space="preserve">Azul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Vista previa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Muestra el PDF sin descargarlo.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Siempre</w:t>
            </w:r>
          </w:p>
        </w:tc>
      </w:tr>
      <w:tr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563EB"/>
                <w:sz w:val="22"/>
                <w:szCs w:val="22"/>
              </w:rPr>
              <w:t xml:space="preserve">● </w:t>
            </w:r>
            <w:r>
              <w:rPr>
                <w:rFonts w:ascii="Calibri" w:hAnsi="Calibri"/>
                <w:sz w:val="22"/>
                <w:szCs w:val="22"/>
              </w:rPr>
              <w:t xml:space="preserve">Azul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Editar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Edita la factura (cliente, conceptos, importes).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Solo Capturada</w:t>
            </w:r>
          </w:p>
        </w:tc>
      </w:tr>
      <w:tr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7C3AED"/>
                <w:sz w:val="22"/>
                <w:szCs w:val="22"/>
              </w:rPr>
              <w:t xml:space="preserve">● </w:t>
            </w:r>
            <w:r>
              <w:rPr>
                <w:rFonts w:ascii="Calibri" w:hAnsi="Calibri"/>
                <w:sz w:val="22"/>
                <w:szCs w:val="22"/>
              </w:rPr>
              <w:t xml:space="preserve">Morado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Timbrar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Timbra el CFDI ante el SAT con el CSD del emisor.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Solo Capturada</w:t>
            </w:r>
          </w:p>
        </w:tc>
      </w:tr>
      <w:tr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E8B57"/>
                <w:sz w:val="22"/>
                <w:szCs w:val="22"/>
              </w:rPr>
              <w:t xml:space="preserve">● </w:t>
            </w:r>
            <w:r>
              <w:rPr>
                <w:rFonts w:ascii="Calibri" w:hAnsi="Calibri"/>
                <w:sz w:val="22"/>
                <w:szCs w:val="22"/>
              </w:rPr>
              <w:t xml:space="preserve">Verde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Abonos / saldo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Registra pagos, consulta notas de crédito y el saldo.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Solo Timbrada</w:t>
            </w:r>
          </w:p>
        </w:tc>
      </w:tr>
      <w:tr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4F46E5"/>
                <w:sz w:val="22"/>
                <w:szCs w:val="22"/>
              </w:rPr>
              <w:t xml:space="preserve">● </w:t>
            </w:r>
            <w:r>
              <w:rPr>
                <w:rFonts w:ascii="Calibri" w:hAnsi="Calibri"/>
                <w:sz w:val="22"/>
                <w:szCs w:val="22"/>
              </w:rPr>
              <w:t xml:space="preserve">Índigo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Historia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Historial de timbres: factura, notas de crédito y pagos.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Solo Timbrada</w:t>
            </w:r>
          </w:p>
        </w:tc>
      </w:tr>
      <w:tr>
        <w:tc>
          <w:tcPr>
            <w:tcW w:w="16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E67E22"/>
                <w:sz w:val="22"/>
                <w:szCs w:val="22"/>
              </w:rPr>
              <w:t xml:space="preserve">● </w:t>
            </w:r>
            <w:r>
              <w:rPr>
                <w:rFonts w:ascii="Calibri" w:hAnsi="Calibri"/>
                <w:sz w:val="22"/>
                <w:szCs w:val="22"/>
              </w:rPr>
              <w:t xml:space="preserve">Naranja</w:t>
            </w:r>
          </w:p>
        </w:tc>
        <w:tc>
          <w:tcPr>
            <w:tcW w:w="1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Cancelar</w:t>
            </w:r>
          </w:p>
        </w:tc>
        <w:tc>
          <w:tcPr>
            <w:tcW w:w="46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Cancela el CFDI ante el SAT indicando el motivo.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22"/>
                <w:szCs w:val="22"/>
              </w:rPr>
              <w:t xml:space="preserve">Timbrada</w:t>
            </w:r>
          </w:p>
        </w:tc>
      </w:tr>
    </w:tbl>
    <w:p>
      <w:pPr>
        <w:spacing w:before="0" w:after="160" w:line="276" w:lineRule="auto"/>
      </w:pP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Flujo típico: se Captura (borrador) → se Edita si hace falta → se Timbra (icono morado) → ya timbrada, se descarga el PDF/XML, se registran Abonos y, si procede, se Cancela.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5. Notas de crédito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Emite notas de crédito (CFDI de egreso) relacionadas a una factura, por descuento, bonificación o devolución. Quedan ligadas a la factura y ajustan su saldo.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Notas de crédito.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Notas de crédito.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6. Complementos de pago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Cuando cobras una factura PPD (pago en parcialidades o diferido), registra el pago para generar el Complemento de Recepción de Pagos 2.0. El sistema salda el documento y ajusta el saldo del cliente.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Registro de pagos y complemento.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Complementos de pago.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7. Clientes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Administra a tus clientes (receptores de tus facturas). Puedes darlos de alta, editarlos (lápiz azul) y eliminarlos (bote rojo). Los datos siguen el CFF Art. 29-A para CFDI 4.0.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Clientes.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Clientes.</w:t>
      </w:r>
    </w:p>
    <w:p>
      <w:pPr>
        <w:spacing w:before="220" w:after="80" w:line="276" w:lineRule="auto"/>
        <w:keepNext/>
      </w:pPr>
      <w:r>
        <w:rPr>
          <w:rFonts w:ascii="Calibri" w:hAnsi="Calibri"/>
          <w:b/>
          <w:color w:val="2E5A87"/>
          <w:sz w:val="25"/>
          <w:szCs w:val="25"/>
        </w:rPr>
        <w:t xml:space="preserve">Lectura de la Constancia de Situación Fiscal (CSF/CIF)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Al crear o editar un cliente, en lugar de teclear los datos puedes subir el PDF de su Constancia: el sistema la lee y llena solo el RFC, la razón social, el régimen fiscal y el domicilio.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Botón «Leer Constancia de Situación Fiscal → Subir PDF».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Lectura de la Constancia.</w:t>
      </w:r>
    </w:p>
    <w:p>
      <w:pPr>
        <w:spacing w:before="0" w:after="60" w:line="276" w:lineRule="auto"/>
        <w:ind w:left="380" w:hanging="300"/>
      </w:pPr>
      <w:r>
        <w:rPr>
          <w:rFonts w:ascii="Calibri" w:hAnsi="Calibri"/>
          <w:b/>
          <w:sz w:val="22"/>
          <w:szCs w:val="22"/>
        </w:rPr>
        <w:t xml:space="preserve">1.  </w:t>
      </w:r>
      <w:r>
        <w:rPr>
          <w:rFonts w:ascii="Calibri" w:hAnsi="Calibri"/>
          <w:sz w:val="22"/>
          <w:szCs w:val="22"/>
        </w:rPr>
        <w:t xml:space="preserve">Pulsa «Nuevo Cliente» (o el lápiz para editar).</w:t>
      </w:r>
    </w:p>
    <w:p>
      <w:pPr>
        <w:spacing w:before="0" w:after="60" w:line="276" w:lineRule="auto"/>
        <w:ind w:left="380" w:hanging="300"/>
      </w:pPr>
      <w:r>
        <w:rPr>
          <w:rFonts w:ascii="Calibri" w:hAnsi="Calibri"/>
          <w:b/>
          <w:sz w:val="22"/>
          <w:szCs w:val="22"/>
        </w:rPr>
        <w:t xml:space="preserve">2.  </w:t>
      </w:r>
      <w:r>
        <w:rPr>
          <w:rFonts w:ascii="Calibri" w:hAnsi="Calibri"/>
          <w:sz w:val="22"/>
          <w:szCs w:val="22"/>
        </w:rPr>
        <w:t xml:space="preserve">En el recuadro azul, pulsa «Subir PDF» y elige la Constancia.</w:t>
      </w:r>
    </w:p>
    <w:p>
      <w:pPr>
        <w:spacing w:before="0" w:after="60" w:line="276" w:lineRule="auto"/>
        <w:ind w:left="380" w:hanging="300"/>
      </w:pPr>
      <w:r>
        <w:rPr>
          <w:rFonts w:ascii="Calibri" w:hAnsi="Calibri"/>
          <w:b/>
          <w:sz w:val="22"/>
          <w:szCs w:val="22"/>
        </w:rPr>
        <w:t xml:space="preserve">3.  </w:t>
      </w:r>
      <w:r>
        <w:rPr>
          <w:rFonts w:ascii="Calibri" w:hAnsi="Calibri"/>
          <w:sz w:val="22"/>
          <w:szCs w:val="22"/>
        </w:rPr>
        <w:t xml:space="preserve">El sistema llena los datos fiscales; revísalos y completa el contacto si aplica.</w:t>
      </w:r>
    </w:p>
    <w:p>
      <w:pPr>
        <w:spacing w:before="0" w:after="60" w:line="276" w:lineRule="auto"/>
        <w:ind w:left="380" w:hanging="300"/>
      </w:pPr>
      <w:r>
        <w:rPr>
          <w:rFonts w:ascii="Calibri" w:hAnsi="Calibri"/>
          <w:b/>
          <w:sz w:val="22"/>
          <w:szCs w:val="22"/>
        </w:rPr>
        <w:t xml:space="preserve">4.  </w:t>
      </w:r>
      <w:r>
        <w:rPr>
          <w:rFonts w:ascii="Calibri" w:hAnsi="Calibri"/>
          <w:sz w:val="22"/>
          <w:szCs w:val="22"/>
        </w:rPr>
        <w:t xml:space="preserve">Pulsa «Crear cliente» o «Guardar cambios».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8. Productos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Catálogo de productos y servicios con su clave del SAT, unidad y precio, que usas al armar tus facturas y en el punto de venta.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Productos.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Productos.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9. Carta Porte 3.1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Genera el Complemento Carta Porte 3.1 para amparar el traslado de mercancías: captura ubicaciones (origen y destino), mercancías, autotransporte, figuras y distancias. Los catálogos de vehículos, operadores y aseguradoras se dan de alta una vez y se reutilizan.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Carta Porte.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Carta Porte 3.1.</w:t>
      </w:r>
    </w:p>
    <w:p>
      <w:pPr>
        <w:spacing w:before="220" w:after="80" w:line="276" w:lineRule="auto"/>
        <w:keepNext/>
      </w:pPr>
      <w:r>
        <w:rPr>
          <w:rFonts w:ascii="Calibri" w:hAnsi="Calibri"/>
          <w:b/>
          <w:color w:val="2E5A87"/>
          <w:sz w:val="25"/>
          <w:szCs w:val="25"/>
        </w:rPr>
        <w:t xml:space="preserve">Lector de XML de Carta Porte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Si ya cuentas con el XML, cárgalo en «Lector XML» dentro de Carta Porte y el sistema extrae las ubicaciones y mercancías del complemento, sin recapturar.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10. Lector de XML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Carga XML del SAT (emitidos o recibidos) para alimentar catálogos, compras y contabilidad de una sola pasada. Útil para poner al día una empresa a partir de sus comprobantes.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Lector de XML.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Lector de XML.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11. Punto de venta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Caja de mostrador: busca los productos, cobra y emite el comprobante. Está pensada para el cajero, que sólo ve la caja.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Punto de venta.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Punto de venta.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12. Inventario y almacenes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Administra almacenes y existencias. Consulta el Kardex (entradas, salidas y costo), levanta el Inventario físico para cuadrar contra lo real y revisa los Faltantes.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Inventario / Kardex.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Inventario y almacenes.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13. Compras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Levanta órdenes de compra a tus proveedores y recibe la mercancía cargando el XML de la factura del proveedor, que además alimenta el inventario y la contabilidad.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Órdenes de compra.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Compras.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14. Proveedores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Catálogo de proveedores; lo usan Compras y Tesorería. El alta, la edición y la lectura de la Constancia de Situación Fiscal funcionan igual que en Clientes.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Proveedores.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Proveedores.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15. Tesorería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Cuentas por pagar y bancos. Carga tus estados de cuenta en PDF y el sistema arma los movimientos y verifica que cuadren contra el saldo. Concilia contra la contabilidad y maneja tus tarjetas de crédito como pasivo.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Tesorería / Bancos.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Tesorería.</w:t>
      </w:r>
    </w:p>
    <w:p>
      <w:pPr>
        <w:spacing w:before="220" w:after="80" w:line="276" w:lineRule="auto"/>
        <w:keepNext/>
      </w:pPr>
      <w:r>
        <w:rPr>
          <w:rFonts w:ascii="Calibri" w:hAnsi="Calibri"/>
          <w:b/>
          <w:color w:val="2E5A87"/>
          <w:sz w:val="25"/>
          <w:szCs w:val="25"/>
        </w:rPr>
        <w:t xml:space="preserve">Cargar un estado de cuenta</w:t>
      </w:r>
    </w:p>
    <w:p>
      <w:pPr>
        <w:spacing w:before="0" w:after="60" w:line="276" w:lineRule="auto"/>
        <w:ind w:left="380" w:hanging="300"/>
      </w:pPr>
      <w:r>
        <w:rPr>
          <w:rFonts w:ascii="Calibri" w:hAnsi="Calibri"/>
          <w:b/>
          <w:sz w:val="22"/>
          <w:szCs w:val="22"/>
        </w:rPr>
        <w:t xml:space="preserve">1.  </w:t>
      </w:r>
      <w:r>
        <w:rPr>
          <w:rFonts w:ascii="Calibri" w:hAnsi="Calibri"/>
          <w:sz w:val="22"/>
          <w:szCs w:val="22"/>
        </w:rPr>
        <w:t xml:space="preserve">Entra a Tesorería → Bancos y elige la cuenta.</w:t>
      </w:r>
    </w:p>
    <w:p>
      <w:pPr>
        <w:spacing w:before="0" w:after="60" w:line="276" w:lineRule="auto"/>
        <w:ind w:left="380" w:hanging="300"/>
      </w:pPr>
      <w:r>
        <w:rPr>
          <w:rFonts w:ascii="Calibri" w:hAnsi="Calibri"/>
          <w:b/>
          <w:sz w:val="22"/>
          <w:szCs w:val="22"/>
        </w:rPr>
        <w:t xml:space="preserve">2.  </w:t>
      </w:r>
      <w:r>
        <w:rPr>
          <w:rFonts w:ascii="Calibri" w:hAnsi="Calibri"/>
          <w:sz w:val="22"/>
          <w:szCs w:val="22"/>
        </w:rPr>
        <w:t xml:space="preserve">Pulsa «Cargar estado de cuenta» y sube el PDF.</w:t>
      </w:r>
    </w:p>
    <w:p>
      <w:pPr>
        <w:spacing w:before="0" w:after="60" w:line="276" w:lineRule="auto"/>
        <w:ind w:left="380" w:hanging="300"/>
      </w:pPr>
      <w:r>
        <w:rPr>
          <w:rFonts w:ascii="Calibri" w:hAnsi="Calibri"/>
          <w:b/>
          <w:sz w:val="22"/>
          <w:szCs w:val="22"/>
        </w:rPr>
        <w:t xml:space="preserve">3.  </w:t>
      </w:r>
      <w:r>
        <w:rPr>
          <w:rFonts w:ascii="Calibri" w:hAnsi="Calibri"/>
          <w:sz w:val="22"/>
          <w:szCs w:val="22"/>
        </w:rPr>
        <w:t xml:space="preserve">El sistema detecta el banco y arma los movimientos automáticamente.</w:t>
      </w:r>
    </w:p>
    <w:p>
      <w:pPr>
        <w:spacing w:before="0" w:after="60" w:line="276" w:lineRule="auto"/>
        <w:ind w:left="380" w:hanging="300"/>
      </w:pPr>
      <w:r>
        <w:rPr>
          <w:rFonts w:ascii="Calibri" w:hAnsi="Calibri"/>
          <w:b/>
          <w:sz w:val="22"/>
          <w:szCs w:val="22"/>
        </w:rPr>
        <w:t xml:space="preserve">4.  </w:t>
      </w:r>
      <w:r>
        <w:rPr>
          <w:rFonts w:ascii="Calibri" w:hAnsi="Calibri"/>
          <w:sz w:val="22"/>
          <w:szCs w:val="22"/>
        </w:rPr>
        <w:t xml:space="preserve">Revisa que cuadre contra el saldo final del periodo y confirma.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Nota: si el PDF viene escaneado (una imagen, sin texto), el sistema no puede leerlo; consigue el PDF con texto o el archivo CSV del banco.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16. Contabilidad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El núcleo contable: catálogo de cuentas, pólizas (de venta, de compra y manuales), balanza de comprobación y estados financieros.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Contabilidad.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Contabilidad.</w:t>
      </w:r>
    </w:p>
    <w:p>
      <w:pPr>
        <w:spacing w:before="220" w:after="80" w:line="276" w:lineRule="auto"/>
        <w:keepNext/>
      </w:pPr>
      <w:r>
        <w:rPr>
          <w:rFonts w:ascii="Calibri" w:hAnsi="Calibri"/>
          <w:b/>
          <w:color w:val="2E5A87"/>
          <w:sz w:val="25"/>
          <w:szCs w:val="25"/>
        </w:rPr>
        <w:t xml:space="preserve">Catálogo de cuentas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Al abrir una empresa nueva, lo primero es cargar tu catálogo de cuentas; hasta entonces el resto de contabilidad permanece bloqueado. Puedes capturarlo o importarlo.</w:t>
      </w:r>
    </w:p>
    <w:p>
      <w:pPr>
        <w:spacing w:before="220" w:after="80" w:line="276" w:lineRule="auto"/>
        <w:keepNext/>
      </w:pPr>
      <w:r>
        <w:rPr>
          <w:rFonts w:ascii="Calibri" w:hAnsi="Calibri"/>
          <w:b/>
          <w:color w:val="2E5A87"/>
          <w:sz w:val="25"/>
          <w:szCs w:val="25"/>
        </w:rPr>
        <w:t xml:space="preserve">Pólizas y balanza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Las pólizas se generan a partir de tus CFDI y movimientos. La balanza suma todo el mes y garantiza que los cargos igualen a los abonos; si algo no cuadra, la pantalla de Validación te dice por qué.</w:t>
      </w:r>
    </w:p>
    <w:p>
      <w:pPr>
        <w:spacing w:before="220" w:after="80" w:line="276" w:lineRule="auto"/>
        <w:keepNext/>
      </w:pPr>
      <w:r>
        <w:rPr>
          <w:rFonts w:ascii="Calibri" w:hAnsi="Calibri"/>
          <w:b/>
          <w:color w:val="2E5A87"/>
          <w:sz w:val="25"/>
          <w:szCs w:val="25"/>
        </w:rPr>
        <w:t xml:space="preserve">Importar de CONTPAQi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Puedes importar tu catálogo y tus pólizas en archivo TXT de CONTPAQi para no recapturar el histórico.</w:t>
      </w:r>
    </w:p>
    <w:p>
      <w:pPr>
        <w:spacing w:before="0" w:after="60" w:line="276" w:lineRule="auto"/>
        <w:ind w:left="380" w:hanging="300"/>
      </w:pPr>
      <w:r>
        <w:rPr>
          <w:rFonts w:ascii="Calibri" w:hAnsi="Calibri"/>
          <w:b/>
          <w:sz w:val="22"/>
          <w:szCs w:val="22"/>
        </w:rPr>
        <w:t xml:space="preserve">1.  </w:t>
      </w:r>
      <w:r>
        <w:rPr>
          <w:rFonts w:ascii="Calibri" w:hAnsi="Calibri"/>
          <w:sz w:val="22"/>
          <w:szCs w:val="22"/>
        </w:rPr>
        <w:t xml:space="preserve">Entra a Contabilidad → Importar CONTPAQi.</w:t>
      </w:r>
    </w:p>
    <w:p>
      <w:pPr>
        <w:spacing w:before="0" w:after="60" w:line="276" w:lineRule="auto"/>
        <w:ind w:left="380" w:hanging="300"/>
      </w:pPr>
      <w:r>
        <w:rPr>
          <w:rFonts w:ascii="Calibri" w:hAnsi="Calibri"/>
          <w:b/>
          <w:sz w:val="22"/>
          <w:szCs w:val="22"/>
        </w:rPr>
        <w:t xml:space="preserve">2.  </w:t>
      </w:r>
      <w:r>
        <w:rPr>
          <w:rFonts w:ascii="Calibri" w:hAnsi="Calibri"/>
          <w:sz w:val="22"/>
          <w:szCs w:val="22"/>
        </w:rPr>
        <w:t xml:space="preserve">Elige el archivo TXT del catálogo o de las pólizas.</w:t>
      </w:r>
    </w:p>
    <w:p>
      <w:pPr>
        <w:spacing w:before="0" w:after="60" w:line="276" w:lineRule="auto"/>
        <w:ind w:left="380" w:hanging="300"/>
      </w:pPr>
      <w:r>
        <w:rPr>
          <w:rFonts w:ascii="Calibri" w:hAnsi="Calibri"/>
          <w:b/>
          <w:sz w:val="22"/>
          <w:szCs w:val="22"/>
        </w:rPr>
        <w:t xml:space="preserve">3.  </w:t>
      </w:r>
      <w:r>
        <w:rPr>
          <w:rFonts w:ascii="Calibri" w:hAnsi="Calibri"/>
          <w:sz w:val="22"/>
          <w:szCs w:val="22"/>
        </w:rPr>
        <w:t xml:space="preserve">Revisa el resumen de lo que se importará y confirma.</w:t>
      </w:r>
    </w:p>
    <w:p>
      <w:pPr>
        <w:spacing w:before="220" w:after="80" w:line="276" w:lineRule="auto"/>
        <w:keepNext/>
      </w:pPr>
      <w:r>
        <w:rPr>
          <w:rFonts w:ascii="Calibri" w:hAnsi="Calibri"/>
          <w:b/>
          <w:color w:val="2E5A87"/>
          <w:sz w:val="25"/>
          <w:szCs w:val="25"/>
        </w:rPr>
        <w:t xml:space="preserve">Cierre del ejercicio (ADMIN)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El administrador determina la utilidad o pérdida del ejercicio y la lleva a la cuenta de capital de resultado (305). El proceso es re-ejecutable: puedes correrlo las veces que haga falta sin duplicar.</w:t>
      </w:r>
    </w:p>
    <w:p>
      <w:pPr>
        <w:spacing w:before="220" w:after="80" w:line="276" w:lineRule="auto"/>
        <w:keepNext/>
      </w:pPr>
      <w:r>
        <w:rPr>
          <w:rFonts w:ascii="Calibri" w:hAnsi="Calibri"/>
          <w:b/>
          <w:color w:val="2E5A87"/>
          <w:sz w:val="25"/>
          <w:szCs w:val="25"/>
        </w:rPr>
        <w:t xml:space="preserve">Activo fijo y depreciación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Da de alta tus activos desde el XML de su compra; el sistema calcula la depreciación en línea recta y genera la póliza mensual de forma automática.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17. Nómina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Expediente del personal, cálculo de la nómina, timbrado del CFDI de nómina, IMSS/IDSE y parámetros. Sólo Recursos Humanos y el administrador la ven.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Nómina.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Nómina.</w:t>
      </w:r>
    </w:p>
    <w:p>
      <w:pPr>
        <w:spacing w:before="220" w:after="80" w:line="276" w:lineRule="auto"/>
        <w:keepNext/>
      </w:pPr>
      <w:r>
        <w:rPr>
          <w:rFonts w:ascii="Calibri" w:hAnsi="Calibri"/>
          <w:b/>
          <w:color w:val="2E5A87"/>
          <w:sz w:val="25"/>
          <w:szCs w:val="25"/>
        </w:rPr>
        <w:t xml:space="preserve">Importar trabajadores por Excel</w:t>
      </w:r>
    </w:p>
    <w:p>
      <w:pPr>
        <w:spacing w:before="0" w:after="60" w:line="276" w:lineRule="auto"/>
        <w:ind w:left="380" w:hanging="300"/>
      </w:pPr>
      <w:r>
        <w:rPr>
          <w:rFonts w:ascii="Calibri" w:hAnsi="Calibri"/>
          <w:b/>
          <w:sz w:val="22"/>
          <w:szCs w:val="22"/>
        </w:rPr>
        <w:t xml:space="preserve">1.  </w:t>
      </w:r>
      <w:r>
        <w:rPr>
          <w:rFonts w:ascii="Calibri" w:hAnsi="Calibri"/>
          <w:sz w:val="22"/>
          <w:szCs w:val="22"/>
        </w:rPr>
        <w:t xml:space="preserve">En Nómina → Empleados, descarga la plantilla de Excel.</w:t>
      </w:r>
    </w:p>
    <w:p>
      <w:pPr>
        <w:spacing w:before="0" w:after="60" w:line="276" w:lineRule="auto"/>
        <w:ind w:left="380" w:hanging="300"/>
      </w:pPr>
      <w:r>
        <w:rPr>
          <w:rFonts w:ascii="Calibri" w:hAnsi="Calibri"/>
          <w:b/>
          <w:sz w:val="22"/>
          <w:szCs w:val="22"/>
        </w:rPr>
        <w:t xml:space="preserve">2.  </w:t>
      </w:r>
      <w:r>
        <w:rPr>
          <w:rFonts w:ascii="Calibri" w:hAnsi="Calibri"/>
          <w:sz w:val="22"/>
          <w:szCs w:val="22"/>
        </w:rPr>
        <w:t xml:space="preserve">Llénala con tus trabajadores (incluye FONACOT y préstamos).</w:t>
      </w:r>
    </w:p>
    <w:p>
      <w:pPr>
        <w:spacing w:before="0" w:after="60" w:line="276" w:lineRule="auto"/>
        <w:ind w:left="380" w:hanging="300"/>
      </w:pPr>
      <w:r>
        <w:rPr>
          <w:rFonts w:ascii="Calibri" w:hAnsi="Calibri"/>
          <w:b/>
          <w:sz w:val="22"/>
          <w:szCs w:val="22"/>
        </w:rPr>
        <w:t xml:space="preserve">3.  </w:t>
      </w:r>
      <w:r>
        <w:rPr>
          <w:rFonts w:ascii="Calibri" w:hAnsi="Calibri"/>
          <w:sz w:val="22"/>
          <w:szCs w:val="22"/>
        </w:rPr>
        <w:t xml:space="preserve">Súbela; el sistema da de alta a los empleados y sus créditos.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18. XML del SAT y Auditoría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Descarga masiva de tus XML del SAT (emitidos y recibidos), un calendario de cobertura para ver qué meses tienes completos, y la revisión de la lista 69-B. La descarga requiere tu e.firma vigente.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XML del SAT.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XML del SAT y calendario de cobertura.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19. Tipos de cambio y diferencia cambiaria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Tipos de cambio de Banxico para facturar en dólares y calcular la diferencia cambiaria de tus operaciones en moneda extranjera.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Tipos de cambio.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Tipos de cambio.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20. Administración de la plataforma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Si operas la plataforma (rol de plataforma), administras empresas, usuarios, accesos por empresa, paquetes fiscales, facturación y consumo, y promoción. Los usuarios de empresa no ven este menú.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Administración de la plataforma.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Módulos de plataforma.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21. Tu empresa y el contrato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En «Empresa» actualizas tus datos, tu logo y tu Certificado de Sello Digital (CSD), que el sistema usa para timbrar. El administrador firma el contrato de servicio con la e.firma de la empresa; la firma queda registrada y verificable.</w:t>
      </w:r>
    </w:p>
    <w:tbl>
      <w:tblPr>
        <w:tblW w:w="10080" w:type="dxa"/>
        <w:tblBorders>
          <w:top w:val="dashed" w:sz="6" w:space="0" w:color="B9C2CC"/>
          <w:left w:val="dashed" w:sz="6" w:space="0" w:color="B9C2CC"/>
          <w:bottom w:val="dashed" w:sz="6" w:space="0" w:color="B9C2CC"/>
          <w:right w:val="dashed" w:sz="6" w:space="0" w:color="B9C2CC"/>
        </w:tblBorders>
        <w:jc w:val="center"/>
      </w:tblPr>
      <w:tblGrid>
        <w:gridCol w:w="10080"/>
      </w:tblGrid>
      <w:tr>
        <w:trPr>
          <w:trHeight w:val="1500" w:hRule="atLeast"/>
        </w:trPr>
        <w:tc>
          <w:tcPr>
            <w:tcW w:w="10080" w:type="dxa"/>
            <w:shd w:val="clear" w:fill="F3F5F7"/>
            <w:vAlign w:val="center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0" w:after="0" w:line="276" w:lineRule="auto"/>
            </w:pPr>
          </w:p>
          <w:p>
            <w:pPr>
              <w:spacing w:before="0" w:after="20" w:line="276" w:lineRule="auto"/>
              <w:jc w:val="center"/>
            </w:pPr>
            <w:r>
              <w:rPr>
                <w:rFonts w:ascii="Calibri" w:hAnsi="Calibri"/>
                <w:b/>
                <w:color w:val="9AA3AD"/>
                <w:sz w:val="18"/>
                <w:szCs w:val="18"/>
              </w:rPr>
              <w:t xml:space="preserve">Captura de pantalla</w:t>
            </w:r>
          </w:p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/>
                <w:i/>
                <w:color w:val="9AA3AD"/>
                <w:sz w:val="18"/>
                <w:szCs w:val="18"/>
              </w:rPr>
              <w:t xml:space="preserve">Datos de la empresa y CSD.</w:t>
            </w:r>
          </w:p>
          <w:p>
            <w:pPr>
              <w:spacing w:before="0" w:after="0" w:line="276" w:lineRule="auto"/>
            </w:pPr>
          </w:p>
        </w:tc>
      </w:tr>
    </w:tbl>
    <w:p>
      <w:pPr>
        <w:spacing w:before="0" w:after="40" w:line="276" w:lineRule="auto"/>
      </w:pPr>
    </w:p>
    <w:p>
      <w:pPr>
        <w:spacing w:before="40" w:after="220" w:line="276" w:lineRule="auto"/>
        <w:jc w:val="center"/>
      </w:pPr>
      <w:r>
        <w:rPr>
          <w:rFonts w:ascii="Calibri" w:hAnsi="Calibri"/>
          <w:i/>
          <w:color w:val="777777"/>
          <w:sz w:val="18"/>
          <w:szCs w:val="18"/>
        </w:rPr>
        <w:t xml:space="preserve">Tu empresa.</w:t>
      </w:r>
    </w:p>
    <w:p>
      <w:pPr>
        <w:spacing w:before="320" w:after="120" w:line="276" w:lineRule="auto"/>
        <w:pBdr>
          <w:bottom w:val="single" w:sz="6" w:space="4" w:color="BFCAD6"/>
        </w:pBdr>
        <w:keepNext/>
      </w:pPr>
      <w:r>
        <w:rPr>
          <w:rFonts w:ascii="Calibri" w:hAnsi="Calibri"/>
          <w:b/>
          <w:color w:val="1F4E79"/>
          <w:sz w:val="30"/>
          <w:szCs w:val="30"/>
        </w:rPr>
        <w:t xml:space="preserve">Soporte</w:t>
      </w:r>
    </w:p>
    <w:p>
      <w:pPr>
        <w:spacing w:before="0" w:after="120" w:line="276" w:lineRule="auto"/>
      </w:pPr>
      <w:r>
        <w:rPr>
          <w:rFonts w:ascii="Calibri" w:hAnsi="Calibri"/>
          <w:sz w:val="22"/>
          <w:szCs w:val="22"/>
        </w:rPr>
        <w:t xml:space="preserve">¿Dudas o incidencias? Escribe a info@hcgm.com.mx. Este manual describe los módulos de GDM NEXO; verás únicamente los que tu usuario tenga habilitados.</w:t>
      </w:r>
    </w:p>
    <w:sectPr>
      <w:pgSz w:w="12240" w:h="15840"/>
      <w:pgMar w:top="1080" w:right="1080" w:bottom="1080" w:left="1080" w:header="720" w:footer="720" w:gutter="0"/>
    </w:sectPr>
  </w:body>
</w:document>
</file>