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b91c1c"/>
          <w:sz w:val="22"/>
          <w:szCs w:val="22"/>
        </w:rPr>
        <w:t xml:space="preserve">BORRADOR PARA REVISIÓN LEGAL</w:t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Versión de T&amp;C: 2026-07-16.1  ·  Generado el 16/7/2026</w:t>
      </w: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Notas para revisión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Este documento lo genera el sistema GDM Facturación y es el texto EXACTO que el cliente firma con su e.firma.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Los bloques en rojo marcados [PENDIENTE — texto legal] son los que faltan por redactar.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 cláusula SEXTA (auditoría y bitácora) ya está redactada pero requiere revisión, en especial el deslinde de responsabilidad laboral.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Al entregar el texto final, se actualiza un solo archivo del sistema y se sube la versión: quien haya firmado la versión anterior deberá firmar de nuevo, y su firma previa se conserva atada al texto que aceptó.</w:t>
      </w:r>
    </w:p>
    <w:p>
      <w:pPr>
        <w:pBdr>
          <w:bottom w:val="single" w:color="cbd5e1" w:sz="6"/>
        </w:pBdr>
        <w:spacing w:after="200"/>
      </w:pP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CONTRATO DE PRESTACIÓN DE SERVICIOS
GDM FACTURACIÓN — FACTURACIÓN ELECTRÓNICA CFDI 4.0
Versión de los Términos y Condiciones: 2026-07-16.1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PARTES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EL PRESTADOR: GRUPO HCGM, S.A. DE C.V.
  RFC: [PENDIENTE — RFC de Grupo HCGM]
  En lo sucesivo, "HCGM".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EL CLIENTE: [RAZÓN SOCIAL DEL CLIENTE]
  RFC: [RFC DEL CLIENTE]
  En lo sucesivo, "EL CLIENTE".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Fecha de aceptación: [fecha de aceptación]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PRIMERA — OBJETO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HCGM otorga a EL CLIENTE el uso del sistema GDM Facturación para la emisión de
Comprobantes Fiscales Digitales por Internet (CFDI 4.0) ante el Servicio de
Administración Tributaria, conforme al plan fiscal contratado.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alcance exacto del servicio, qué incluye y qué no.]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SEGUNDA — CONTRAPRESTACIÓN Y PLAN FISCAL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EL CLIENTE pagará la renta mensual del plan contratado y, en su caso, los
timbres excedentes al precio unitario vigente.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precios, fecha de corte, forma y plazo de pago,
intereses por mora, política de suspensión por falta de pago.]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TERCERA — VIGENCIA Y TERMINACIÓN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duración, renovación automática, causales y forma de
terminación anticipada, entregables al terminar.]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CUARTA — OBLIGACIONES DE EL CLIENTE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EL CLIENTE es el único responsable del contenido fiscal de los comprobantes que
emita, de la veracidad de los datos de sus receptores y de la custodia de sus
credenciales de acceso y de su Certificado de Sello Digital (CSD).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obligaciones adicionales, uso permitido, prohibiciones.]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QUINTA — TRATAMIENTO DE DATOS Y CONFIDENCIALIDAD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aviso de privacidad, finalidades del tratamiento,
transferencias, derechos ARCO, conforme a la LFPDPPP.]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SEXTA — AUDITORÍA Y BITÁCORA DE USO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EL CLIENTE reconoce y acepta que el sistema registra la actividad realizada por
cada uno de los usuarios que EL CLIENTE dé de alta, incluyendo la emisión,
timbrado, cancelación y consulta de comprobantes, con fecha, hora y usuario que
la ejecutó. Dicha bitácora tiene fines de auditoría, seguridad y cumplimiento
fiscal, y su resguardo es obligación de HCGM conforme a la cláusula QUINTA.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EL CLIENTE, en su carácter de responsable de sus propios usuarios, podrá activar
el envío de reportes periódicos de dicha bitácora al correo que designe. EL
CLIENTE se obliga a informar a sus usuarios de esta circunstancia y a que dicho
tratamiento cumpla la normatividad laboral y de datos personales que le resulte
aplicable, liberando a HCGM de cualquier responsabilidad al respecto.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revisar redacción con el abogado, en particular el
deslinde de responsabilidad laboral y el plazo de conservación.]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SÉPTIMA — DISPONIBILIDAD Y LIMITACIÓN DE RESPONSABILIDAD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El timbrado depende de un Proveedor Autorizado de Certificación (PAC) y de la
disponibilidad de los servicios del SAT, ajenos al control de HCGM.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SLA si aplica, límites de responsabilidad,
exclusiones, fuerza mayor.]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OCTAVA — LEY APLICABLE Y JURISDICCIÓN</w:t>
      </w:r>
    </w:p>
    <w:p>
      <w:pPr>
        <w:shd w:fill="fef2f2"/>
        <w:spacing w:after="120"/>
      </w:pPr>
      <w:r>
        <w:rPr>
          <w:i/>
          <w:iCs/>
          <w:color w:val="b91c1c"/>
          <w:sz w:val="20"/>
          <w:szCs w:val="20"/>
        </w:rPr>
        <w:t xml:space="preserve">[PENDIENTE — texto legal: legislación aplicable y tribunales competentes.]</w:t>
      </w:r>
    </w:p>
    <w:p>
      <w:pPr>
        <w:pStyle w:val="Heading2"/>
        <w:spacing w:after="80" w:before="240"/>
      </w:pPr>
      <w:r>
        <w:rPr>
          <w:b/>
          <w:bCs/>
          <w:color w:val="1e3a8a"/>
          <w:sz w:val="24"/>
          <w:szCs w:val="24"/>
        </w:rPr>
        <w:t xml:space="preserve">ACEPTACIÓN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EL CLIENTE manifiesta que leyó y acepta el presente contrato y los Términos y
Condiciones en su versión 2026-07-16.1, y lo firma con la Firma
Electrónica Avanzada (e.firma) del contribuyente [RFC DEL CLIENTE],
con los efectos jurídicos que le reconocen el Código de Comercio y el Código
Fiscal de la Federación.</w:t>
      </w:r>
    </w:p>
    <w:p>
      <w:pPr>
        <w:spacing w:after="120"/>
      </w:pPr>
      <w:r>
        <w:rPr>
          <w:i w:val="false"/>
          <w:iCs w:val="false"/>
          <w:color w:val="0f172a"/>
          <w:sz w:val="20"/>
          <w:szCs w:val="20"/>
        </w:rPr>
        <w:t xml:space="preserve">La firma se realiza sobre el texto íntegro de este documento. Cualquier
alteración posterior invalida la firma.</w:t>
      </w:r>
    </w:p>
    <w:sectPr>
      <w:footerReference w:type="default" r:id="rId7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Borrador — T&amp;C 2026-07-16.1 ·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servicios GDM — T&amp;C 2026-07-16.1 (borrador)</dc:title>
  <dc:creator>HCGM</dc:creator>
  <cp:lastModifiedBy>Un-named</cp:lastModifiedBy>
  <cp:revision>1</cp:revision>
  <dcterms:created xsi:type="dcterms:W3CDTF">2026-07-16T18:53:29.596Z</dcterms:created>
  <dcterms:modified xsi:type="dcterms:W3CDTF">2026-07-16T18:53:29.596Z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