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LAB - CEPHEID MRSA PCR MOLECULAR TESTING</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12208-3410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36C24226Q0591</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05-22-2026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 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6640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 Madison Avenue Extension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Albany NY  12208-3410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Lindsay Goldsmith</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Lindsay.Goldsmith@va.gov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(518) 626-7194</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1F67DB" w:rsidRPr="006127B2" w:rsidP="004E3733">
      <w:pPr>
        <w:rPr>
          <w:rFonts w:cstheme="minorHAnsi"/>
          <w:b/>
          <w:bCs/>
          <w:u w:val="single"/>
        </w:rPr>
      </w:pPr>
      <w:r w:rsidRPr="006127B2">
        <w:rPr>
          <w:rFonts w:cstheme="minorHAnsi"/>
          <w:b/>
          <w:bCs/>
          <w:u w:val="single"/>
        </w:rPr>
        <w:t>This is a notice of intent to award a sole source contract and is not a request for quotes.</w:t>
      </w:r>
    </w:p>
    <w:p w:rsidR="001F67DB" w:rsidRPr="006127B2" w:rsidP="004E3733">
      <w:pPr>
        <w:rPr>
          <w:rFonts w:cstheme="minorHAnsi"/>
        </w:rPr>
      </w:pPr>
      <w:r w:rsidRPr="006127B2">
        <w:rPr>
          <w:rFonts w:cstheme="minorHAnsi"/>
        </w:rPr>
        <w:t xml:space="preserve">The Department of Veterans </w:t>
      </w:r>
      <w:r w:rsidRPr="006127B2" w:rsidR="00A6026D">
        <w:rPr>
          <w:rFonts w:cstheme="minorHAnsi"/>
        </w:rPr>
        <w:t>Affairs</w:t>
      </w:r>
      <w:r w:rsidR="00A6026D">
        <w:rPr>
          <w:rFonts w:cstheme="minorHAnsi"/>
        </w:rPr>
        <w:t xml:space="preserve"> (DVA)</w:t>
      </w:r>
      <w:r w:rsidR="003715E1">
        <w:rPr>
          <w:rFonts w:cstheme="minorHAnsi"/>
        </w:rPr>
        <w:t xml:space="preserve"> Network Contracting Office NCO2,</w:t>
      </w:r>
      <w:r w:rsidRPr="006127B2">
        <w:rPr>
          <w:rFonts w:cstheme="minorHAnsi"/>
        </w:rPr>
        <w:t xml:space="preserve"> on behalf of </w:t>
      </w:r>
      <w:r w:rsidR="003715E1">
        <w:rPr>
          <w:rFonts w:cstheme="minorHAnsi"/>
        </w:rPr>
        <w:t xml:space="preserve">VISN2 South </w:t>
      </w:r>
      <w:r w:rsidRPr="006127B2" w:rsidR="00A91B4F">
        <w:rPr>
          <w:rFonts w:cstheme="minorHAnsi"/>
        </w:rPr>
        <w:t>Medical Centers</w:t>
      </w:r>
      <w:r w:rsidR="003715E1">
        <w:rPr>
          <w:rFonts w:cstheme="minorHAnsi"/>
        </w:rPr>
        <w:t xml:space="preserve">, </w:t>
      </w:r>
      <w:r w:rsidRPr="006127B2" w:rsidR="00A6026D">
        <w:rPr>
          <w:rFonts w:cstheme="minorHAnsi"/>
        </w:rPr>
        <w:t>intends</w:t>
      </w:r>
      <w:r w:rsidRPr="006127B2" w:rsidR="00A91B4F">
        <w:rPr>
          <w:rFonts w:cstheme="minorHAnsi"/>
        </w:rPr>
        <w:t xml:space="preserve"> </w:t>
      </w:r>
      <w:r w:rsidRPr="006127B2">
        <w:rPr>
          <w:rFonts w:cstheme="minorHAnsi"/>
        </w:rPr>
        <w:t>to award a Firm Fixed Price (FFP), sole source action to:</w:t>
      </w:r>
    </w:p>
    <w:tbl>
      <w:tblPr>
        <w:tblW w:w="9706" w:type="dxa"/>
        <w:tblInd w:w="360" w:type="dxa"/>
        <w:tblBorders>
          <w:top w:val="single" w:sz="4" w:space="0" w:color="auto"/>
          <w:left w:val="single" w:sz="4" w:space="0" w:color="auto"/>
          <w:bottom w:val="single" w:sz="4" w:space="0" w:color="auto"/>
          <w:right w:val="single" w:sz="4" w:space="0" w:color="auto"/>
        </w:tblBorders>
        <w:tblLayout w:type="fixed"/>
        <w:tblLook w:val="0000"/>
      </w:tblPr>
      <w:tblGrid>
        <w:gridCol w:w="3327"/>
        <w:gridCol w:w="6379"/>
      </w:tblGrid>
      <w:tr w:rsidTr="00C5028B">
        <w:tblPrEx>
          <w:tblW w:w="9706" w:type="dxa"/>
          <w:tblInd w:w="360" w:type="dxa"/>
          <w:tblBorders>
            <w:top w:val="single" w:sz="4" w:space="0" w:color="auto"/>
            <w:left w:val="single" w:sz="4" w:space="0" w:color="auto"/>
            <w:bottom w:val="single" w:sz="4" w:space="0" w:color="auto"/>
            <w:right w:val="single" w:sz="4" w:space="0" w:color="auto"/>
          </w:tblBorders>
          <w:tblLayout w:type="fixed"/>
          <w:tblLook w:val="0000"/>
        </w:tblPrEx>
        <w:trPr>
          <w:trHeight w:val="283"/>
        </w:trPr>
        <w:tc>
          <w:tcPr>
            <w:tcW w:w="3327" w:type="dxa"/>
            <w:tcBorders>
              <w:top w:val="nil"/>
              <w:left w:val="nil"/>
              <w:bottom w:val="nil"/>
              <w:right w:val="nil"/>
            </w:tcBorders>
          </w:tcPr>
          <w:p w:rsidR="007F0006" w:rsidRPr="006127B2" w:rsidP="007F0006">
            <w:pPr>
              <w:spacing w:after="0"/>
              <w:rPr>
                <w:rFonts w:cstheme="minorHAnsi"/>
              </w:rPr>
            </w:pPr>
            <w:r w:rsidRPr="006127B2">
              <w:t>Name of Contractor:</w:t>
            </w:r>
          </w:p>
        </w:tc>
        <w:tc>
          <w:tcPr>
            <w:tcW w:w="6379" w:type="dxa"/>
            <w:tcBorders>
              <w:top w:val="nil"/>
              <w:left w:val="nil"/>
              <w:bottom w:val="nil"/>
              <w:right w:val="nil"/>
            </w:tcBorders>
          </w:tcPr>
          <w:p w:rsidR="007F0006" w:rsidRPr="00702F30" w:rsidP="00702F30">
            <w:pPr>
              <w:spacing w:after="0" w:line="240" w:lineRule="auto"/>
            </w:pPr>
            <w:r>
              <w:t>Cepheid Inc.</w:t>
            </w:r>
          </w:p>
        </w:tc>
      </w:tr>
      <w:tr w:rsidTr="00C5028B">
        <w:tblPrEx>
          <w:tblW w:w="9706" w:type="dxa"/>
          <w:tblInd w:w="360" w:type="dxa"/>
          <w:tblLayout w:type="fixed"/>
          <w:tblLook w:val="0000"/>
        </w:tblPrEx>
        <w:trPr>
          <w:trHeight w:val="299"/>
        </w:trPr>
        <w:tc>
          <w:tcPr>
            <w:tcW w:w="3327" w:type="dxa"/>
            <w:tcBorders>
              <w:top w:val="nil"/>
              <w:left w:val="nil"/>
              <w:bottom w:val="nil"/>
              <w:right w:val="nil"/>
            </w:tcBorders>
          </w:tcPr>
          <w:p w:rsidR="007F0006" w:rsidRPr="006127B2" w:rsidP="007F0006">
            <w:pPr>
              <w:spacing w:after="0"/>
              <w:rPr>
                <w:rFonts w:cstheme="minorHAnsi"/>
              </w:rPr>
            </w:pPr>
            <w:r w:rsidRPr="006127B2">
              <w:t>Street Address:</w:t>
            </w:r>
          </w:p>
        </w:tc>
        <w:tc>
          <w:tcPr>
            <w:tcW w:w="6379" w:type="dxa"/>
            <w:tcBorders>
              <w:top w:val="nil"/>
              <w:left w:val="nil"/>
              <w:bottom w:val="nil"/>
              <w:right w:val="nil"/>
            </w:tcBorders>
          </w:tcPr>
          <w:p w:rsidR="007F0006" w:rsidRPr="00702F30" w:rsidP="00702F30">
            <w:pPr>
              <w:spacing w:after="0" w:line="240" w:lineRule="auto"/>
            </w:pPr>
            <w:r>
              <w:t>904 East</w:t>
            </w:r>
            <w:r>
              <w:t xml:space="preserve"> </w:t>
            </w:r>
            <w:r>
              <w:t>Caribbean Drive</w:t>
            </w:r>
          </w:p>
        </w:tc>
      </w:tr>
      <w:tr w:rsidTr="00C5028B">
        <w:tblPrEx>
          <w:tblW w:w="9706" w:type="dxa"/>
          <w:tblInd w:w="360" w:type="dxa"/>
          <w:tblLayout w:type="fixed"/>
          <w:tblLook w:val="0000"/>
        </w:tblPrEx>
        <w:trPr>
          <w:trHeight w:val="283"/>
        </w:trPr>
        <w:tc>
          <w:tcPr>
            <w:tcW w:w="3327" w:type="dxa"/>
            <w:tcBorders>
              <w:top w:val="nil"/>
              <w:left w:val="nil"/>
              <w:bottom w:val="nil"/>
              <w:right w:val="nil"/>
            </w:tcBorders>
          </w:tcPr>
          <w:p w:rsidR="007F0006" w:rsidRPr="006127B2" w:rsidP="00A6026D">
            <w:pPr>
              <w:spacing w:after="0" w:line="240" w:lineRule="auto"/>
              <w:rPr>
                <w:rFonts w:cstheme="minorHAnsi"/>
              </w:rPr>
            </w:pPr>
            <w:r w:rsidRPr="006127B2">
              <w:t>City, State, Zip:</w:t>
            </w:r>
          </w:p>
        </w:tc>
        <w:tc>
          <w:tcPr>
            <w:tcW w:w="6379" w:type="dxa"/>
            <w:tcBorders>
              <w:top w:val="nil"/>
              <w:left w:val="nil"/>
              <w:bottom w:val="nil"/>
              <w:right w:val="nil"/>
            </w:tcBorders>
          </w:tcPr>
          <w:p w:rsidR="00702F30" w:rsidP="00702F30">
            <w:pPr>
              <w:spacing w:after="0" w:line="240" w:lineRule="auto"/>
            </w:pPr>
            <w:r>
              <w:t>Sunnyvale, CA 94089</w:t>
            </w:r>
          </w:p>
          <w:p w:rsidR="007F0006" w:rsidRPr="006127B2" w:rsidP="00A6026D">
            <w:pPr>
              <w:shd w:val="clear" w:color="auto" w:fill="FFFFFF"/>
              <w:spacing w:after="0" w:line="240" w:lineRule="auto"/>
              <w:rPr>
                <w:rFonts w:cstheme="minorHAnsi"/>
              </w:rPr>
            </w:pPr>
          </w:p>
        </w:tc>
      </w:tr>
    </w:tbl>
    <w:p w:rsidR="00702F30" w:rsidP="00702F30">
      <w:pPr>
        <w:spacing w:after="0" w:line="240" w:lineRule="auto"/>
      </w:pPr>
      <w:r>
        <w:rPr>
          <w:rFonts w:cstheme="minorHAnsi"/>
        </w:rPr>
        <w:t xml:space="preserve">The following DVA </w:t>
      </w:r>
      <w:r w:rsidRPr="006127B2" w:rsidR="00CF5B2C">
        <w:rPr>
          <w:rFonts w:cstheme="minorHAnsi"/>
        </w:rPr>
        <w:t xml:space="preserve">VISN2 </w:t>
      </w:r>
      <w:r>
        <w:rPr>
          <w:rFonts w:cstheme="minorHAnsi"/>
        </w:rPr>
        <w:t xml:space="preserve">south </w:t>
      </w:r>
      <w:r w:rsidR="00A6026D">
        <w:t>medical centers have</w:t>
      </w:r>
      <w:r w:rsidRPr="003E6303" w:rsidR="00A6026D">
        <w:t xml:space="preserve"> a recurring requirement for</w:t>
      </w:r>
      <w:r>
        <w:t xml:space="preserve"> </w:t>
      </w:r>
      <w:r w:rsidRPr="00702F30">
        <w:t>Polymerase Chain Reaction (PCR) Molecular Diagnostic</w:t>
      </w:r>
      <w:r>
        <w:t xml:space="preserve"> t</w:t>
      </w:r>
      <w:r w:rsidRPr="00702F30">
        <w:t>esting</w:t>
      </w:r>
      <w:r w:rsidRPr="003E6303" w:rsidR="00A6026D">
        <w:t xml:space="preserve"> </w:t>
      </w:r>
      <w:r>
        <w:t xml:space="preserve">on a </w:t>
      </w:r>
      <w:r w:rsidR="003715E1">
        <w:t>cost per reportable / test basis</w:t>
      </w:r>
      <w:r>
        <w:t xml:space="preserve">. </w:t>
      </w:r>
    </w:p>
    <w:p w:rsidR="00702F30" w:rsidP="00702F30">
      <w:pPr>
        <w:spacing w:after="0" w:line="240" w:lineRule="auto"/>
      </w:pPr>
    </w:p>
    <w:p w:rsidR="00702F30" w:rsidP="00702F30">
      <w:pPr>
        <w:spacing w:after="0" w:line="240" w:lineRule="auto"/>
        <w:ind w:firstLine="450"/>
      </w:pPr>
      <w:r>
        <w:t>Brooklyn VA Medical Center</w:t>
      </w:r>
    </w:p>
    <w:p w:rsidR="00702F30" w:rsidP="00702F30">
      <w:pPr>
        <w:spacing w:after="0" w:line="240" w:lineRule="auto"/>
        <w:ind w:firstLine="450"/>
      </w:pPr>
      <w:r>
        <w:t>800 Poly Place, Brooklyn, NY 11209-7104</w:t>
      </w:r>
    </w:p>
    <w:p w:rsidR="00702F30" w:rsidP="00702F30">
      <w:pPr>
        <w:spacing w:after="0" w:line="240" w:lineRule="auto"/>
        <w:ind w:firstLine="450"/>
      </w:pPr>
    </w:p>
    <w:p w:rsidR="00702F30" w:rsidP="00702F30">
      <w:pPr>
        <w:spacing w:after="0" w:line="240" w:lineRule="auto"/>
        <w:ind w:firstLine="450"/>
      </w:pPr>
      <w:r>
        <w:t xml:space="preserve">Castle Point VA Medical Center </w:t>
      </w:r>
    </w:p>
    <w:p w:rsidR="00702F30" w:rsidP="00702F30">
      <w:pPr>
        <w:spacing w:after="0" w:line="240" w:lineRule="auto"/>
        <w:ind w:firstLine="450"/>
      </w:pPr>
      <w:r>
        <w:t>41 Castle Point Rd., Wappingers Falls, NY 12590-7004</w:t>
      </w:r>
    </w:p>
    <w:p w:rsidR="00702F30" w:rsidP="00702F30">
      <w:pPr>
        <w:spacing w:after="0" w:line="240" w:lineRule="auto"/>
        <w:ind w:firstLine="450"/>
      </w:pPr>
    </w:p>
    <w:p w:rsidR="00702F30" w:rsidP="00702F30">
      <w:pPr>
        <w:spacing w:after="0" w:line="240" w:lineRule="auto"/>
        <w:ind w:firstLine="450"/>
      </w:pPr>
      <w:r>
        <w:t>East Orange VA Medical Center</w:t>
      </w:r>
    </w:p>
    <w:p w:rsidR="00702F30" w:rsidP="00702F30">
      <w:pPr>
        <w:spacing w:after="0" w:line="240" w:lineRule="auto"/>
        <w:ind w:firstLine="450"/>
      </w:pPr>
      <w:r>
        <w:t>385 Tremont Avenue, East Orange, NJ 07018-1023</w:t>
      </w:r>
    </w:p>
    <w:p w:rsidR="00702F30" w:rsidP="00702F30">
      <w:pPr>
        <w:spacing w:after="0" w:line="240" w:lineRule="auto"/>
        <w:ind w:firstLine="450"/>
      </w:pPr>
    </w:p>
    <w:p w:rsidR="00702F30" w:rsidP="00702F30">
      <w:pPr>
        <w:spacing w:after="0" w:line="240" w:lineRule="auto"/>
        <w:ind w:firstLine="450"/>
      </w:pPr>
      <w:r>
        <w:t>Franklin Delano Roosevelt Hospital</w:t>
      </w:r>
    </w:p>
    <w:p w:rsidR="00702F30" w:rsidP="00702F30">
      <w:pPr>
        <w:spacing w:after="0" w:line="240" w:lineRule="auto"/>
        <w:ind w:firstLine="450"/>
      </w:pPr>
      <w:r>
        <w:t>2094 Albany Post Road, Montrose, NY 10548-1454</w:t>
      </w:r>
    </w:p>
    <w:p w:rsidR="00702F30" w:rsidP="00702F30">
      <w:pPr>
        <w:spacing w:after="0" w:line="240" w:lineRule="auto"/>
        <w:ind w:firstLine="450"/>
      </w:pPr>
    </w:p>
    <w:p w:rsidR="00702F30" w:rsidP="00702F30">
      <w:pPr>
        <w:spacing w:after="0" w:line="240" w:lineRule="auto"/>
        <w:ind w:firstLine="450"/>
      </w:pPr>
      <w:r>
        <w:t>James J. Peters VA Medical Center</w:t>
      </w:r>
    </w:p>
    <w:p w:rsidR="00702F30" w:rsidP="00702F30">
      <w:pPr>
        <w:spacing w:after="0" w:line="240" w:lineRule="auto"/>
        <w:ind w:firstLine="450"/>
      </w:pPr>
      <w:r w:rsidRPr="00702F30">
        <w:t>130 W Kingsbridge Rd, Bronx, NY 10468</w:t>
      </w:r>
      <w:r>
        <w:t>-3904</w:t>
      </w:r>
    </w:p>
    <w:p w:rsidR="00702F30" w:rsidP="00702F30">
      <w:pPr>
        <w:spacing w:after="0" w:line="240" w:lineRule="auto"/>
        <w:ind w:firstLine="450"/>
      </w:pPr>
    </w:p>
    <w:p w:rsidR="00702F30" w:rsidP="00702F30">
      <w:pPr>
        <w:spacing w:after="0" w:line="240" w:lineRule="auto"/>
        <w:ind w:firstLine="450"/>
      </w:pPr>
      <w:r w:rsidRPr="00702F30">
        <w:t xml:space="preserve">Margaret Cochran </w:t>
      </w:r>
      <w:r>
        <w:t xml:space="preserve">VA Medical Center </w:t>
      </w:r>
    </w:p>
    <w:p w:rsidR="00702F30" w:rsidP="00702F30">
      <w:pPr>
        <w:spacing w:after="0" w:line="240" w:lineRule="auto"/>
        <w:ind w:firstLine="450"/>
      </w:pPr>
      <w:r w:rsidRPr="00702F30">
        <w:t>423 East 23rd Street, New York, NY 10010</w:t>
      </w:r>
      <w:r>
        <w:t>-5011</w:t>
      </w:r>
    </w:p>
    <w:p w:rsidR="00702F30" w:rsidP="00702F30">
      <w:pPr>
        <w:spacing w:after="0" w:line="240" w:lineRule="auto"/>
        <w:ind w:firstLine="450"/>
      </w:pPr>
    </w:p>
    <w:p w:rsidR="00702F30" w:rsidP="00702F30">
      <w:pPr>
        <w:spacing w:after="0" w:line="240" w:lineRule="auto"/>
        <w:ind w:firstLine="450"/>
      </w:pPr>
      <w:r>
        <w:t>Northport VA Medical Center</w:t>
      </w:r>
    </w:p>
    <w:p w:rsidR="00702F30" w:rsidP="00702F30">
      <w:pPr>
        <w:spacing w:after="0" w:line="240" w:lineRule="auto"/>
        <w:ind w:firstLine="450"/>
      </w:pPr>
      <w:r w:rsidRPr="00702F30">
        <w:t>79 Middleville Road, Building 200</w:t>
      </w:r>
      <w:r>
        <w:t>,</w:t>
      </w:r>
      <w:r w:rsidRPr="00702F30">
        <w:t>Northport, NY 11768-2200</w:t>
      </w:r>
    </w:p>
    <w:p w:rsidR="00702F30" w:rsidP="00702F30">
      <w:pPr>
        <w:spacing w:after="0" w:line="240" w:lineRule="auto"/>
      </w:pPr>
    </w:p>
    <w:p w:rsidR="00702F30" w:rsidP="00702F30">
      <w:pPr>
        <w:spacing w:after="0" w:line="240" w:lineRule="auto"/>
      </w:pPr>
      <w:r w:rsidRPr="00702F30">
        <w:t>This requirement is for</w:t>
      </w:r>
      <w:r>
        <w:t xml:space="preserve"> </w:t>
      </w:r>
      <w:r w:rsidRPr="00702F30">
        <w:t>continued use of government-owned and contractor-provided Cepheid GeneXpert and</w:t>
      </w:r>
      <w:r>
        <w:t xml:space="preserve"> </w:t>
      </w:r>
      <w:r w:rsidRPr="00702F30">
        <w:t>Infinity instruments</w:t>
      </w:r>
      <w:r>
        <w:t xml:space="preserve">, </w:t>
      </w:r>
      <w:r>
        <w:t xml:space="preserve">maintenance, reagents, controls, consumables/ disposables and supplementary items required for </w:t>
      </w:r>
      <w:r>
        <w:t>complete</w:t>
      </w:r>
      <w:r>
        <w:t xml:space="preserve"> </w:t>
      </w:r>
      <w:r>
        <w:t>PCR m</w:t>
      </w:r>
      <w:r>
        <w:t xml:space="preserve">olecular </w:t>
      </w:r>
      <w:r>
        <w:t>t</w:t>
      </w:r>
      <w:r>
        <w:t>esting</w:t>
      </w:r>
      <w:r>
        <w:t>, on a long-term basis.</w:t>
      </w:r>
    </w:p>
    <w:p w:rsidR="00702F30" w:rsidP="00702F30">
      <w:pPr>
        <w:spacing w:after="0" w:line="240" w:lineRule="auto"/>
      </w:pPr>
    </w:p>
    <w:p w:rsidR="003715E1" w:rsidP="00702F30">
      <w:pPr>
        <w:spacing w:after="0" w:line="240" w:lineRule="auto"/>
      </w:pPr>
      <w:r>
        <w:t>Market research was conducted in accordance with Part 10</w:t>
      </w:r>
      <w:r w:rsidR="00702F30">
        <w:t xml:space="preserve"> of the Revolutionary FAR Overhaul (RFO)</w:t>
      </w:r>
      <w:r>
        <w:t xml:space="preserve">, reviewing the offerings and capabilities </w:t>
      </w:r>
      <w:r w:rsidRPr="006127B2" w:rsidR="00CF5B2C">
        <w:rPr>
          <w:rFonts w:cstheme="minorHAnsi"/>
        </w:rPr>
        <w:t xml:space="preserve">available </w:t>
      </w:r>
      <w:r w:rsidR="00702F30">
        <w:rPr>
          <w:rFonts w:cstheme="minorHAnsi"/>
        </w:rPr>
        <w:t xml:space="preserve">through the current marketplace. </w:t>
      </w:r>
      <w:r w:rsidRPr="006127B2" w:rsidR="006127B2">
        <w:rPr>
          <w:rFonts w:cstheme="minorHAnsi"/>
        </w:rPr>
        <w:t>In accord</w:t>
      </w:r>
      <w:r w:rsidRPr="006127B2" w:rsidR="006127B2">
        <w:t xml:space="preserve">ance with </w:t>
      </w:r>
      <w:r w:rsidR="00702F30">
        <w:t xml:space="preserve">FAR Part </w:t>
      </w:r>
      <w:r w:rsidRPr="00702F30" w:rsidR="00702F30">
        <w:t>6.103-1</w:t>
      </w:r>
      <w:r w:rsidR="00702F30">
        <w:t>(b)</w:t>
      </w:r>
      <w:r w:rsidR="00702F30">
        <w:t>,</w:t>
      </w:r>
      <w:r w:rsidRPr="006127B2" w:rsidR="006127B2">
        <w:t xml:space="preserve"> it has been determined that only one source is</w:t>
      </w:r>
      <w:r>
        <w:t xml:space="preserve"> r</w:t>
      </w:r>
      <w:r w:rsidRPr="006127B2" w:rsidR="006127B2">
        <w:t xml:space="preserve">easonably </w:t>
      </w:r>
      <w:r w:rsidR="00702F30">
        <w:t xml:space="preserve">capable of fulfilling this action as required; Cepheid is the sole vendor that can provide maintenance and testing supplies for existing DVA owned equipment, as well as provide instruments with comprehensive test menus inclusive of: </w:t>
      </w:r>
      <w:r w:rsidRPr="00702F30" w:rsidR="00702F30">
        <w:t xml:space="preserve">MRSA, C.difficile (with </w:t>
      </w:r>
      <w:r w:rsidR="00702F30">
        <w:t>and</w:t>
      </w:r>
      <w:r w:rsidRPr="00702F30" w:rsidR="00702F30">
        <w:t xml:space="preserve"> without epidemic strain 027), COVID-19, influenza, RSV, Chlamydia</w:t>
      </w:r>
      <w:r w:rsidR="00702F30">
        <w:t xml:space="preserve"> </w:t>
      </w:r>
      <w:r w:rsidRPr="00702F30" w:rsidR="00702F30">
        <w:t>trachomatis/Neisseria gonorrhea. MTB and RIF resistance, strep group A, T.vaginalis,</w:t>
      </w:r>
      <w:r w:rsidR="00702F30">
        <w:t xml:space="preserve"> </w:t>
      </w:r>
      <w:r w:rsidRPr="00702F30" w:rsidR="00702F30">
        <w:t>Carbapenemase producing organism identification, MRSA/S.aureus blood culture</w:t>
      </w:r>
      <w:r w:rsidR="00702F30">
        <w:t xml:space="preserve"> </w:t>
      </w:r>
      <w:r w:rsidRPr="00702F30" w:rsidR="00702F30">
        <w:t xml:space="preserve">identification, </w:t>
      </w:r>
      <w:r w:rsidR="00702F30">
        <w:t xml:space="preserve">and </w:t>
      </w:r>
      <w:r w:rsidRPr="00702F30" w:rsidR="00702F30">
        <w:t xml:space="preserve">MVP </w:t>
      </w:r>
      <w:r w:rsidR="00702F30">
        <w:t xml:space="preserve">identification on the primary analyzers, and </w:t>
      </w:r>
      <w:r w:rsidR="00702F30">
        <w:t xml:space="preserve">Clostridium difficile with identification of epidemic strain 027 </w:t>
      </w:r>
      <w:r w:rsidR="00702F30">
        <w:t xml:space="preserve">and </w:t>
      </w:r>
      <w:r w:rsidR="00702F30">
        <w:t>COVID-19, Influenza A, B, RSV</w:t>
      </w:r>
      <w:r w:rsidR="00702F30">
        <w:t xml:space="preserve"> on the secondary analyzers</w:t>
      </w:r>
      <w:r w:rsidRPr="003715E1">
        <w:t>.</w:t>
      </w:r>
    </w:p>
    <w:p w:rsidR="00702F30" w:rsidRPr="00702F30" w:rsidP="00702F30">
      <w:pPr>
        <w:spacing w:after="0" w:line="240" w:lineRule="auto"/>
        <w:rPr>
          <w:rFonts w:cstheme="minorHAnsi"/>
        </w:rPr>
      </w:pPr>
    </w:p>
    <w:p w:rsidR="006127B2" w:rsidRPr="006127B2" w:rsidP="00A6026D">
      <w:r>
        <w:t>Market</w:t>
      </w:r>
      <w:r>
        <w:t xml:space="preserve"> research </w:t>
      </w:r>
      <w:r w:rsidR="00A6026D">
        <w:t>failed to produce additional sources capable of fulfilling th</w:t>
      </w:r>
      <w:r w:rsidR="00456F43">
        <w:t>is</w:t>
      </w:r>
      <w:r w:rsidR="00A6026D">
        <w:t xml:space="preserve"> requirement</w:t>
      </w:r>
      <w:r w:rsidR="003715E1">
        <w:t xml:space="preserve"> as a whole.</w:t>
      </w:r>
    </w:p>
    <w:p w:rsidR="001F67DB" w:rsidRPr="006127B2" w:rsidP="004E3733">
      <w:pPr>
        <w:rPr>
          <w:rFonts w:cstheme="minorHAnsi"/>
        </w:rPr>
      </w:pPr>
      <w:r>
        <w:rPr>
          <w:rFonts w:cstheme="minorHAnsi"/>
        </w:rPr>
        <w:t xml:space="preserve">In accordance with </w:t>
      </w:r>
      <w:r w:rsidR="00702F30">
        <w:t>the Revolutionary FAR Overhaul (RFO)</w:t>
      </w:r>
      <w:r>
        <w:rPr>
          <w:rFonts w:cstheme="minorHAnsi"/>
        </w:rPr>
        <w:t xml:space="preserve"> t</w:t>
      </w:r>
      <w:r w:rsidRPr="006127B2">
        <w:rPr>
          <w:rFonts w:cstheme="minorHAnsi"/>
        </w:rPr>
        <w:t xml:space="preserve">his notice of intent to sole source with justification </w:t>
      </w:r>
      <w:r>
        <w:rPr>
          <w:rFonts w:cstheme="minorHAnsi"/>
        </w:rPr>
        <w:t xml:space="preserve">to limit </w:t>
      </w:r>
      <w:r w:rsidR="00702F30">
        <w:rPr>
          <w:rFonts w:cstheme="minorHAnsi"/>
        </w:rPr>
        <w:t>competition</w:t>
      </w:r>
      <w:r>
        <w:rPr>
          <w:rFonts w:cstheme="minorHAnsi"/>
        </w:rPr>
        <w:t xml:space="preserve">, </w:t>
      </w:r>
      <w:r w:rsidRPr="006127B2">
        <w:rPr>
          <w:rFonts w:cstheme="minorHAnsi"/>
        </w:rPr>
        <w:t>satisfies the public posting requirement</w:t>
      </w:r>
      <w:r w:rsidR="00702F30">
        <w:rPr>
          <w:rFonts w:cstheme="minorHAnsi"/>
        </w:rPr>
        <w:t xml:space="preserve">s of 6.301. </w:t>
      </w:r>
    </w:p>
    <w:p w:rsidR="001F67DB" w:rsidRPr="006127B2" w:rsidP="004E3733">
      <w:pPr>
        <w:rPr>
          <w:rFonts w:cstheme="minorHAnsi"/>
        </w:rPr>
      </w:pPr>
      <w:r w:rsidRPr="006127B2">
        <w:rPr>
          <w:rFonts w:cstheme="minorHAnsi"/>
        </w:rPr>
        <w:t>Veterans Health Administration prohibits the use of gray market items in their Medical Centers. Gray market items are considered to be items outside of the original equipment manufacturer’s intended distribution channels.</w:t>
      </w:r>
    </w:p>
    <w:p w:rsidR="006404C3" w:rsidRPr="006127B2" w:rsidP="004E3733">
      <w:pPr>
        <w:rPr>
          <w:rFonts w:cstheme="minorHAnsi"/>
        </w:rPr>
      </w:pPr>
      <w:r w:rsidRPr="006127B2">
        <w:rPr>
          <w:rFonts w:cstheme="minorHAnsi"/>
        </w:rPr>
        <w:t xml:space="preserve">This notice is not a request for quotes; however, all responsible sources may submit a capability statement which shall be considered by the Government. All capability statements must be received by </w:t>
      </w:r>
      <w:r w:rsidRPr="006127B2">
        <w:rPr>
          <w:rFonts w:cstheme="minorHAnsi"/>
          <w:b/>
          <w:bCs/>
        </w:rPr>
        <w:t xml:space="preserve">no later than </w:t>
      </w:r>
      <w:r w:rsidRPr="006127B2" w:rsidR="00642479">
        <w:rPr>
          <w:rFonts w:cstheme="minorHAnsi"/>
          <w:b/>
          <w:bCs/>
        </w:rPr>
        <w:t>12</w:t>
      </w:r>
      <w:r w:rsidRPr="006127B2">
        <w:rPr>
          <w:rFonts w:cstheme="minorHAnsi"/>
          <w:b/>
          <w:bCs/>
        </w:rPr>
        <w:t xml:space="preserve">:00 PM Eastern Standard Time on </w:t>
      </w:r>
      <w:r w:rsidR="00702F30">
        <w:rPr>
          <w:rFonts w:cstheme="minorHAnsi"/>
          <w:b/>
          <w:bCs/>
        </w:rPr>
        <w:t>May 22</w:t>
      </w:r>
      <w:r w:rsidRPr="006127B2">
        <w:rPr>
          <w:rFonts w:cstheme="minorHAnsi"/>
          <w:b/>
          <w:bCs/>
        </w:rPr>
        <w:t>, 202</w:t>
      </w:r>
      <w:r w:rsidR="00702F30">
        <w:rPr>
          <w:rFonts w:cstheme="minorHAnsi"/>
          <w:b/>
          <w:bCs/>
        </w:rPr>
        <w:t>6</w:t>
      </w:r>
      <w:r w:rsidRPr="006127B2">
        <w:rPr>
          <w:rFonts w:cstheme="minorHAnsi"/>
        </w:rPr>
        <w:t xml:space="preserve">. Responses to be submitted to Lindsay Goldsmith, Contracting Officer at </w:t>
      </w:r>
      <w:r>
        <w:fldChar w:fldCharType="begin"/>
      </w:r>
      <w:r>
        <w:instrText xml:space="preserve"> HYPERLINK "mailto:lindsay.goldsmith@va.gov" </w:instrText>
      </w:r>
      <w:r>
        <w:fldChar w:fldCharType="separate"/>
      </w:r>
      <w:r w:rsidRPr="006127B2">
        <w:rPr>
          <w:rStyle w:val="Hyperlink"/>
          <w:rFonts w:cstheme="minorHAnsi"/>
        </w:rPr>
        <w:t>lindsay.goldsmith@va.gov</w:t>
      </w:r>
      <w:r>
        <w:fldChar w:fldCharType="end"/>
      </w:r>
      <w:r w:rsidRPr="006127B2">
        <w:rPr>
          <w:rFonts w:cstheme="minorHAnsi"/>
        </w:rPr>
        <w:t>. A determination by the Government not to compete this proposed contract based on responses to this notice is solely within the discretion of the Government.</w:t>
      </w:r>
    </w:p>
    <w:sectPr>
      <w:footerReference w:type="default" r:id="rId8"/>
      <w:head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0"/>
    </w:tblGrid>
    <w:tr w:rsidTr="00784E5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0" w:type="dxa"/>
        </w:tcPr>
        <w:p w:rsidR="00784E58" w:rsidP="00C5028B">
          <w:pPr>
            <w:pStyle w:val="Footer"/>
            <w:rPr>
              <w:rFonts w:cstheme="minorHAnsi"/>
            </w:rPr>
          </w:pPr>
        </w:p>
      </w:tc>
    </w:tr>
  </w:tbl>
  <w:p w:rsidR="001F67DB" w:rsidRPr="00975C97" w:rsidP="00C5028B">
    <w:pPr>
      <w:pStyle w:val="Footer"/>
      <w:rPr>
        <w:rFonts w:cstheme="minorHAnsi"/>
      </w:rPr>
    </w:pPr>
  </w:p>
  <w:p w:rsidR="00991B39">
    <w:pPr>
      <w:pStyle w:val="Head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7DB" w:rsidRPr="00C326BA" w:rsidP="00C5028B">
    <w:pPr>
      <w:pStyle w:val="Heading1"/>
      <w:jc w:val="center"/>
      <w:rPr>
        <w:rFonts w:eastAsia="Times New Roman"/>
        <w:sz w:val="36"/>
        <w:szCs w:val="24"/>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61EA1"/>
    <w:rPr>
      <w:color w:val="0000FF" w:themeColor="hyperlink"/>
      <w:u w:val="single"/>
    </w:rPr>
  </w:style>
  <w:style w:type="character" w:customStyle="1" w:styleId="UnresolvedMention1">
    <w:name w:val="Unresolved Mention1"/>
    <w:basedOn w:val="DefaultParagraphFont"/>
    <w:uiPriority w:val="99"/>
    <w:semiHidden/>
    <w:unhideWhenUsed/>
    <w:rsid w:val="00B64686"/>
    <w:rPr>
      <w:color w:val="605E5C"/>
      <w:shd w:val="clear" w:color="auto" w:fill="E1DFDD"/>
    </w:rPr>
  </w:style>
  <w:style w:type="character" w:customStyle="1" w:styleId="ng-star-inserted">
    <w:name w:val="ng-star-inserted"/>
    <w:basedOn w:val="DefaultParagraphFont"/>
    <w:rsid w:val="009240C1"/>
  </w:style>
  <w:style w:type="paragraph" w:customStyle="1" w:styleId="Default">
    <w:name w:val="Default"/>
    <w:rsid w:val="003228E7"/>
    <w:pPr>
      <w:autoSpaceDE w:val="0"/>
      <w:autoSpaceDN w:val="0"/>
      <w:adjustRightInd w:val="0"/>
      <w:spacing w:after="0" w:line="240" w:lineRule="auto"/>
    </w:pPr>
    <w:rPr>
      <w:rFonts w:ascii="Calibri" w:hAnsi="Calibri" w:cs="Calibri"/>
      <w:color w:val="000000"/>
      <w:sz w:val="24"/>
      <w:szCs w:val="24"/>
    </w:rPr>
  </w:style>
  <w:style w:type="paragraph" w:customStyle="1" w:styleId="TableParagraph">
    <w:name w:val="Table Paragraph"/>
    <w:basedOn w:val="Normal"/>
    <w:uiPriority w:val="1"/>
    <w:qFormat/>
    <w:rsid w:val="00325A97"/>
    <w:pPr>
      <w:widowControl w:val="0"/>
      <w:autoSpaceDE w:val="0"/>
      <w:autoSpaceDN w:val="0"/>
      <w:spacing w:before="53" w:after="0" w:line="240" w:lineRule="auto"/>
    </w:pPr>
    <w:rPr>
      <w:rFonts w:ascii="Times New Roman" w:eastAsia="Times New Roman" w:hAnsi="Times New Roman" w:cs="Times New Roman"/>
    </w:rPr>
  </w:style>
  <w:style w:type="character" w:customStyle="1" w:styleId="ListParagraphChar">
    <w:name w:val="List Paragraph Char"/>
    <w:basedOn w:val="DefaultParagraphFont"/>
    <w:link w:val="ListParagraph"/>
    <w:uiPriority w:val="34"/>
    <w:locked/>
    <w:rsid w:val="00A6026D"/>
    <w:rPr>
      <w:rFonts w:eastAsiaTheme="minorEastAsia"/>
    </w:rPr>
  </w:style>
  <w:style w:type="character" w:customStyle="1" w:styleId="UnresolvedMention">
    <w:name w:val="Unresolved Mention"/>
    <w:basedOn w:val="DefaultParagraphFont"/>
    <w:uiPriority w:val="99"/>
    <w:semiHidden/>
    <w:unhideWhenUsed/>
    <w:rsid w:val="00702F30"/>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2026-05-05T04:24:34Z</dcterms:created>
  <dcterms:modified xsi:type="dcterms:W3CDTF">2026-05-05T04:24:34Z</dcterms:modified>
</cp:coreProperties>
</file>