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DE1D4" w14:textId="795F01CB" w:rsidR="00BE76E4" w:rsidRPr="00312844" w:rsidRDefault="00BE76E4" w:rsidP="00BE76E4">
      <w:pPr>
        <w:spacing w:after="0"/>
        <w:jc w:val="center"/>
        <w:rPr>
          <w:rFonts w:ascii="Arial" w:hAnsi="Arial" w:cs="Arial"/>
          <w:b/>
          <w:sz w:val="24"/>
          <w:szCs w:val="24"/>
          <w:u w:val="single"/>
        </w:rPr>
      </w:pPr>
      <w:r w:rsidRPr="00312844">
        <w:rPr>
          <w:rFonts w:ascii="Arial" w:hAnsi="Arial" w:cs="Arial"/>
          <w:b/>
          <w:sz w:val="24"/>
          <w:szCs w:val="24"/>
          <w:u w:val="single"/>
        </w:rPr>
        <w:br/>
      </w:r>
    </w:p>
    <w:p w14:paraId="214D5E1B" w14:textId="77777777" w:rsidR="00BE76E4" w:rsidRPr="00312844" w:rsidRDefault="00BE76E4" w:rsidP="00BE76E4">
      <w:pPr>
        <w:spacing w:after="0"/>
        <w:jc w:val="center"/>
        <w:rPr>
          <w:rFonts w:ascii="Arial" w:hAnsi="Arial" w:cs="Arial"/>
          <w:sz w:val="24"/>
          <w:szCs w:val="24"/>
        </w:rPr>
      </w:pPr>
      <w:r>
        <w:rPr>
          <w:rFonts w:ascii="Arial" w:hAnsi="Arial" w:cs="Arial"/>
          <w:sz w:val="24"/>
          <w:szCs w:val="24"/>
        </w:rPr>
        <w:t>“Calibration of AT960-LR and T-Probe III (plus repair option)</w:t>
      </w:r>
      <w:r w:rsidRPr="00312844">
        <w:rPr>
          <w:rFonts w:ascii="Arial" w:hAnsi="Arial" w:cs="Arial"/>
          <w:sz w:val="24"/>
          <w:szCs w:val="24"/>
        </w:rPr>
        <w:t>”</w:t>
      </w:r>
    </w:p>
    <w:p w14:paraId="301FEE5A" w14:textId="77777777" w:rsidR="00BE76E4" w:rsidRPr="00312844" w:rsidRDefault="00BE76E4" w:rsidP="00BE76E4">
      <w:pPr>
        <w:spacing w:after="0"/>
        <w:rPr>
          <w:rFonts w:ascii="Arial" w:hAnsi="Arial" w:cs="Arial"/>
          <w:b/>
          <w:sz w:val="24"/>
          <w:szCs w:val="24"/>
        </w:rPr>
      </w:pPr>
      <w:r w:rsidRPr="00312844">
        <w:rPr>
          <w:rFonts w:ascii="Arial" w:hAnsi="Arial" w:cs="Arial"/>
          <w:b/>
          <w:sz w:val="24"/>
          <w:szCs w:val="24"/>
        </w:rPr>
        <w:t>1.0 INTRODUCTION</w:t>
      </w:r>
    </w:p>
    <w:p w14:paraId="5407C38B" w14:textId="77777777" w:rsidR="00BE76E4" w:rsidRPr="00312844" w:rsidRDefault="00BE76E4" w:rsidP="00BE76E4">
      <w:pPr>
        <w:pStyle w:val="ListParagraph"/>
        <w:spacing w:after="0"/>
        <w:ind w:left="405"/>
        <w:rPr>
          <w:rFonts w:ascii="Arial" w:hAnsi="Arial" w:cs="Arial"/>
          <w:sz w:val="24"/>
          <w:szCs w:val="24"/>
        </w:rPr>
      </w:pPr>
      <w:r w:rsidRPr="00312844">
        <w:rPr>
          <w:rFonts w:ascii="Arial" w:hAnsi="Arial" w:cs="Arial"/>
          <w:b/>
          <w:sz w:val="24"/>
          <w:szCs w:val="24"/>
        </w:rPr>
        <w:t xml:space="preserve">ORGANIZATION: </w:t>
      </w:r>
      <w:r w:rsidRPr="00312844">
        <w:rPr>
          <w:rFonts w:ascii="Arial" w:hAnsi="Arial" w:cs="Arial"/>
          <w:sz w:val="24"/>
          <w:szCs w:val="24"/>
        </w:rPr>
        <w:t>Mid-Atlantic Regional Calibration Center (MARCC), NNSY Code 137.</w:t>
      </w:r>
    </w:p>
    <w:p w14:paraId="48E584F6" w14:textId="77777777" w:rsidR="00BE76E4" w:rsidRPr="00312844" w:rsidRDefault="00BE76E4" w:rsidP="00BE76E4">
      <w:pPr>
        <w:pStyle w:val="ListParagraph"/>
        <w:spacing w:after="0"/>
        <w:ind w:left="405"/>
        <w:rPr>
          <w:rFonts w:ascii="Arial" w:hAnsi="Arial" w:cs="Arial"/>
          <w:sz w:val="24"/>
          <w:szCs w:val="24"/>
        </w:rPr>
      </w:pPr>
    </w:p>
    <w:p w14:paraId="282AA690" w14:textId="77777777" w:rsidR="00BE76E4" w:rsidRPr="00312844" w:rsidRDefault="00BE76E4" w:rsidP="00BE76E4">
      <w:pPr>
        <w:pStyle w:val="ListParagraph"/>
        <w:numPr>
          <w:ilvl w:val="1"/>
          <w:numId w:val="1"/>
        </w:numPr>
        <w:spacing w:after="0"/>
        <w:rPr>
          <w:rFonts w:ascii="Arial" w:hAnsi="Arial" w:cs="Arial"/>
          <w:sz w:val="24"/>
          <w:szCs w:val="24"/>
        </w:rPr>
      </w:pPr>
      <w:r w:rsidRPr="00312844">
        <w:rPr>
          <w:rFonts w:ascii="Arial" w:hAnsi="Arial" w:cs="Arial"/>
          <w:b/>
          <w:sz w:val="24"/>
          <w:szCs w:val="24"/>
        </w:rPr>
        <w:t xml:space="preserve">Background: </w:t>
      </w:r>
      <w:r w:rsidRPr="00312844">
        <w:rPr>
          <w:rFonts w:ascii="Arial" w:hAnsi="Arial" w:cs="Arial"/>
          <w:sz w:val="24"/>
          <w:szCs w:val="24"/>
        </w:rPr>
        <w:t>The Mid-Atlantic Regional Calibration Center (NNSY Code 137) is a modern calibration laboratory, specializing in routine and unique mechanical and electronic calibration services for Norfolk Naval Shipyard, AIRLANT, SURFLANT, SUBLANT, and all other east coast government assets.</w:t>
      </w:r>
    </w:p>
    <w:p w14:paraId="0744A9F3" w14:textId="77777777" w:rsidR="00BE76E4" w:rsidRPr="00312844" w:rsidRDefault="00BE76E4" w:rsidP="00BE76E4">
      <w:pPr>
        <w:pStyle w:val="ListParagraph"/>
        <w:spacing w:after="0"/>
        <w:ind w:left="1125"/>
        <w:rPr>
          <w:rFonts w:ascii="Arial" w:hAnsi="Arial" w:cs="Arial"/>
          <w:sz w:val="24"/>
          <w:szCs w:val="24"/>
        </w:rPr>
      </w:pPr>
    </w:p>
    <w:p w14:paraId="70387543" w14:textId="77777777" w:rsidR="00BE76E4" w:rsidRDefault="00BE76E4" w:rsidP="00BE76E4">
      <w:pPr>
        <w:pStyle w:val="ListParagraph"/>
        <w:numPr>
          <w:ilvl w:val="1"/>
          <w:numId w:val="1"/>
        </w:numPr>
        <w:spacing w:after="0"/>
        <w:rPr>
          <w:rFonts w:ascii="Arial" w:hAnsi="Arial" w:cs="Arial"/>
          <w:sz w:val="24"/>
          <w:szCs w:val="24"/>
        </w:rPr>
      </w:pPr>
      <w:r w:rsidRPr="008F533C">
        <w:rPr>
          <w:rFonts w:ascii="Arial" w:hAnsi="Arial" w:cs="Arial"/>
          <w:b/>
          <w:sz w:val="24"/>
          <w:szCs w:val="24"/>
        </w:rPr>
        <w:t>Objective/Scope:</w:t>
      </w:r>
      <w:r w:rsidRPr="008F533C">
        <w:rPr>
          <w:rFonts w:ascii="Arial" w:hAnsi="Arial" w:cs="Arial"/>
          <w:sz w:val="24"/>
          <w:szCs w:val="24"/>
        </w:rPr>
        <w:t xml:space="preserve"> The objective of this task is to have the vendor, </w:t>
      </w:r>
      <w:r>
        <w:rPr>
          <w:rFonts w:ascii="Arial" w:hAnsi="Arial" w:cs="Arial"/>
          <w:b/>
          <w:sz w:val="24"/>
          <w:szCs w:val="24"/>
        </w:rPr>
        <w:t xml:space="preserve">Hexagon Manufacturing Intelligence, Inc </w:t>
      </w:r>
      <w:r w:rsidRPr="008F533C">
        <w:rPr>
          <w:rFonts w:ascii="Arial" w:hAnsi="Arial" w:cs="Arial"/>
          <w:b/>
          <w:sz w:val="24"/>
          <w:szCs w:val="24"/>
        </w:rPr>
        <w:t xml:space="preserve">(OEM), </w:t>
      </w:r>
      <w:r w:rsidRPr="008F533C">
        <w:rPr>
          <w:rFonts w:ascii="Arial" w:hAnsi="Arial" w:cs="Arial"/>
          <w:sz w:val="24"/>
          <w:szCs w:val="24"/>
        </w:rPr>
        <w:t xml:space="preserve">perform </w:t>
      </w:r>
      <w:r>
        <w:rPr>
          <w:rFonts w:ascii="Arial" w:hAnsi="Arial" w:cs="Arial"/>
          <w:sz w:val="24"/>
          <w:szCs w:val="24"/>
        </w:rPr>
        <w:t>calibration services.</w:t>
      </w:r>
    </w:p>
    <w:p w14:paraId="40F78F10" w14:textId="77777777" w:rsidR="00BE76E4" w:rsidRPr="008F533C" w:rsidRDefault="00BE76E4" w:rsidP="00BE76E4">
      <w:pPr>
        <w:spacing w:after="0"/>
        <w:rPr>
          <w:rFonts w:ascii="Arial" w:hAnsi="Arial" w:cs="Arial"/>
          <w:sz w:val="24"/>
          <w:szCs w:val="24"/>
        </w:rPr>
      </w:pPr>
    </w:p>
    <w:p w14:paraId="74383F3D" w14:textId="77777777" w:rsidR="00BE76E4" w:rsidRPr="00A766A2" w:rsidRDefault="00BE76E4" w:rsidP="00BE76E4">
      <w:pPr>
        <w:pStyle w:val="ListParagraph"/>
        <w:numPr>
          <w:ilvl w:val="2"/>
          <w:numId w:val="1"/>
        </w:numPr>
        <w:spacing w:after="0"/>
        <w:rPr>
          <w:rFonts w:ascii="Arial" w:hAnsi="Arial" w:cs="Arial"/>
          <w:sz w:val="24"/>
          <w:szCs w:val="24"/>
        </w:rPr>
      </w:pPr>
      <w:r w:rsidRPr="00A766A2">
        <w:rPr>
          <w:rFonts w:ascii="Arial" w:hAnsi="Arial" w:cs="Arial"/>
          <w:b/>
          <w:sz w:val="24"/>
          <w:szCs w:val="24"/>
        </w:rPr>
        <w:t xml:space="preserve">Hexagon </w:t>
      </w:r>
      <w:r>
        <w:rPr>
          <w:rFonts w:ascii="Arial" w:hAnsi="Arial" w:cs="Arial"/>
          <w:b/>
          <w:sz w:val="24"/>
          <w:szCs w:val="24"/>
        </w:rPr>
        <w:t>Manufacturing Intelligence, Inc</w:t>
      </w:r>
    </w:p>
    <w:p w14:paraId="2CDEEC9D" w14:textId="77777777" w:rsidR="00BE76E4" w:rsidRPr="00A766A2" w:rsidRDefault="00BE76E4" w:rsidP="00BE76E4">
      <w:pPr>
        <w:pStyle w:val="ListParagraph"/>
        <w:spacing w:after="0"/>
        <w:ind w:left="2160"/>
        <w:rPr>
          <w:rFonts w:ascii="Arial" w:hAnsi="Arial" w:cs="Arial"/>
          <w:sz w:val="24"/>
          <w:szCs w:val="24"/>
        </w:rPr>
      </w:pPr>
      <w:r w:rsidRPr="00A766A2">
        <w:rPr>
          <w:rFonts w:ascii="Arial" w:hAnsi="Arial" w:cs="Arial"/>
          <w:sz w:val="24"/>
          <w:szCs w:val="24"/>
        </w:rPr>
        <w:t>46444 Hexagon Way</w:t>
      </w:r>
    </w:p>
    <w:p w14:paraId="7F281AC6" w14:textId="77777777" w:rsidR="00BE76E4" w:rsidRDefault="00BE76E4" w:rsidP="00BE76E4">
      <w:pPr>
        <w:pStyle w:val="ListParagraph"/>
        <w:spacing w:after="0"/>
        <w:ind w:left="2160"/>
        <w:rPr>
          <w:rFonts w:ascii="Arial" w:hAnsi="Arial" w:cs="Arial"/>
          <w:sz w:val="24"/>
          <w:szCs w:val="24"/>
        </w:rPr>
      </w:pPr>
      <w:r>
        <w:rPr>
          <w:rFonts w:ascii="Arial" w:hAnsi="Arial" w:cs="Arial"/>
          <w:sz w:val="24"/>
          <w:szCs w:val="24"/>
        </w:rPr>
        <w:t>Novi, MI 48377</w:t>
      </w:r>
    </w:p>
    <w:p w14:paraId="409812AB" w14:textId="77777777" w:rsidR="00BE76E4" w:rsidRDefault="00BE76E4" w:rsidP="00BE76E4">
      <w:pPr>
        <w:pStyle w:val="ListParagraph"/>
        <w:spacing w:after="0"/>
        <w:ind w:left="2160"/>
        <w:rPr>
          <w:rFonts w:ascii="Arial" w:hAnsi="Arial" w:cs="Arial"/>
          <w:sz w:val="24"/>
          <w:szCs w:val="24"/>
        </w:rPr>
      </w:pPr>
      <w:r>
        <w:rPr>
          <w:rFonts w:ascii="Arial" w:hAnsi="Arial" w:cs="Arial"/>
          <w:sz w:val="24"/>
          <w:szCs w:val="24"/>
        </w:rPr>
        <w:t>Phone: 401-250-8850</w:t>
      </w:r>
    </w:p>
    <w:p w14:paraId="251103F6" w14:textId="77777777" w:rsidR="00BE76E4" w:rsidRPr="00312844" w:rsidRDefault="00BE76E4" w:rsidP="00BE76E4">
      <w:pPr>
        <w:pStyle w:val="ListParagraph"/>
        <w:spacing w:after="0"/>
        <w:ind w:left="2160"/>
        <w:rPr>
          <w:rFonts w:ascii="Arial" w:hAnsi="Arial" w:cs="Arial"/>
          <w:sz w:val="24"/>
          <w:szCs w:val="24"/>
        </w:rPr>
      </w:pPr>
      <w:r>
        <w:rPr>
          <w:rFonts w:ascii="Arial" w:hAnsi="Arial" w:cs="Arial"/>
          <w:sz w:val="24"/>
          <w:szCs w:val="24"/>
        </w:rPr>
        <w:t>POC: Brett Winston</w:t>
      </w:r>
    </w:p>
    <w:p w14:paraId="18D1C60B" w14:textId="77777777" w:rsidR="00BE76E4" w:rsidRDefault="00BE76E4" w:rsidP="00BE76E4">
      <w:pPr>
        <w:pStyle w:val="ListParagraph"/>
        <w:spacing w:after="0"/>
        <w:ind w:left="2160"/>
        <w:rPr>
          <w:rFonts w:ascii="Arial" w:hAnsi="Arial" w:cs="Arial"/>
          <w:sz w:val="24"/>
          <w:szCs w:val="24"/>
        </w:rPr>
      </w:pPr>
      <w:r>
        <w:rPr>
          <w:rFonts w:ascii="Arial" w:hAnsi="Arial" w:cs="Arial"/>
          <w:sz w:val="24"/>
          <w:szCs w:val="24"/>
        </w:rPr>
        <w:t xml:space="preserve">Email: </w:t>
      </w:r>
      <w:hyperlink r:id="rId5" w:history="1">
        <w:r w:rsidRPr="00124828">
          <w:rPr>
            <w:rStyle w:val="Hyperlink"/>
            <w:rFonts w:ascii="Arial" w:hAnsi="Arial" w:cs="Arial"/>
            <w:sz w:val="24"/>
            <w:szCs w:val="24"/>
          </w:rPr>
          <w:t>brett.winston@hexagon.com</w:t>
        </w:r>
      </w:hyperlink>
    </w:p>
    <w:p w14:paraId="42A74706" w14:textId="77777777" w:rsidR="00BE76E4" w:rsidRPr="00312844" w:rsidRDefault="00BE76E4" w:rsidP="00BE76E4">
      <w:pPr>
        <w:pStyle w:val="ListParagraph"/>
        <w:spacing w:after="0"/>
        <w:ind w:left="2160"/>
        <w:rPr>
          <w:rFonts w:ascii="Arial" w:hAnsi="Arial" w:cs="Arial"/>
          <w:sz w:val="24"/>
          <w:szCs w:val="24"/>
        </w:rPr>
      </w:pPr>
    </w:p>
    <w:p w14:paraId="265C7F68" w14:textId="77777777" w:rsidR="00BE76E4" w:rsidRPr="00312844" w:rsidRDefault="00BE76E4" w:rsidP="00BE76E4">
      <w:pPr>
        <w:pStyle w:val="ListParagraph"/>
        <w:numPr>
          <w:ilvl w:val="2"/>
          <w:numId w:val="1"/>
        </w:numPr>
        <w:spacing w:after="0"/>
        <w:rPr>
          <w:rFonts w:ascii="Arial" w:hAnsi="Arial" w:cs="Arial"/>
          <w:b/>
          <w:sz w:val="24"/>
          <w:szCs w:val="24"/>
        </w:rPr>
      </w:pPr>
      <w:r w:rsidRPr="00312844">
        <w:rPr>
          <w:rFonts w:ascii="Arial" w:hAnsi="Arial" w:cs="Arial"/>
          <w:b/>
          <w:sz w:val="24"/>
          <w:szCs w:val="24"/>
        </w:rPr>
        <w:t>Return Address:</w:t>
      </w:r>
    </w:p>
    <w:p w14:paraId="45908489" w14:textId="77777777" w:rsidR="00BE76E4" w:rsidRDefault="00BE76E4" w:rsidP="00BE76E4">
      <w:pPr>
        <w:pStyle w:val="ListParagraph"/>
        <w:spacing w:after="0"/>
        <w:ind w:left="2160"/>
        <w:rPr>
          <w:rFonts w:ascii="Arial" w:hAnsi="Arial" w:cs="Arial"/>
          <w:sz w:val="24"/>
          <w:szCs w:val="24"/>
        </w:rPr>
      </w:pPr>
      <w:r>
        <w:rPr>
          <w:rFonts w:ascii="Arial" w:hAnsi="Arial" w:cs="Arial"/>
          <w:sz w:val="24"/>
          <w:szCs w:val="24"/>
        </w:rPr>
        <w:t>ATTN: Alexis Bascus</w:t>
      </w:r>
    </w:p>
    <w:p w14:paraId="543947BF" w14:textId="77777777" w:rsidR="00BE76E4" w:rsidRDefault="00BE76E4" w:rsidP="00BE76E4">
      <w:pPr>
        <w:pStyle w:val="ListParagraph"/>
        <w:spacing w:after="0"/>
        <w:ind w:left="2160"/>
        <w:rPr>
          <w:rFonts w:ascii="Arial" w:hAnsi="Arial" w:cs="Arial"/>
          <w:sz w:val="24"/>
          <w:szCs w:val="24"/>
        </w:rPr>
      </w:pPr>
      <w:r>
        <w:rPr>
          <w:rFonts w:ascii="Arial" w:hAnsi="Arial" w:cs="Arial"/>
          <w:sz w:val="24"/>
          <w:szCs w:val="24"/>
        </w:rPr>
        <w:t>Mid-Atlantic Regional Calibration Center (MARCC)</w:t>
      </w:r>
    </w:p>
    <w:p w14:paraId="34824B45" w14:textId="77777777" w:rsidR="00BE76E4" w:rsidRPr="00312844" w:rsidRDefault="00BE76E4" w:rsidP="00BE76E4">
      <w:pPr>
        <w:pStyle w:val="ListParagraph"/>
        <w:spacing w:after="0"/>
        <w:ind w:left="2160"/>
        <w:rPr>
          <w:rFonts w:ascii="Arial" w:hAnsi="Arial" w:cs="Arial"/>
          <w:sz w:val="24"/>
          <w:szCs w:val="24"/>
        </w:rPr>
      </w:pPr>
      <w:r>
        <w:rPr>
          <w:rFonts w:ascii="Arial" w:hAnsi="Arial" w:cs="Arial"/>
          <w:sz w:val="24"/>
          <w:szCs w:val="24"/>
        </w:rPr>
        <w:t>9349 Fourth Avenue</w:t>
      </w:r>
    </w:p>
    <w:p w14:paraId="058E6A97" w14:textId="77777777" w:rsidR="00BE76E4" w:rsidRPr="002E4ADA" w:rsidRDefault="00BE76E4" w:rsidP="00BE76E4">
      <w:pPr>
        <w:pStyle w:val="ListParagraph"/>
        <w:spacing w:after="0"/>
        <w:ind w:left="2160"/>
        <w:rPr>
          <w:rFonts w:ascii="Arial" w:hAnsi="Arial" w:cs="Arial"/>
          <w:sz w:val="24"/>
          <w:szCs w:val="24"/>
        </w:rPr>
      </w:pPr>
      <w:r w:rsidRPr="00312844">
        <w:rPr>
          <w:rFonts w:ascii="Arial" w:hAnsi="Arial" w:cs="Arial"/>
          <w:sz w:val="24"/>
          <w:szCs w:val="24"/>
        </w:rPr>
        <w:t xml:space="preserve">Bldg. </w:t>
      </w:r>
      <w:r>
        <w:rPr>
          <w:rFonts w:ascii="Arial" w:hAnsi="Arial" w:cs="Arial"/>
          <w:sz w:val="24"/>
          <w:szCs w:val="24"/>
        </w:rPr>
        <w:t xml:space="preserve">V-61, </w:t>
      </w:r>
      <w:r w:rsidRPr="002E4ADA">
        <w:rPr>
          <w:rFonts w:ascii="Arial" w:hAnsi="Arial" w:cs="Arial"/>
          <w:sz w:val="24"/>
          <w:szCs w:val="24"/>
        </w:rPr>
        <w:t>Naval Base Norfolk</w:t>
      </w:r>
    </w:p>
    <w:p w14:paraId="439BD223" w14:textId="77777777" w:rsidR="00BE76E4" w:rsidRDefault="00BE76E4" w:rsidP="00BE76E4">
      <w:pPr>
        <w:pStyle w:val="ListParagraph"/>
        <w:spacing w:after="0"/>
        <w:ind w:left="2160"/>
        <w:rPr>
          <w:rFonts w:ascii="Arial" w:hAnsi="Arial" w:cs="Arial"/>
          <w:sz w:val="24"/>
          <w:szCs w:val="24"/>
        </w:rPr>
      </w:pPr>
      <w:r>
        <w:rPr>
          <w:rFonts w:ascii="Arial" w:hAnsi="Arial" w:cs="Arial"/>
          <w:sz w:val="24"/>
          <w:szCs w:val="24"/>
        </w:rPr>
        <w:t>Norfolk, VA 23511-1806</w:t>
      </w:r>
    </w:p>
    <w:p w14:paraId="4BD953CB" w14:textId="77777777" w:rsidR="00BE76E4" w:rsidRPr="00312844" w:rsidRDefault="00BE76E4" w:rsidP="00BE76E4">
      <w:pPr>
        <w:pStyle w:val="ListParagraph"/>
        <w:spacing w:after="0"/>
        <w:ind w:left="2160"/>
        <w:rPr>
          <w:rFonts w:ascii="Arial" w:hAnsi="Arial" w:cs="Arial"/>
          <w:sz w:val="24"/>
          <w:szCs w:val="24"/>
        </w:rPr>
      </w:pPr>
    </w:p>
    <w:p w14:paraId="6B706CBC" w14:textId="77777777" w:rsidR="00BE76E4" w:rsidRPr="00312844" w:rsidRDefault="00BE76E4" w:rsidP="00BE76E4">
      <w:pPr>
        <w:pStyle w:val="ListParagraph"/>
        <w:numPr>
          <w:ilvl w:val="1"/>
          <w:numId w:val="1"/>
        </w:numPr>
        <w:spacing w:after="0"/>
        <w:rPr>
          <w:rFonts w:ascii="Arial" w:hAnsi="Arial" w:cs="Arial"/>
          <w:b/>
          <w:sz w:val="24"/>
          <w:szCs w:val="24"/>
        </w:rPr>
      </w:pPr>
      <w:r w:rsidRPr="00312844">
        <w:rPr>
          <w:rFonts w:ascii="Arial" w:hAnsi="Arial" w:cs="Arial"/>
          <w:b/>
          <w:sz w:val="24"/>
          <w:szCs w:val="24"/>
        </w:rPr>
        <w:t xml:space="preserve">Equipment Description/Specifications: </w:t>
      </w:r>
      <w:r>
        <w:rPr>
          <w:rFonts w:ascii="Arial" w:hAnsi="Arial" w:cs="Arial"/>
          <w:sz w:val="24"/>
          <w:szCs w:val="24"/>
        </w:rPr>
        <w:t xml:space="preserve">AT960-LR Absolute Tracker is used at NNSY to support waterfront activities/projects. </w:t>
      </w:r>
    </w:p>
    <w:p w14:paraId="530847E8" w14:textId="77777777" w:rsidR="00BE76E4" w:rsidRPr="00312844" w:rsidRDefault="00BE76E4" w:rsidP="00BE76E4">
      <w:pPr>
        <w:pStyle w:val="ListParagraph"/>
        <w:spacing w:after="0"/>
        <w:ind w:left="405"/>
        <w:rPr>
          <w:rFonts w:ascii="Arial" w:hAnsi="Arial" w:cs="Arial"/>
          <w:sz w:val="24"/>
          <w:szCs w:val="24"/>
        </w:rPr>
      </w:pPr>
    </w:p>
    <w:p w14:paraId="7FBB606D" w14:textId="77777777" w:rsidR="00BE76E4" w:rsidRPr="00961CA9" w:rsidRDefault="00BE76E4" w:rsidP="00BE76E4">
      <w:pPr>
        <w:pStyle w:val="ListParagraph"/>
        <w:numPr>
          <w:ilvl w:val="1"/>
          <w:numId w:val="1"/>
        </w:numPr>
        <w:spacing w:after="0"/>
        <w:rPr>
          <w:rFonts w:ascii="Arial" w:hAnsi="Arial" w:cs="Arial"/>
          <w:b/>
          <w:sz w:val="24"/>
          <w:szCs w:val="24"/>
        </w:rPr>
      </w:pPr>
      <w:r w:rsidRPr="00312844">
        <w:rPr>
          <w:rFonts w:ascii="Arial" w:hAnsi="Arial" w:cs="Arial"/>
          <w:b/>
          <w:sz w:val="24"/>
          <w:szCs w:val="24"/>
        </w:rPr>
        <w:t>Maintenance/Service Required</w:t>
      </w:r>
      <w:r>
        <w:rPr>
          <w:rFonts w:ascii="Arial" w:hAnsi="Arial" w:cs="Arial"/>
          <w:b/>
          <w:sz w:val="24"/>
          <w:szCs w:val="24"/>
        </w:rPr>
        <w:t>:</w:t>
      </w:r>
    </w:p>
    <w:p w14:paraId="526F2AEF" w14:textId="77777777" w:rsidR="00BE76E4" w:rsidRPr="001C6E63" w:rsidRDefault="00BE76E4" w:rsidP="00BE76E4">
      <w:pPr>
        <w:pStyle w:val="ListParagraph"/>
        <w:rPr>
          <w:rFonts w:ascii="Arial" w:hAnsi="Arial" w:cs="Arial"/>
          <w:b/>
          <w:sz w:val="24"/>
          <w:szCs w:val="24"/>
        </w:rPr>
      </w:pPr>
    </w:p>
    <w:tbl>
      <w:tblPr>
        <w:tblStyle w:val="PlainTable5"/>
        <w:tblW w:w="10944" w:type="dxa"/>
        <w:tblLook w:val="04A0" w:firstRow="1" w:lastRow="0" w:firstColumn="1" w:lastColumn="0" w:noHBand="0" w:noVBand="1"/>
      </w:tblPr>
      <w:tblGrid>
        <w:gridCol w:w="1530"/>
        <w:gridCol w:w="1350"/>
        <w:gridCol w:w="2700"/>
        <w:gridCol w:w="3544"/>
        <w:gridCol w:w="1820"/>
      </w:tblGrid>
      <w:tr w:rsidR="00BE76E4" w14:paraId="3DF288AF" w14:textId="77777777" w:rsidTr="00551C6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30" w:type="dxa"/>
          </w:tcPr>
          <w:p w14:paraId="0DCEFE0D" w14:textId="77777777" w:rsidR="00BE76E4" w:rsidRDefault="00BE76E4" w:rsidP="00551C69">
            <w:pPr>
              <w:pStyle w:val="ListParagraph"/>
              <w:ind w:left="0"/>
              <w:rPr>
                <w:rFonts w:ascii="Arial" w:hAnsi="Arial" w:cs="Arial"/>
                <w:b/>
                <w:sz w:val="24"/>
                <w:szCs w:val="24"/>
              </w:rPr>
            </w:pPr>
            <w:r>
              <w:rPr>
                <w:rFonts w:ascii="Arial" w:hAnsi="Arial" w:cs="Arial"/>
                <w:b/>
                <w:sz w:val="24"/>
                <w:szCs w:val="24"/>
              </w:rPr>
              <w:t>Model</w:t>
            </w:r>
          </w:p>
        </w:tc>
        <w:tc>
          <w:tcPr>
            <w:tcW w:w="1350" w:type="dxa"/>
          </w:tcPr>
          <w:p w14:paraId="58F4E96D" w14:textId="77777777" w:rsidR="00BE76E4" w:rsidRDefault="00BE76E4" w:rsidP="00551C69">
            <w:pPr>
              <w:pStyle w:val="ListParagraph"/>
              <w:ind w:left="0"/>
              <w:cnfStyle w:val="100000000000" w:firstRow="1" w:lastRow="0" w:firstColumn="0" w:lastColumn="0" w:oddVBand="0" w:evenVBand="0" w:oddHBand="0" w:evenHBand="0" w:firstRowFirstColumn="0" w:firstRowLastColumn="0" w:lastRowFirstColumn="0" w:lastRowLastColumn="0"/>
              <w:rPr>
                <w:rFonts w:ascii="Arial" w:hAnsi="Arial" w:cs="Arial"/>
                <w:b/>
                <w:sz w:val="24"/>
                <w:szCs w:val="24"/>
              </w:rPr>
            </w:pPr>
            <w:r>
              <w:rPr>
                <w:rFonts w:ascii="Arial" w:hAnsi="Arial" w:cs="Arial"/>
                <w:b/>
                <w:sz w:val="24"/>
                <w:szCs w:val="24"/>
              </w:rPr>
              <w:t>Serial</w:t>
            </w:r>
          </w:p>
        </w:tc>
        <w:tc>
          <w:tcPr>
            <w:tcW w:w="2700" w:type="dxa"/>
          </w:tcPr>
          <w:p w14:paraId="46ABD6FC" w14:textId="77777777" w:rsidR="00BE76E4" w:rsidRDefault="00BE76E4" w:rsidP="00551C69">
            <w:pPr>
              <w:pStyle w:val="ListParagraph"/>
              <w:ind w:left="0"/>
              <w:cnfStyle w:val="100000000000" w:firstRow="1" w:lastRow="0" w:firstColumn="0" w:lastColumn="0" w:oddVBand="0" w:evenVBand="0" w:oddHBand="0" w:evenHBand="0" w:firstRowFirstColumn="0" w:firstRowLastColumn="0" w:lastRowFirstColumn="0" w:lastRowLastColumn="0"/>
              <w:rPr>
                <w:rFonts w:ascii="Arial" w:hAnsi="Arial" w:cs="Arial"/>
                <w:b/>
                <w:sz w:val="24"/>
                <w:szCs w:val="24"/>
              </w:rPr>
            </w:pPr>
            <w:r>
              <w:rPr>
                <w:rFonts w:ascii="Arial" w:hAnsi="Arial" w:cs="Arial"/>
                <w:b/>
                <w:sz w:val="24"/>
                <w:szCs w:val="24"/>
              </w:rPr>
              <w:t>Nomenclature</w:t>
            </w:r>
          </w:p>
        </w:tc>
        <w:tc>
          <w:tcPr>
            <w:tcW w:w="3544" w:type="dxa"/>
          </w:tcPr>
          <w:p w14:paraId="496359F6" w14:textId="77777777" w:rsidR="00BE76E4" w:rsidRDefault="00BE76E4" w:rsidP="00551C69">
            <w:pPr>
              <w:pStyle w:val="ListParagraph"/>
              <w:ind w:left="0"/>
              <w:cnfStyle w:val="100000000000" w:firstRow="1" w:lastRow="0" w:firstColumn="0" w:lastColumn="0" w:oddVBand="0" w:evenVBand="0" w:oddHBand="0" w:evenHBand="0" w:firstRowFirstColumn="0" w:firstRowLastColumn="0" w:lastRowFirstColumn="0" w:lastRowLastColumn="0"/>
              <w:rPr>
                <w:rFonts w:ascii="Arial" w:hAnsi="Arial" w:cs="Arial"/>
                <w:b/>
                <w:sz w:val="24"/>
                <w:szCs w:val="24"/>
              </w:rPr>
            </w:pPr>
            <w:r>
              <w:rPr>
                <w:rFonts w:ascii="Arial" w:hAnsi="Arial" w:cs="Arial"/>
                <w:b/>
                <w:sz w:val="24"/>
                <w:szCs w:val="24"/>
              </w:rPr>
              <w:t>Service</w:t>
            </w:r>
          </w:p>
        </w:tc>
        <w:tc>
          <w:tcPr>
            <w:tcW w:w="1820" w:type="dxa"/>
          </w:tcPr>
          <w:p w14:paraId="037F1919" w14:textId="24712A30" w:rsidR="00BE76E4" w:rsidRDefault="00BE76E4" w:rsidP="00551C69">
            <w:pPr>
              <w:pStyle w:val="ListParagraph"/>
              <w:ind w:left="0"/>
              <w:cnfStyle w:val="100000000000" w:firstRow="1" w:lastRow="0" w:firstColumn="0" w:lastColumn="0" w:oddVBand="0" w:evenVBand="0" w:oddHBand="0" w:evenHBand="0" w:firstRowFirstColumn="0" w:firstRowLastColumn="0" w:lastRowFirstColumn="0" w:lastRowLastColumn="0"/>
              <w:rPr>
                <w:rFonts w:ascii="Arial" w:hAnsi="Arial" w:cs="Arial"/>
                <w:b/>
                <w:sz w:val="24"/>
                <w:szCs w:val="24"/>
              </w:rPr>
            </w:pPr>
          </w:p>
        </w:tc>
      </w:tr>
      <w:tr w:rsidR="00BE76E4" w14:paraId="1883EBE5" w14:textId="77777777" w:rsidTr="00551C69">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1530" w:type="dxa"/>
          </w:tcPr>
          <w:p w14:paraId="1C7268AF" w14:textId="77777777" w:rsidR="00BE76E4" w:rsidRDefault="00BE76E4" w:rsidP="00551C69">
            <w:pPr>
              <w:pStyle w:val="ListParagraph"/>
              <w:ind w:left="0"/>
              <w:rPr>
                <w:rFonts w:ascii="Arial" w:hAnsi="Arial" w:cs="Arial"/>
                <w:i w:val="0"/>
                <w:iCs w:val="0"/>
                <w:sz w:val="24"/>
                <w:szCs w:val="24"/>
              </w:rPr>
            </w:pPr>
            <w:r>
              <w:rPr>
                <w:rFonts w:ascii="Arial" w:hAnsi="Arial" w:cs="Arial"/>
                <w:sz w:val="24"/>
                <w:szCs w:val="24"/>
              </w:rPr>
              <w:t>AT960-LR</w:t>
            </w:r>
          </w:p>
          <w:p w14:paraId="6C26C382" w14:textId="77777777" w:rsidR="00BE76E4" w:rsidRDefault="00BE76E4" w:rsidP="00551C69">
            <w:pPr>
              <w:pStyle w:val="ListParagraph"/>
              <w:ind w:left="0"/>
              <w:rPr>
                <w:rFonts w:ascii="Arial" w:hAnsi="Arial" w:cs="Arial"/>
                <w:i w:val="0"/>
                <w:iCs w:val="0"/>
                <w:sz w:val="24"/>
                <w:szCs w:val="24"/>
              </w:rPr>
            </w:pPr>
          </w:p>
          <w:p w14:paraId="26274C70" w14:textId="77777777" w:rsidR="00BE76E4" w:rsidRDefault="00BE76E4" w:rsidP="00551C69">
            <w:pPr>
              <w:pStyle w:val="ListParagraph"/>
              <w:ind w:left="0"/>
              <w:rPr>
                <w:rFonts w:ascii="Arial" w:hAnsi="Arial" w:cs="Arial"/>
                <w:i w:val="0"/>
                <w:iCs w:val="0"/>
                <w:sz w:val="24"/>
                <w:szCs w:val="24"/>
              </w:rPr>
            </w:pPr>
          </w:p>
          <w:p w14:paraId="4CAC220E" w14:textId="77777777" w:rsidR="00BE76E4" w:rsidRDefault="00BE76E4" w:rsidP="00551C69">
            <w:pPr>
              <w:pStyle w:val="ListParagraph"/>
              <w:ind w:left="0"/>
              <w:rPr>
                <w:rFonts w:ascii="Arial" w:hAnsi="Arial" w:cs="Arial"/>
                <w:i w:val="0"/>
                <w:iCs w:val="0"/>
                <w:sz w:val="24"/>
                <w:szCs w:val="24"/>
              </w:rPr>
            </w:pPr>
            <w:r>
              <w:rPr>
                <w:rFonts w:ascii="Arial" w:hAnsi="Arial" w:cs="Arial"/>
                <w:sz w:val="24"/>
                <w:szCs w:val="24"/>
              </w:rPr>
              <w:t>T-Probe III</w:t>
            </w:r>
          </w:p>
          <w:p w14:paraId="02A343DD" w14:textId="77777777" w:rsidR="00BE76E4" w:rsidRDefault="00BE76E4" w:rsidP="00551C69">
            <w:pPr>
              <w:pStyle w:val="ListParagraph"/>
              <w:ind w:left="0"/>
              <w:rPr>
                <w:rFonts w:ascii="Arial" w:hAnsi="Arial" w:cs="Arial"/>
                <w:i w:val="0"/>
                <w:iCs w:val="0"/>
                <w:sz w:val="24"/>
                <w:szCs w:val="24"/>
              </w:rPr>
            </w:pPr>
          </w:p>
          <w:p w14:paraId="4C6F216B" w14:textId="77777777" w:rsidR="00BE76E4" w:rsidRPr="009F70C2" w:rsidRDefault="00BE76E4" w:rsidP="00551C69">
            <w:pPr>
              <w:pStyle w:val="ListParagraph"/>
              <w:ind w:left="0"/>
              <w:rPr>
                <w:rFonts w:ascii="Arial" w:hAnsi="Arial" w:cs="Arial"/>
                <w:sz w:val="24"/>
                <w:szCs w:val="24"/>
              </w:rPr>
            </w:pPr>
          </w:p>
        </w:tc>
        <w:tc>
          <w:tcPr>
            <w:tcW w:w="1350" w:type="dxa"/>
          </w:tcPr>
          <w:p w14:paraId="5E61DF30" w14:textId="77777777" w:rsidR="00BE76E4" w:rsidRDefault="00BE76E4" w:rsidP="00551C69">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lastRenderedPageBreak/>
              <w:t>751690</w:t>
            </w:r>
          </w:p>
          <w:p w14:paraId="6BBC12B2" w14:textId="77777777" w:rsidR="00BE76E4" w:rsidRDefault="00BE76E4" w:rsidP="00551C69">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292623D6" w14:textId="77777777" w:rsidR="00BE76E4" w:rsidRDefault="00BE76E4" w:rsidP="00551C69">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3739953F" w14:textId="77777777" w:rsidR="00BE76E4" w:rsidRDefault="00BE76E4" w:rsidP="00551C69">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3406P</w:t>
            </w:r>
          </w:p>
          <w:p w14:paraId="371F56D2" w14:textId="77777777" w:rsidR="00BE76E4" w:rsidRDefault="00BE76E4" w:rsidP="00551C69">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48529453" w14:textId="77777777" w:rsidR="00BE76E4" w:rsidRPr="009F70C2" w:rsidRDefault="00BE76E4" w:rsidP="00551C69">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700" w:type="dxa"/>
          </w:tcPr>
          <w:p w14:paraId="23110C6C" w14:textId="77777777" w:rsidR="00BE76E4" w:rsidRDefault="00BE76E4" w:rsidP="00551C69">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lastRenderedPageBreak/>
              <w:t>Absolute Tracker</w:t>
            </w:r>
          </w:p>
          <w:p w14:paraId="60163DA9" w14:textId="77777777" w:rsidR="00BE76E4" w:rsidRDefault="00BE76E4" w:rsidP="00551C69">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50485F99" w14:textId="77777777" w:rsidR="00BE76E4" w:rsidRDefault="00BE76E4" w:rsidP="00551C69">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03885D4F" w14:textId="77777777" w:rsidR="00BE76E4" w:rsidRPr="009F70C2" w:rsidRDefault="00BE76E4" w:rsidP="00551C69">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lastRenderedPageBreak/>
              <w:t>Absolute Tracker Probe</w:t>
            </w:r>
          </w:p>
        </w:tc>
        <w:tc>
          <w:tcPr>
            <w:tcW w:w="3544" w:type="dxa"/>
          </w:tcPr>
          <w:p w14:paraId="21704251" w14:textId="77777777" w:rsidR="00BE76E4" w:rsidRDefault="00BE76E4" w:rsidP="00551C69">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lastRenderedPageBreak/>
              <w:t>Tolerance-based calibration service with as found and as left data</w:t>
            </w:r>
          </w:p>
          <w:p w14:paraId="6AACF41E" w14:textId="77777777" w:rsidR="00BE76E4" w:rsidRPr="009F70C2" w:rsidRDefault="00BE76E4" w:rsidP="00551C69">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lastRenderedPageBreak/>
              <w:t>Tolerance-based calibration service with as found and as left data</w:t>
            </w:r>
          </w:p>
        </w:tc>
        <w:tc>
          <w:tcPr>
            <w:tcW w:w="1820" w:type="dxa"/>
          </w:tcPr>
          <w:p w14:paraId="025E85DC" w14:textId="77777777" w:rsidR="00BE76E4" w:rsidRDefault="00BE76E4" w:rsidP="00551C69">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7F420769" w14:textId="77777777" w:rsidR="00BE76E4" w:rsidRDefault="00BE76E4" w:rsidP="00551C69">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232333B8" w14:textId="77777777" w:rsidR="00BE76E4" w:rsidRPr="009F70C2" w:rsidRDefault="00BE76E4" w:rsidP="00551C69">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BE76E4" w14:paraId="5430F445" w14:textId="77777777" w:rsidTr="00551C69">
        <w:trPr>
          <w:trHeight w:val="269"/>
        </w:trPr>
        <w:tc>
          <w:tcPr>
            <w:cnfStyle w:val="001000000000" w:firstRow="0" w:lastRow="0" w:firstColumn="1" w:lastColumn="0" w:oddVBand="0" w:evenVBand="0" w:oddHBand="0" w:evenHBand="0" w:firstRowFirstColumn="0" w:firstRowLastColumn="0" w:lastRowFirstColumn="0" w:lastRowLastColumn="0"/>
            <w:tcW w:w="1530" w:type="dxa"/>
          </w:tcPr>
          <w:p w14:paraId="17FD5FB3" w14:textId="77777777" w:rsidR="00BE76E4" w:rsidRDefault="00BE76E4" w:rsidP="00551C69">
            <w:pPr>
              <w:pStyle w:val="ListParagraph"/>
              <w:ind w:left="0"/>
              <w:rPr>
                <w:rFonts w:ascii="Arial" w:hAnsi="Arial" w:cs="Arial"/>
                <w:sz w:val="24"/>
                <w:szCs w:val="24"/>
              </w:rPr>
            </w:pPr>
          </w:p>
        </w:tc>
        <w:tc>
          <w:tcPr>
            <w:tcW w:w="1350" w:type="dxa"/>
          </w:tcPr>
          <w:p w14:paraId="6E4D0FA5" w14:textId="77777777" w:rsidR="00BE76E4" w:rsidRDefault="00BE76E4" w:rsidP="00551C69">
            <w:pPr>
              <w:pStyle w:val="ListParagraph"/>
              <w:ind w:left="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700" w:type="dxa"/>
          </w:tcPr>
          <w:p w14:paraId="1D5E20EF" w14:textId="77777777" w:rsidR="00BE76E4" w:rsidRPr="00187FB2" w:rsidRDefault="00BE76E4" w:rsidP="00551C69">
            <w:pPr>
              <w:pStyle w:val="ListParagraph"/>
              <w:ind w:left="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3544" w:type="dxa"/>
          </w:tcPr>
          <w:p w14:paraId="3F222B32" w14:textId="77777777" w:rsidR="00BE76E4" w:rsidRPr="00187FB2" w:rsidRDefault="00BE76E4" w:rsidP="00551C69">
            <w:pPr>
              <w:pStyle w:val="ListParagraph"/>
              <w:ind w:left="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1820" w:type="dxa"/>
          </w:tcPr>
          <w:p w14:paraId="1CDFE3C0" w14:textId="77777777" w:rsidR="00BE76E4" w:rsidRDefault="00BE76E4" w:rsidP="00551C69">
            <w:pPr>
              <w:pStyle w:val="ListParagraph"/>
              <w:ind w:left="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BE76E4" w14:paraId="27987674" w14:textId="77777777" w:rsidTr="00551C69">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1530" w:type="dxa"/>
          </w:tcPr>
          <w:p w14:paraId="7517EBC1" w14:textId="77777777" w:rsidR="00BE76E4" w:rsidRDefault="00BE76E4" w:rsidP="00551C69">
            <w:pPr>
              <w:pStyle w:val="ListParagraph"/>
              <w:ind w:left="0"/>
              <w:rPr>
                <w:rFonts w:ascii="Arial" w:hAnsi="Arial" w:cs="Arial"/>
                <w:sz w:val="24"/>
                <w:szCs w:val="24"/>
              </w:rPr>
            </w:pPr>
          </w:p>
        </w:tc>
        <w:tc>
          <w:tcPr>
            <w:tcW w:w="1350" w:type="dxa"/>
          </w:tcPr>
          <w:p w14:paraId="31BC5283" w14:textId="77777777" w:rsidR="00BE76E4" w:rsidRDefault="00BE76E4" w:rsidP="00551C69">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700" w:type="dxa"/>
          </w:tcPr>
          <w:p w14:paraId="20B627C2" w14:textId="77777777" w:rsidR="00BE76E4" w:rsidRDefault="00BE76E4" w:rsidP="00551C69">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3544" w:type="dxa"/>
          </w:tcPr>
          <w:p w14:paraId="072011DA" w14:textId="660C1A6F" w:rsidR="00BE76E4" w:rsidRPr="006E582C" w:rsidRDefault="00BE76E4" w:rsidP="00551C69">
            <w:pPr>
              <w:pStyle w:val="ListParagraph"/>
              <w:ind w:left="0"/>
              <w:jc w:val="righ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1820" w:type="dxa"/>
          </w:tcPr>
          <w:p w14:paraId="74597989" w14:textId="246C33CE" w:rsidR="00BE76E4" w:rsidRPr="006E582C" w:rsidRDefault="00BE76E4" w:rsidP="00551C69">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r>
    </w:tbl>
    <w:p w14:paraId="1F051962" w14:textId="77777777" w:rsidR="00BE76E4" w:rsidRPr="00D55BE9" w:rsidRDefault="00BE76E4" w:rsidP="00BE76E4">
      <w:pPr>
        <w:spacing w:after="0"/>
        <w:rPr>
          <w:rFonts w:ascii="Arial" w:hAnsi="Arial" w:cs="Arial"/>
          <w:sz w:val="24"/>
          <w:szCs w:val="24"/>
        </w:rPr>
      </w:pPr>
      <w:r w:rsidRPr="00D55BE9">
        <w:rPr>
          <w:rFonts w:ascii="Arial" w:hAnsi="Arial" w:cs="Arial"/>
          <w:sz w:val="24"/>
          <w:szCs w:val="24"/>
        </w:rPr>
        <w:t xml:space="preserve"> </w:t>
      </w:r>
    </w:p>
    <w:p w14:paraId="21AB84E4" w14:textId="77777777" w:rsidR="00BE76E4" w:rsidRDefault="00BE76E4" w:rsidP="00BE76E4">
      <w:pPr>
        <w:spacing w:after="0"/>
        <w:rPr>
          <w:rFonts w:ascii="Arial" w:hAnsi="Arial" w:cs="Arial"/>
          <w:sz w:val="24"/>
          <w:szCs w:val="24"/>
        </w:rPr>
      </w:pPr>
      <w:r w:rsidRPr="00D55BE9">
        <w:rPr>
          <w:rFonts w:ascii="Arial" w:hAnsi="Arial" w:cs="Arial"/>
          <w:sz w:val="24"/>
          <w:szCs w:val="24"/>
        </w:rPr>
        <w:t>This equipment is not to be altered in any manner that affects its operating characteristics, controls, or external connections (if applicable). Normal adjustments required to bring the item into specification limits are permitted.</w:t>
      </w:r>
    </w:p>
    <w:p w14:paraId="4C15F2D3" w14:textId="77777777" w:rsidR="00BE76E4" w:rsidRPr="00D55BE9" w:rsidRDefault="00BE76E4" w:rsidP="00BE76E4">
      <w:pPr>
        <w:spacing w:after="0"/>
        <w:rPr>
          <w:rFonts w:ascii="Arial" w:hAnsi="Arial" w:cs="Arial"/>
          <w:sz w:val="24"/>
          <w:szCs w:val="24"/>
        </w:rPr>
      </w:pPr>
    </w:p>
    <w:p w14:paraId="011153E2" w14:textId="77777777" w:rsidR="00BE76E4" w:rsidRDefault="00BE76E4" w:rsidP="00BE76E4">
      <w:pPr>
        <w:spacing w:after="0"/>
        <w:rPr>
          <w:rFonts w:ascii="Arial" w:hAnsi="Arial" w:cs="Arial"/>
          <w:sz w:val="24"/>
          <w:szCs w:val="24"/>
        </w:rPr>
      </w:pPr>
      <w:r w:rsidRPr="00D55BE9">
        <w:rPr>
          <w:rFonts w:ascii="Arial" w:hAnsi="Arial" w:cs="Arial"/>
          <w:sz w:val="24"/>
          <w:szCs w:val="24"/>
        </w:rPr>
        <w:t>Calibration must be traceable to the one of the following via an unbroken chain of measuremen</w:t>
      </w:r>
      <w:r>
        <w:rPr>
          <w:rFonts w:ascii="Arial" w:hAnsi="Arial" w:cs="Arial"/>
          <w:sz w:val="24"/>
          <w:szCs w:val="24"/>
        </w:rPr>
        <w:t>ts:</w:t>
      </w:r>
    </w:p>
    <w:p w14:paraId="10CBC6AB" w14:textId="77777777" w:rsidR="00BE76E4" w:rsidRDefault="00BE76E4" w:rsidP="00BE76E4">
      <w:pPr>
        <w:spacing w:after="0"/>
        <w:rPr>
          <w:rFonts w:ascii="Arial" w:hAnsi="Arial" w:cs="Arial"/>
          <w:sz w:val="24"/>
          <w:szCs w:val="24"/>
        </w:rPr>
      </w:pPr>
      <w:r>
        <w:rPr>
          <w:rFonts w:ascii="Arial" w:hAnsi="Arial" w:cs="Arial"/>
          <w:sz w:val="24"/>
          <w:szCs w:val="24"/>
        </w:rPr>
        <w:t>-</w:t>
      </w:r>
      <w:r w:rsidRPr="00D55BE9">
        <w:rPr>
          <w:rFonts w:ascii="Arial" w:hAnsi="Arial" w:cs="Arial"/>
          <w:sz w:val="24"/>
          <w:szCs w:val="24"/>
        </w:rPr>
        <w:t>The National Institu</w:t>
      </w:r>
      <w:r>
        <w:rPr>
          <w:rFonts w:ascii="Arial" w:hAnsi="Arial" w:cs="Arial"/>
          <w:sz w:val="24"/>
          <w:szCs w:val="24"/>
        </w:rPr>
        <w:t>te of Standards and Technology</w:t>
      </w:r>
    </w:p>
    <w:p w14:paraId="74913F1F" w14:textId="77777777" w:rsidR="00BE76E4" w:rsidRDefault="00BE76E4" w:rsidP="00BE76E4">
      <w:pPr>
        <w:spacing w:after="0"/>
        <w:rPr>
          <w:rFonts w:ascii="Arial" w:hAnsi="Arial" w:cs="Arial"/>
          <w:sz w:val="24"/>
          <w:szCs w:val="24"/>
        </w:rPr>
      </w:pPr>
      <w:r>
        <w:rPr>
          <w:rFonts w:ascii="Arial" w:hAnsi="Arial" w:cs="Arial"/>
          <w:sz w:val="24"/>
          <w:szCs w:val="24"/>
        </w:rPr>
        <w:t>-</w:t>
      </w:r>
      <w:r w:rsidRPr="00D55BE9">
        <w:rPr>
          <w:rFonts w:ascii="Arial" w:hAnsi="Arial" w:cs="Arial"/>
          <w:sz w:val="24"/>
          <w:szCs w:val="24"/>
        </w:rPr>
        <w:t xml:space="preserve">Natural Physical </w:t>
      </w:r>
      <w:r>
        <w:rPr>
          <w:rFonts w:ascii="Arial" w:hAnsi="Arial" w:cs="Arial"/>
          <w:sz w:val="24"/>
          <w:szCs w:val="24"/>
        </w:rPr>
        <w:t>Constants (Intrinsic Standards)</w:t>
      </w:r>
    </w:p>
    <w:p w14:paraId="032F8C07" w14:textId="77777777" w:rsidR="00BE76E4" w:rsidRDefault="00BE76E4" w:rsidP="00BE76E4">
      <w:pPr>
        <w:spacing w:after="0"/>
        <w:rPr>
          <w:rFonts w:ascii="Arial" w:hAnsi="Arial" w:cs="Arial"/>
          <w:sz w:val="24"/>
          <w:szCs w:val="24"/>
        </w:rPr>
      </w:pPr>
      <w:r>
        <w:rPr>
          <w:rFonts w:ascii="Arial" w:hAnsi="Arial" w:cs="Arial"/>
          <w:sz w:val="24"/>
          <w:szCs w:val="24"/>
        </w:rPr>
        <w:t>-Consensus Standards</w:t>
      </w:r>
    </w:p>
    <w:p w14:paraId="521B98DF" w14:textId="77777777" w:rsidR="00BE76E4" w:rsidRDefault="00BE76E4" w:rsidP="00BE76E4">
      <w:pPr>
        <w:spacing w:after="0"/>
        <w:rPr>
          <w:rFonts w:ascii="Arial" w:hAnsi="Arial" w:cs="Arial"/>
          <w:sz w:val="24"/>
          <w:szCs w:val="24"/>
        </w:rPr>
      </w:pPr>
      <w:r>
        <w:rPr>
          <w:rFonts w:ascii="Arial" w:hAnsi="Arial" w:cs="Arial"/>
          <w:sz w:val="24"/>
          <w:szCs w:val="24"/>
        </w:rPr>
        <w:t>-</w:t>
      </w:r>
      <w:r w:rsidRPr="00D55BE9">
        <w:rPr>
          <w:rFonts w:ascii="Arial" w:hAnsi="Arial" w:cs="Arial"/>
          <w:sz w:val="24"/>
          <w:szCs w:val="24"/>
        </w:rPr>
        <w:t>National Standards of other countries which are correlated with U.S. National Standards</w:t>
      </w:r>
    </w:p>
    <w:p w14:paraId="07C482ED" w14:textId="77777777" w:rsidR="00BE76E4" w:rsidRPr="00D55BE9" w:rsidRDefault="00BE76E4" w:rsidP="00BE76E4">
      <w:pPr>
        <w:spacing w:after="0"/>
        <w:rPr>
          <w:rFonts w:ascii="Arial" w:hAnsi="Arial" w:cs="Arial"/>
          <w:sz w:val="24"/>
          <w:szCs w:val="24"/>
        </w:rPr>
      </w:pPr>
    </w:p>
    <w:p w14:paraId="18DF7566" w14:textId="77777777" w:rsidR="00BE76E4" w:rsidRPr="00D55BE9" w:rsidRDefault="00BE76E4" w:rsidP="00BE76E4">
      <w:pPr>
        <w:spacing w:after="0"/>
        <w:rPr>
          <w:rFonts w:ascii="Arial" w:hAnsi="Arial" w:cs="Arial"/>
          <w:sz w:val="24"/>
          <w:szCs w:val="24"/>
        </w:rPr>
      </w:pPr>
      <w:r w:rsidRPr="00D55BE9">
        <w:rPr>
          <w:rFonts w:ascii="Arial" w:hAnsi="Arial" w:cs="Arial"/>
          <w:sz w:val="24"/>
          <w:szCs w:val="24"/>
        </w:rPr>
        <w:t>The calibration process used must result in a Test Accuracy Ratio or Test Uncertainty Ratio of 4:1 or greater, or a False Accept Risk of 2% or less, in accordance with the applicable paragraph(s) of ANSI/NCSL Z540.1 or later.</w:t>
      </w:r>
      <w:r>
        <w:rPr>
          <w:rFonts w:ascii="Arial" w:hAnsi="Arial" w:cs="Arial"/>
          <w:sz w:val="24"/>
          <w:szCs w:val="24"/>
        </w:rPr>
        <w:t xml:space="preserve"> </w:t>
      </w:r>
    </w:p>
    <w:p w14:paraId="4FA77F7A" w14:textId="77777777" w:rsidR="00BE76E4" w:rsidRPr="00D55BE9" w:rsidRDefault="00BE76E4" w:rsidP="00BE76E4">
      <w:pPr>
        <w:spacing w:after="0"/>
        <w:rPr>
          <w:rFonts w:ascii="Arial" w:hAnsi="Arial" w:cs="Arial"/>
          <w:sz w:val="24"/>
          <w:szCs w:val="24"/>
        </w:rPr>
      </w:pPr>
      <w:r w:rsidRPr="00D55BE9">
        <w:rPr>
          <w:rFonts w:ascii="Arial" w:hAnsi="Arial" w:cs="Arial"/>
          <w:sz w:val="24"/>
          <w:szCs w:val="24"/>
        </w:rPr>
        <w:t xml:space="preserve"> </w:t>
      </w:r>
    </w:p>
    <w:p w14:paraId="67D258B7" w14:textId="77777777" w:rsidR="00BE76E4" w:rsidRDefault="00BE76E4" w:rsidP="00BE76E4">
      <w:pPr>
        <w:spacing w:after="0"/>
        <w:rPr>
          <w:rFonts w:ascii="Arial" w:hAnsi="Arial" w:cs="Arial"/>
          <w:sz w:val="24"/>
          <w:szCs w:val="24"/>
        </w:rPr>
      </w:pPr>
      <w:r w:rsidRPr="00D55BE9">
        <w:rPr>
          <w:rFonts w:ascii="Arial" w:hAnsi="Arial" w:cs="Arial"/>
          <w:sz w:val="24"/>
          <w:szCs w:val="24"/>
        </w:rPr>
        <w:t>A calibration certificate must be provided which states the source of traceability a</w:t>
      </w:r>
      <w:r>
        <w:rPr>
          <w:rFonts w:ascii="Arial" w:hAnsi="Arial" w:cs="Arial"/>
          <w:sz w:val="24"/>
          <w:szCs w:val="24"/>
        </w:rPr>
        <w:t>nd compliance with the above paragraph</w:t>
      </w:r>
      <w:r w:rsidRPr="00D55BE9">
        <w:rPr>
          <w:rFonts w:ascii="Arial" w:hAnsi="Arial" w:cs="Arial"/>
          <w:sz w:val="24"/>
          <w:szCs w:val="24"/>
        </w:rPr>
        <w:t xml:space="preserve">. It must also state </w:t>
      </w:r>
      <w:proofErr w:type="gramStart"/>
      <w:r w:rsidRPr="00D55BE9">
        <w:rPr>
          <w:rFonts w:ascii="Arial" w:hAnsi="Arial" w:cs="Arial"/>
          <w:sz w:val="24"/>
          <w:szCs w:val="24"/>
        </w:rPr>
        <w:t>whether or not</w:t>
      </w:r>
      <w:proofErr w:type="gramEnd"/>
      <w:r w:rsidRPr="00D55BE9">
        <w:rPr>
          <w:rFonts w:ascii="Arial" w:hAnsi="Arial" w:cs="Arial"/>
          <w:sz w:val="24"/>
          <w:szCs w:val="24"/>
        </w:rPr>
        <w:t xml:space="preserve"> the item was </w:t>
      </w:r>
      <w:proofErr w:type="gramStart"/>
      <w:r w:rsidRPr="00D55BE9">
        <w:rPr>
          <w:rFonts w:ascii="Arial" w:hAnsi="Arial" w:cs="Arial"/>
          <w:sz w:val="24"/>
          <w:szCs w:val="24"/>
        </w:rPr>
        <w:t>in-tolerance</w:t>
      </w:r>
      <w:proofErr w:type="gramEnd"/>
      <w:r w:rsidRPr="00D55BE9">
        <w:rPr>
          <w:rFonts w:ascii="Arial" w:hAnsi="Arial" w:cs="Arial"/>
          <w:sz w:val="24"/>
          <w:szCs w:val="24"/>
        </w:rPr>
        <w:t xml:space="preserve"> as received.</w:t>
      </w:r>
    </w:p>
    <w:p w14:paraId="0BA245D1" w14:textId="77777777" w:rsidR="00BE76E4" w:rsidRDefault="00BE76E4" w:rsidP="00BE76E4">
      <w:pPr>
        <w:spacing w:after="0"/>
        <w:rPr>
          <w:rFonts w:ascii="Arial" w:hAnsi="Arial" w:cs="Arial"/>
          <w:sz w:val="24"/>
          <w:szCs w:val="24"/>
        </w:rPr>
      </w:pPr>
    </w:p>
    <w:p w14:paraId="6B5D1487" w14:textId="77777777" w:rsidR="00BE76E4" w:rsidRDefault="00BE76E4" w:rsidP="00BE76E4">
      <w:pPr>
        <w:spacing w:after="0"/>
        <w:rPr>
          <w:rFonts w:ascii="Arial" w:hAnsi="Arial" w:cs="Arial"/>
          <w:sz w:val="24"/>
          <w:szCs w:val="24"/>
        </w:rPr>
      </w:pPr>
      <w:r>
        <w:rPr>
          <w:rFonts w:ascii="Arial" w:hAnsi="Arial" w:cs="Arial"/>
          <w:sz w:val="24"/>
          <w:szCs w:val="24"/>
        </w:rPr>
        <w:t>“As found” and “as left” measurement values are required on the certificate of calibration.</w:t>
      </w:r>
    </w:p>
    <w:p w14:paraId="6CE96252" w14:textId="77777777" w:rsidR="00BE76E4" w:rsidRDefault="00BE76E4" w:rsidP="00BE76E4">
      <w:pPr>
        <w:spacing w:after="0"/>
        <w:rPr>
          <w:rFonts w:ascii="Arial" w:hAnsi="Arial" w:cs="Arial"/>
          <w:sz w:val="24"/>
          <w:szCs w:val="24"/>
        </w:rPr>
      </w:pPr>
    </w:p>
    <w:p w14:paraId="506DD78D" w14:textId="77777777" w:rsidR="00BE76E4" w:rsidRDefault="00BE76E4" w:rsidP="00BE76E4">
      <w:pPr>
        <w:spacing w:after="0"/>
        <w:rPr>
          <w:rFonts w:ascii="Arial" w:hAnsi="Arial" w:cs="Arial"/>
          <w:i/>
          <w:sz w:val="24"/>
          <w:szCs w:val="24"/>
        </w:rPr>
      </w:pPr>
      <w:r w:rsidRPr="00190B6B">
        <w:rPr>
          <w:rFonts w:ascii="Arial" w:hAnsi="Arial" w:cs="Arial"/>
          <w:i/>
          <w:sz w:val="24"/>
          <w:szCs w:val="24"/>
        </w:rPr>
        <w:t xml:space="preserve">Any deviation from the criteria mentioned in this section must be authorized by NNSY Code 137.2, Metrology Engineering. Use of a different vendor other than </w:t>
      </w:r>
      <w:r>
        <w:rPr>
          <w:rFonts w:ascii="Arial" w:hAnsi="Arial" w:cs="Arial"/>
          <w:b/>
          <w:i/>
          <w:sz w:val="24"/>
          <w:szCs w:val="24"/>
        </w:rPr>
        <w:t xml:space="preserve">Hexagon Manufacturing Intelligence, Inc </w:t>
      </w:r>
      <w:r w:rsidRPr="00190B6B">
        <w:rPr>
          <w:rFonts w:ascii="Arial" w:hAnsi="Arial" w:cs="Arial"/>
          <w:i/>
          <w:sz w:val="24"/>
          <w:szCs w:val="24"/>
        </w:rPr>
        <w:t>must also be researched and approved by NNSY Code 137.2 Metrology Engineering.</w:t>
      </w:r>
    </w:p>
    <w:p w14:paraId="20F32E7E" w14:textId="77777777" w:rsidR="00BE76E4" w:rsidRDefault="00BE76E4" w:rsidP="00BE76E4">
      <w:pPr>
        <w:spacing w:after="0"/>
        <w:rPr>
          <w:rFonts w:ascii="Arial" w:hAnsi="Arial" w:cs="Arial"/>
          <w:i/>
          <w:sz w:val="24"/>
          <w:szCs w:val="24"/>
        </w:rPr>
      </w:pPr>
    </w:p>
    <w:p w14:paraId="2C4B4B53" w14:textId="77777777" w:rsidR="00BE76E4" w:rsidRPr="00E719B9" w:rsidRDefault="00BE76E4" w:rsidP="00BE76E4">
      <w:pPr>
        <w:spacing w:after="0"/>
        <w:rPr>
          <w:rFonts w:ascii="Arial" w:hAnsi="Arial" w:cs="Arial"/>
          <w:b/>
          <w:i/>
          <w:sz w:val="24"/>
          <w:szCs w:val="24"/>
        </w:rPr>
      </w:pPr>
      <w:r w:rsidRPr="00E719B9">
        <w:rPr>
          <w:rFonts w:ascii="Arial" w:hAnsi="Arial" w:cs="Arial"/>
          <w:b/>
          <w:i/>
          <w:sz w:val="24"/>
          <w:szCs w:val="24"/>
        </w:rPr>
        <w:t>Repair Work Requirements</w:t>
      </w:r>
    </w:p>
    <w:p w14:paraId="5F9587CA" w14:textId="77777777" w:rsidR="00BE76E4" w:rsidRPr="00D629B3" w:rsidRDefault="00BE76E4" w:rsidP="00BE76E4">
      <w:pPr>
        <w:spacing w:after="0"/>
        <w:rPr>
          <w:rFonts w:ascii="Arial" w:hAnsi="Arial" w:cs="Arial"/>
          <w:i/>
          <w:color w:val="FF0000"/>
          <w:sz w:val="24"/>
          <w:szCs w:val="24"/>
        </w:rPr>
      </w:pPr>
      <w:r w:rsidRPr="00E719B9">
        <w:rPr>
          <w:rFonts w:ascii="Arial" w:hAnsi="Arial" w:cs="Arial"/>
          <w:i/>
          <w:sz w:val="24"/>
          <w:szCs w:val="24"/>
        </w:rPr>
        <w:t xml:space="preserve">Repairs may be </w:t>
      </w:r>
      <w:proofErr w:type="gramStart"/>
      <w:r w:rsidRPr="00E719B9">
        <w:rPr>
          <w:rFonts w:ascii="Arial" w:hAnsi="Arial" w:cs="Arial"/>
          <w:i/>
          <w:sz w:val="24"/>
          <w:szCs w:val="24"/>
        </w:rPr>
        <w:t>necessary</w:t>
      </w:r>
      <w:proofErr w:type="gramEnd"/>
      <w:r w:rsidRPr="00E719B9">
        <w:rPr>
          <w:rFonts w:ascii="Arial" w:hAnsi="Arial" w:cs="Arial"/>
          <w:i/>
          <w:sz w:val="24"/>
          <w:szCs w:val="24"/>
        </w:rPr>
        <w:t xml:space="preserve"> but the extent of repairs will be unknown prior to the maintenance and calibration work defined in the statement of work. If it is discovered that repairs are needed, the contractor shall immediately provide a cost breakdown, (e.g. materials, labor, and travel) to the KO and TPOC for evaluation. Additional price </w:t>
      </w:r>
      <w:r w:rsidRPr="00E719B9">
        <w:rPr>
          <w:rFonts w:ascii="Arial" w:hAnsi="Arial" w:cs="Arial"/>
          <w:i/>
          <w:sz w:val="24"/>
          <w:szCs w:val="24"/>
        </w:rPr>
        <w:lastRenderedPageBreak/>
        <w:t xml:space="preserve">information may be requested by the KO if needed to determine the repair work’s price is fair and reasonable. Any repair work will be issued on CLIN separately funded line item. No additional repair work will be authorized until funded by way of modification. Repair work is hereby determined to be within the scope of this </w:t>
      </w:r>
      <w:proofErr w:type="gramStart"/>
      <w:r w:rsidRPr="00E719B9">
        <w:rPr>
          <w:rFonts w:ascii="Arial" w:hAnsi="Arial" w:cs="Arial"/>
          <w:i/>
          <w:sz w:val="24"/>
          <w:szCs w:val="24"/>
        </w:rPr>
        <w:t>contract however;</w:t>
      </w:r>
      <w:proofErr w:type="gramEnd"/>
      <w:r w:rsidRPr="00E719B9">
        <w:rPr>
          <w:rFonts w:ascii="Arial" w:hAnsi="Arial" w:cs="Arial"/>
          <w:i/>
          <w:sz w:val="24"/>
          <w:szCs w:val="24"/>
        </w:rPr>
        <w:t xml:space="preserve"> the KO shall make a separate scope determination based on the extent of repairs needed and determination of price fair and reasonableness</w:t>
      </w:r>
      <w:r w:rsidRPr="00D629B3">
        <w:rPr>
          <w:rFonts w:ascii="Arial" w:hAnsi="Arial" w:cs="Arial"/>
          <w:i/>
          <w:color w:val="FF0000"/>
          <w:sz w:val="24"/>
          <w:szCs w:val="24"/>
        </w:rPr>
        <w:t>.</w:t>
      </w:r>
    </w:p>
    <w:p w14:paraId="06874C05" w14:textId="77777777" w:rsidR="00BE76E4" w:rsidRDefault="00BE76E4" w:rsidP="00BE76E4">
      <w:pPr>
        <w:spacing w:after="0"/>
        <w:rPr>
          <w:rFonts w:ascii="Arial" w:hAnsi="Arial" w:cs="Arial"/>
          <w:i/>
          <w:sz w:val="24"/>
          <w:szCs w:val="24"/>
        </w:rPr>
      </w:pPr>
    </w:p>
    <w:p w14:paraId="0F7C040E" w14:textId="77777777" w:rsidR="00BE76E4" w:rsidRDefault="00BE76E4" w:rsidP="00BE76E4">
      <w:pPr>
        <w:spacing w:after="0"/>
        <w:rPr>
          <w:rFonts w:ascii="Arial" w:hAnsi="Arial" w:cs="Arial"/>
          <w:i/>
          <w:sz w:val="24"/>
          <w:szCs w:val="24"/>
        </w:rPr>
      </w:pPr>
    </w:p>
    <w:p w14:paraId="23B45552" w14:textId="77777777" w:rsidR="00BE76E4" w:rsidRPr="00190B6B" w:rsidRDefault="00BE76E4" w:rsidP="00BE76E4">
      <w:pPr>
        <w:spacing w:after="0"/>
        <w:rPr>
          <w:rFonts w:ascii="Arial" w:hAnsi="Arial" w:cs="Arial"/>
          <w:i/>
          <w:sz w:val="24"/>
          <w:szCs w:val="24"/>
        </w:rPr>
      </w:pPr>
      <w:r>
        <w:rPr>
          <w:rFonts w:ascii="Arial" w:hAnsi="Arial" w:cs="Arial"/>
          <w:i/>
          <w:sz w:val="24"/>
          <w:szCs w:val="24"/>
        </w:rPr>
        <w:t>***If repairs are required, vendor is to submit a repair quote and await approval before beginning repair work***</w:t>
      </w:r>
    </w:p>
    <w:p w14:paraId="5839E229" w14:textId="77777777" w:rsidR="00BE76E4" w:rsidRDefault="00BE76E4" w:rsidP="00BE76E4">
      <w:pPr>
        <w:spacing w:after="0"/>
        <w:rPr>
          <w:rFonts w:ascii="Arial" w:hAnsi="Arial" w:cs="Arial"/>
          <w:sz w:val="24"/>
          <w:szCs w:val="24"/>
        </w:rPr>
      </w:pPr>
    </w:p>
    <w:p w14:paraId="3FA621A6" w14:textId="77777777" w:rsidR="00BE76E4" w:rsidRPr="00757A33" w:rsidRDefault="00BE76E4" w:rsidP="00BE76E4">
      <w:pPr>
        <w:pStyle w:val="ListParagraph"/>
        <w:ind w:left="90"/>
        <w:rPr>
          <w:rFonts w:ascii="Arial" w:hAnsi="Arial" w:cs="Arial"/>
          <w:sz w:val="24"/>
          <w:szCs w:val="24"/>
        </w:rPr>
      </w:pPr>
      <w:r w:rsidRPr="00757A33">
        <w:rPr>
          <w:rFonts w:ascii="Arial" w:hAnsi="Arial" w:cs="Arial"/>
          <w:sz w:val="24"/>
          <w:szCs w:val="24"/>
        </w:rPr>
        <w:t xml:space="preserve">2.1 Security NNSY Access Requirements:  All contractors, </w:t>
      </w:r>
      <w:proofErr w:type="gramStart"/>
      <w:r w:rsidRPr="00757A33">
        <w:rPr>
          <w:rFonts w:ascii="Arial" w:hAnsi="Arial" w:cs="Arial"/>
          <w:sz w:val="24"/>
          <w:szCs w:val="24"/>
        </w:rPr>
        <w:t>with the exception of</w:t>
      </w:r>
      <w:proofErr w:type="gramEnd"/>
      <w:r w:rsidRPr="00757A33">
        <w:rPr>
          <w:rFonts w:ascii="Arial" w:hAnsi="Arial" w:cs="Arial"/>
          <w:sz w:val="24"/>
          <w:szCs w:val="24"/>
        </w:rPr>
        <w:t xml:space="preserve"> permanent party (or “seated” contractors with Common Access Cards (CACs), will be required to obtain a DBIDS card to gain access to NNSY.  </w:t>
      </w:r>
    </w:p>
    <w:p w14:paraId="6365C694" w14:textId="77777777" w:rsidR="00BE76E4" w:rsidRPr="00757A33" w:rsidRDefault="00BE76E4" w:rsidP="00BE76E4">
      <w:pPr>
        <w:pStyle w:val="ListParagraph"/>
        <w:ind w:left="1845"/>
        <w:rPr>
          <w:rFonts w:ascii="Arial" w:hAnsi="Arial" w:cs="Arial"/>
          <w:sz w:val="24"/>
          <w:szCs w:val="24"/>
        </w:rPr>
      </w:pPr>
    </w:p>
    <w:p w14:paraId="527FFD79" w14:textId="77777777" w:rsidR="00BE76E4" w:rsidRPr="00757A33" w:rsidRDefault="00BE76E4" w:rsidP="00BE76E4">
      <w:pPr>
        <w:pStyle w:val="ListParagraph"/>
        <w:ind w:left="180"/>
        <w:rPr>
          <w:rFonts w:ascii="Arial" w:hAnsi="Arial" w:cs="Arial"/>
          <w:sz w:val="24"/>
          <w:szCs w:val="24"/>
        </w:rPr>
      </w:pPr>
      <w:r w:rsidRPr="00757A33">
        <w:rPr>
          <w:rFonts w:ascii="Arial" w:hAnsi="Arial" w:cs="Arial"/>
          <w:sz w:val="24"/>
          <w:szCs w:val="24"/>
        </w:rPr>
        <w:t>(Note:  A “seated contractor” is a contractor who received CACs and are granted access to Navy or NNSY information technology systems and are stationed at NNSY as their permanent work location.)</w:t>
      </w:r>
    </w:p>
    <w:p w14:paraId="132BDF67" w14:textId="77777777" w:rsidR="00BE76E4" w:rsidRPr="00757A33" w:rsidRDefault="00BE76E4" w:rsidP="00BE76E4">
      <w:pPr>
        <w:pStyle w:val="ListParagraph"/>
        <w:ind w:left="1845"/>
        <w:rPr>
          <w:rFonts w:ascii="Arial" w:hAnsi="Arial" w:cs="Arial"/>
          <w:sz w:val="24"/>
          <w:szCs w:val="24"/>
        </w:rPr>
      </w:pPr>
    </w:p>
    <w:p w14:paraId="15264118" w14:textId="77777777" w:rsidR="00BE76E4" w:rsidRPr="00757A33" w:rsidRDefault="00BE76E4" w:rsidP="00BE76E4">
      <w:pPr>
        <w:pStyle w:val="ListParagraph"/>
        <w:ind w:left="360"/>
        <w:rPr>
          <w:rFonts w:ascii="Arial" w:hAnsi="Arial" w:cs="Arial"/>
          <w:sz w:val="24"/>
          <w:szCs w:val="24"/>
        </w:rPr>
      </w:pPr>
      <w:r w:rsidRPr="00757A33">
        <w:rPr>
          <w:rFonts w:ascii="Arial" w:hAnsi="Arial" w:cs="Arial"/>
          <w:sz w:val="24"/>
          <w:szCs w:val="24"/>
        </w:rPr>
        <w:t>•</w:t>
      </w:r>
      <w:r w:rsidRPr="00757A33">
        <w:rPr>
          <w:rFonts w:ascii="Arial" w:hAnsi="Arial" w:cs="Arial"/>
          <w:sz w:val="24"/>
          <w:szCs w:val="24"/>
        </w:rPr>
        <w:tab/>
        <w:t>Procedure for receiving a DBIDS card:</w:t>
      </w:r>
    </w:p>
    <w:p w14:paraId="779C04EA" w14:textId="77777777" w:rsidR="00BE76E4" w:rsidRPr="00757A33" w:rsidRDefault="00BE76E4" w:rsidP="00BE76E4">
      <w:pPr>
        <w:pStyle w:val="ListParagraph"/>
        <w:ind w:left="360"/>
        <w:rPr>
          <w:rFonts w:ascii="Arial" w:hAnsi="Arial" w:cs="Arial"/>
          <w:sz w:val="24"/>
          <w:szCs w:val="24"/>
        </w:rPr>
      </w:pPr>
      <w:r w:rsidRPr="00757A33">
        <w:rPr>
          <w:rFonts w:ascii="Arial" w:hAnsi="Arial" w:cs="Arial"/>
          <w:sz w:val="24"/>
          <w:szCs w:val="24"/>
        </w:rPr>
        <w:t>a)</w:t>
      </w:r>
      <w:r w:rsidRPr="00757A33">
        <w:rPr>
          <w:rFonts w:ascii="Arial" w:hAnsi="Arial" w:cs="Arial"/>
          <w:sz w:val="24"/>
          <w:szCs w:val="24"/>
        </w:rPr>
        <w:tab/>
        <w:t>Contractor will complete the SECNAV 5512 form(s) and forward them to their NNSY Sponsor/Contracting Officer’s Representative (COR).</w:t>
      </w:r>
    </w:p>
    <w:p w14:paraId="377584FC" w14:textId="77777777" w:rsidR="00BE76E4" w:rsidRPr="00757A33" w:rsidRDefault="00BE76E4" w:rsidP="00BE76E4">
      <w:pPr>
        <w:pStyle w:val="ListParagraph"/>
        <w:ind w:left="180"/>
        <w:rPr>
          <w:rFonts w:ascii="Arial" w:hAnsi="Arial" w:cs="Arial"/>
          <w:sz w:val="24"/>
          <w:szCs w:val="24"/>
        </w:rPr>
      </w:pPr>
      <w:r w:rsidRPr="00757A33">
        <w:rPr>
          <w:rFonts w:ascii="Arial" w:hAnsi="Arial" w:cs="Arial"/>
          <w:sz w:val="24"/>
          <w:szCs w:val="24"/>
        </w:rPr>
        <w:t>b)</w:t>
      </w:r>
      <w:r w:rsidRPr="00757A33">
        <w:rPr>
          <w:rFonts w:ascii="Arial" w:hAnsi="Arial" w:cs="Arial"/>
          <w:sz w:val="24"/>
          <w:szCs w:val="24"/>
        </w:rPr>
        <w:tab/>
        <w:t>The sponsor will complete the CVS spreadsheet utilizing the information on the completed SECNAV5512 forms and forward all documents to Commander Navy region mid-Atlantic (CNRMA) for vetting.</w:t>
      </w:r>
    </w:p>
    <w:p w14:paraId="327B9AAE" w14:textId="77777777" w:rsidR="00BE76E4" w:rsidRPr="00757A33" w:rsidRDefault="00BE76E4" w:rsidP="00BE76E4">
      <w:pPr>
        <w:pStyle w:val="ListParagraph"/>
        <w:ind w:left="180"/>
        <w:rPr>
          <w:rFonts w:ascii="Arial" w:hAnsi="Arial" w:cs="Arial"/>
          <w:sz w:val="24"/>
          <w:szCs w:val="24"/>
        </w:rPr>
      </w:pPr>
      <w:r w:rsidRPr="00757A33">
        <w:rPr>
          <w:rFonts w:ascii="Arial" w:hAnsi="Arial" w:cs="Arial"/>
          <w:sz w:val="24"/>
          <w:szCs w:val="24"/>
        </w:rPr>
        <w:t>c)</w:t>
      </w:r>
      <w:r w:rsidRPr="00757A33">
        <w:rPr>
          <w:rFonts w:ascii="Arial" w:hAnsi="Arial" w:cs="Arial"/>
          <w:sz w:val="24"/>
          <w:szCs w:val="24"/>
        </w:rPr>
        <w:tab/>
        <w:t>CNRMA will add the contractor to the “179-Day List” which is utilized by the Pass and ID office to create the DBIDS card.</w:t>
      </w:r>
    </w:p>
    <w:p w14:paraId="4AE9C49A" w14:textId="77777777" w:rsidR="00BE76E4" w:rsidRPr="00757A33" w:rsidRDefault="00BE76E4" w:rsidP="00BE76E4">
      <w:pPr>
        <w:pStyle w:val="ListParagraph"/>
        <w:ind w:left="180"/>
        <w:rPr>
          <w:rFonts w:ascii="Arial" w:hAnsi="Arial" w:cs="Arial"/>
          <w:sz w:val="24"/>
          <w:szCs w:val="24"/>
        </w:rPr>
      </w:pPr>
      <w:r w:rsidRPr="00757A33">
        <w:rPr>
          <w:rFonts w:ascii="Arial" w:hAnsi="Arial" w:cs="Arial"/>
          <w:sz w:val="24"/>
          <w:szCs w:val="24"/>
        </w:rPr>
        <w:t>d)</w:t>
      </w:r>
      <w:r w:rsidRPr="00757A33">
        <w:rPr>
          <w:rFonts w:ascii="Arial" w:hAnsi="Arial" w:cs="Arial"/>
          <w:sz w:val="24"/>
          <w:szCs w:val="24"/>
        </w:rPr>
        <w:tab/>
        <w:t>Once on the 179-Day List, the contractor may go to Pass and ID to have their DBIDS card generated.</w:t>
      </w:r>
    </w:p>
    <w:p w14:paraId="0528150D" w14:textId="77777777" w:rsidR="00BE76E4" w:rsidRPr="00757A33" w:rsidRDefault="00BE76E4" w:rsidP="00BE76E4">
      <w:pPr>
        <w:pStyle w:val="ListParagraph"/>
        <w:ind w:left="180"/>
        <w:rPr>
          <w:rFonts w:ascii="Arial" w:hAnsi="Arial" w:cs="Arial"/>
          <w:sz w:val="24"/>
          <w:szCs w:val="24"/>
        </w:rPr>
      </w:pPr>
      <w:r w:rsidRPr="00757A33">
        <w:rPr>
          <w:rFonts w:ascii="Arial" w:hAnsi="Arial" w:cs="Arial"/>
          <w:sz w:val="24"/>
          <w:szCs w:val="24"/>
        </w:rPr>
        <w:t>e)</w:t>
      </w:r>
      <w:r w:rsidRPr="00757A33">
        <w:rPr>
          <w:rFonts w:ascii="Arial" w:hAnsi="Arial" w:cs="Arial"/>
          <w:sz w:val="24"/>
          <w:szCs w:val="24"/>
        </w:rPr>
        <w:tab/>
        <w:t>Green NAVSEA access badges can be generated at this point with contractors providing proof of U.S. Citizenship (Birth Certificate/ US Passport).</w:t>
      </w:r>
    </w:p>
    <w:p w14:paraId="6DBC43AD" w14:textId="77777777" w:rsidR="00BE76E4" w:rsidRPr="00757A33" w:rsidRDefault="00BE76E4" w:rsidP="00BE76E4">
      <w:pPr>
        <w:pStyle w:val="ListParagraph"/>
        <w:ind w:left="180"/>
        <w:rPr>
          <w:rFonts w:ascii="Arial" w:hAnsi="Arial" w:cs="Arial"/>
          <w:sz w:val="24"/>
          <w:szCs w:val="24"/>
        </w:rPr>
      </w:pPr>
    </w:p>
    <w:p w14:paraId="6A7D2746" w14:textId="77777777" w:rsidR="00BE76E4" w:rsidRPr="00757A33" w:rsidRDefault="00BE76E4" w:rsidP="00BE76E4">
      <w:pPr>
        <w:pStyle w:val="ListParagraph"/>
        <w:ind w:left="180"/>
        <w:rPr>
          <w:rFonts w:ascii="Arial" w:hAnsi="Arial" w:cs="Arial"/>
          <w:sz w:val="24"/>
          <w:szCs w:val="24"/>
        </w:rPr>
      </w:pPr>
      <w:r w:rsidRPr="00757A33">
        <w:rPr>
          <w:rFonts w:ascii="Arial" w:hAnsi="Arial" w:cs="Arial"/>
          <w:sz w:val="24"/>
          <w:szCs w:val="24"/>
        </w:rPr>
        <w:t>2.2 Portable Electronic Devices (PEDs): A PED is defined as any non-stationary electronic apparatus with singular or multiple capabilities of, but not limited to recording, storing, and/or transmitting data, voice, video, or photo images (e.g., cell phones, laptops, tablets and wearable devices such as fitness bands and smart watches).</w:t>
      </w:r>
    </w:p>
    <w:p w14:paraId="5E58AA21" w14:textId="77777777" w:rsidR="00BE76E4" w:rsidRPr="00757A33" w:rsidRDefault="00BE76E4" w:rsidP="00BE76E4">
      <w:pPr>
        <w:pStyle w:val="ListParagraph"/>
        <w:ind w:left="180"/>
        <w:rPr>
          <w:rFonts w:ascii="Arial" w:hAnsi="Arial" w:cs="Arial"/>
          <w:sz w:val="24"/>
          <w:szCs w:val="24"/>
        </w:rPr>
      </w:pPr>
      <w:r w:rsidRPr="00757A33">
        <w:rPr>
          <w:rFonts w:ascii="Arial" w:hAnsi="Arial" w:cs="Arial"/>
          <w:sz w:val="24"/>
          <w:szCs w:val="24"/>
        </w:rPr>
        <w:t>a)</w:t>
      </w:r>
      <w:r w:rsidRPr="00757A33">
        <w:rPr>
          <w:rFonts w:ascii="Arial" w:hAnsi="Arial" w:cs="Arial"/>
          <w:sz w:val="24"/>
          <w:szCs w:val="24"/>
        </w:rPr>
        <w:tab/>
        <w:t xml:space="preserve">NAVSEA 04 Ser 04/281 IMPLEMENTATION PLAN FOR ALLOWING CAMERA-PORTABLE ELECTRONIC DEVICES WITHIN THE CONTROLLED INDUSTRIAL AREA. </w:t>
      </w:r>
    </w:p>
    <w:p w14:paraId="0A839DF1" w14:textId="77777777" w:rsidR="00BE76E4" w:rsidRPr="00757A33" w:rsidRDefault="00BE76E4" w:rsidP="00BE76E4">
      <w:pPr>
        <w:pStyle w:val="ListParagraph"/>
        <w:ind w:left="180"/>
        <w:rPr>
          <w:rFonts w:ascii="Arial" w:hAnsi="Arial" w:cs="Arial"/>
          <w:sz w:val="24"/>
          <w:szCs w:val="24"/>
        </w:rPr>
      </w:pPr>
    </w:p>
    <w:p w14:paraId="764ED3E1" w14:textId="77777777" w:rsidR="00BE76E4" w:rsidRPr="00757A33" w:rsidRDefault="00BE76E4" w:rsidP="00BE76E4">
      <w:pPr>
        <w:pStyle w:val="ListParagraph"/>
        <w:ind w:left="180"/>
        <w:rPr>
          <w:rFonts w:ascii="Arial" w:hAnsi="Arial" w:cs="Arial"/>
          <w:sz w:val="24"/>
          <w:szCs w:val="24"/>
        </w:rPr>
      </w:pPr>
      <w:r w:rsidRPr="00757A33">
        <w:rPr>
          <w:rFonts w:ascii="Arial" w:hAnsi="Arial" w:cs="Arial"/>
          <w:sz w:val="24"/>
          <w:szCs w:val="24"/>
        </w:rPr>
        <w:t>b)</w:t>
      </w:r>
      <w:r w:rsidRPr="00757A33">
        <w:rPr>
          <w:rFonts w:ascii="Arial" w:hAnsi="Arial" w:cs="Arial"/>
          <w:sz w:val="24"/>
          <w:szCs w:val="24"/>
        </w:rPr>
        <w:tab/>
        <w:t>NAVSEAINST 2200.1A PORTABLE ELECTRONIC DEVICES POLICY</w:t>
      </w:r>
    </w:p>
    <w:p w14:paraId="49235AD2" w14:textId="77777777" w:rsidR="00BE76E4" w:rsidRPr="00757A33" w:rsidRDefault="00BE76E4" w:rsidP="00BE76E4">
      <w:pPr>
        <w:pStyle w:val="ListParagraph"/>
        <w:ind w:left="180"/>
        <w:rPr>
          <w:rFonts w:ascii="Arial" w:hAnsi="Arial" w:cs="Arial"/>
          <w:sz w:val="24"/>
          <w:szCs w:val="24"/>
        </w:rPr>
      </w:pPr>
    </w:p>
    <w:p w14:paraId="6C5FFC55" w14:textId="77777777" w:rsidR="00BE76E4" w:rsidRPr="00757A33" w:rsidRDefault="00BE76E4" w:rsidP="00BE76E4">
      <w:pPr>
        <w:pStyle w:val="ListParagraph"/>
        <w:ind w:left="180"/>
        <w:rPr>
          <w:rFonts w:ascii="Arial" w:hAnsi="Arial" w:cs="Arial"/>
          <w:sz w:val="24"/>
          <w:szCs w:val="24"/>
        </w:rPr>
      </w:pPr>
      <w:r w:rsidRPr="00757A33">
        <w:rPr>
          <w:rFonts w:ascii="Arial" w:hAnsi="Arial" w:cs="Arial"/>
          <w:sz w:val="24"/>
          <w:szCs w:val="24"/>
        </w:rPr>
        <w:t>c)</w:t>
      </w:r>
      <w:r w:rsidRPr="00757A33">
        <w:rPr>
          <w:rFonts w:ascii="Arial" w:hAnsi="Arial" w:cs="Arial"/>
          <w:sz w:val="24"/>
          <w:szCs w:val="24"/>
        </w:rPr>
        <w:tab/>
        <w:t>SECPROMAN Vol 1 5510.36 Rev E.</w:t>
      </w:r>
    </w:p>
    <w:p w14:paraId="3960451C" w14:textId="77777777" w:rsidR="00BE76E4" w:rsidRPr="00757A33" w:rsidRDefault="00BE76E4" w:rsidP="00BE76E4">
      <w:pPr>
        <w:pStyle w:val="ListParagraph"/>
        <w:ind w:left="180"/>
        <w:rPr>
          <w:rFonts w:ascii="Arial" w:hAnsi="Arial" w:cs="Arial"/>
          <w:sz w:val="24"/>
          <w:szCs w:val="24"/>
        </w:rPr>
      </w:pPr>
    </w:p>
    <w:p w14:paraId="3D48234E" w14:textId="77777777" w:rsidR="00BE76E4" w:rsidRPr="00757A33" w:rsidRDefault="00BE76E4" w:rsidP="00BE76E4">
      <w:pPr>
        <w:pStyle w:val="ListParagraph"/>
        <w:ind w:left="180"/>
        <w:rPr>
          <w:rFonts w:ascii="Arial" w:hAnsi="Arial" w:cs="Arial"/>
          <w:sz w:val="24"/>
          <w:szCs w:val="24"/>
        </w:rPr>
      </w:pPr>
      <w:r w:rsidRPr="00757A33">
        <w:rPr>
          <w:rFonts w:ascii="Arial" w:hAnsi="Arial" w:cs="Arial"/>
          <w:sz w:val="24"/>
          <w:szCs w:val="24"/>
        </w:rPr>
        <w:t xml:space="preserve">In accordance with ref (a), personally owned camera enabled PED’s will be authorized inside of the Controlled Industrial Area (CIA) and all Security Islands.  </w:t>
      </w:r>
    </w:p>
    <w:p w14:paraId="137F42E7" w14:textId="77777777" w:rsidR="00BE76E4" w:rsidRPr="00757A33" w:rsidRDefault="00BE76E4" w:rsidP="00BE76E4">
      <w:pPr>
        <w:pStyle w:val="ListParagraph"/>
        <w:ind w:left="180"/>
        <w:rPr>
          <w:rFonts w:ascii="Arial" w:hAnsi="Arial" w:cs="Arial"/>
          <w:sz w:val="24"/>
          <w:szCs w:val="24"/>
        </w:rPr>
      </w:pPr>
    </w:p>
    <w:p w14:paraId="14364A0C" w14:textId="77777777" w:rsidR="00BE76E4" w:rsidRPr="00757A33" w:rsidRDefault="00BE76E4" w:rsidP="00BE76E4">
      <w:pPr>
        <w:pStyle w:val="ListParagraph"/>
        <w:ind w:left="180"/>
        <w:rPr>
          <w:rFonts w:ascii="Arial" w:hAnsi="Arial" w:cs="Arial"/>
          <w:sz w:val="24"/>
          <w:szCs w:val="24"/>
        </w:rPr>
      </w:pPr>
      <w:r w:rsidRPr="00757A33">
        <w:rPr>
          <w:rFonts w:ascii="Arial" w:hAnsi="Arial" w:cs="Arial"/>
          <w:sz w:val="24"/>
          <w:szCs w:val="24"/>
        </w:rPr>
        <w:t>Camera enabled PEDs will remain unauthorized within Controlled Nuclear Information Areas (CNIAs), Nuclear Work Areas (NWAs) and Open Storage Areas.</w:t>
      </w:r>
    </w:p>
    <w:p w14:paraId="01C375B2" w14:textId="77777777" w:rsidR="00BE76E4" w:rsidRPr="00757A33" w:rsidRDefault="00BE76E4" w:rsidP="00BE76E4">
      <w:pPr>
        <w:pStyle w:val="ListParagraph"/>
        <w:ind w:left="180"/>
        <w:rPr>
          <w:rFonts w:ascii="Arial" w:hAnsi="Arial" w:cs="Arial"/>
          <w:sz w:val="24"/>
          <w:szCs w:val="24"/>
        </w:rPr>
      </w:pPr>
    </w:p>
    <w:p w14:paraId="4286DE25" w14:textId="77777777" w:rsidR="00BE76E4" w:rsidRPr="00757A33" w:rsidRDefault="00BE76E4" w:rsidP="00BE76E4">
      <w:pPr>
        <w:pStyle w:val="ListParagraph"/>
        <w:ind w:left="180"/>
        <w:rPr>
          <w:rFonts w:ascii="Arial" w:hAnsi="Arial" w:cs="Arial"/>
          <w:sz w:val="24"/>
          <w:szCs w:val="24"/>
        </w:rPr>
      </w:pPr>
      <w:r w:rsidRPr="00757A33">
        <w:rPr>
          <w:rFonts w:ascii="Arial" w:hAnsi="Arial" w:cs="Arial"/>
          <w:sz w:val="24"/>
          <w:szCs w:val="24"/>
        </w:rPr>
        <w:t>All PEDs, camera enabled or not, are still prohibited within NWAs and Open Storage Areas.</w:t>
      </w:r>
    </w:p>
    <w:p w14:paraId="4B04F8ED" w14:textId="77777777" w:rsidR="00BE76E4" w:rsidRPr="00757A33" w:rsidRDefault="00BE76E4" w:rsidP="00BE76E4">
      <w:pPr>
        <w:pStyle w:val="ListParagraph"/>
        <w:ind w:left="180"/>
        <w:rPr>
          <w:rFonts w:ascii="Arial" w:hAnsi="Arial" w:cs="Arial"/>
          <w:sz w:val="24"/>
          <w:szCs w:val="24"/>
        </w:rPr>
      </w:pPr>
    </w:p>
    <w:p w14:paraId="18CE7185" w14:textId="77777777" w:rsidR="00BE76E4" w:rsidRPr="00757A33" w:rsidRDefault="00BE76E4" w:rsidP="00BE76E4">
      <w:pPr>
        <w:pStyle w:val="ListParagraph"/>
        <w:ind w:left="180"/>
        <w:rPr>
          <w:rFonts w:ascii="Arial" w:hAnsi="Arial" w:cs="Arial"/>
          <w:sz w:val="24"/>
          <w:szCs w:val="24"/>
        </w:rPr>
      </w:pPr>
      <w:r w:rsidRPr="00757A33">
        <w:rPr>
          <w:rFonts w:ascii="Arial" w:hAnsi="Arial" w:cs="Arial"/>
          <w:sz w:val="24"/>
          <w:szCs w:val="24"/>
        </w:rPr>
        <w:t xml:space="preserve">The allowance of camera enabled PEDs inside of the CIA and Security Islands does not negate existing photography policies.  Unofficial photography, filming of video, or live streaming from the camera-enabled PED remains prohibited within the CIA or any NAVSEA controlled space outside of the CIA.  Further, audio recordings (both digitally </w:t>
      </w:r>
      <w:proofErr w:type="gramStart"/>
      <w:r w:rsidRPr="00757A33">
        <w:rPr>
          <w:rFonts w:ascii="Arial" w:hAnsi="Arial" w:cs="Arial"/>
          <w:sz w:val="24"/>
          <w:szCs w:val="24"/>
        </w:rPr>
        <w:t>or</w:t>
      </w:r>
      <w:proofErr w:type="gramEnd"/>
      <w:r w:rsidRPr="00757A33">
        <w:rPr>
          <w:rFonts w:ascii="Arial" w:hAnsi="Arial" w:cs="Arial"/>
          <w:sz w:val="24"/>
          <w:szCs w:val="24"/>
        </w:rPr>
        <w:t xml:space="preserve"> magnetically) in NAVSEA spaces </w:t>
      </w:r>
      <w:proofErr w:type="gramStart"/>
      <w:r w:rsidRPr="00757A33">
        <w:rPr>
          <w:rFonts w:ascii="Arial" w:hAnsi="Arial" w:cs="Arial"/>
          <w:sz w:val="24"/>
          <w:szCs w:val="24"/>
        </w:rPr>
        <w:t>is</w:t>
      </w:r>
      <w:proofErr w:type="gramEnd"/>
      <w:r w:rsidRPr="00757A33">
        <w:rPr>
          <w:rFonts w:ascii="Arial" w:hAnsi="Arial" w:cs="Arial"/>
          <w:sz w:val="24"/>
          <w:szCs w:val="24"/>
        </w:rPr>
        <w:t xml:space="preserve"> prohibited without the approval of </w:t>
      </w:r>
      <w:proofErr w:type="gramStart"/>
      <w:r w:rsidRPr="00757A33">
        <w:rPr>
          <w:rFonts w:ascii="Arial" w:hAnsi="Arial" w:cs="Arial"/>
          <w:sz w:val="24"/>
          <w:szCs w:val="24"/>
        </w:rPr>
        <w:t>the Code</w:t>
      </w:r>
      <w:proofErr w:type="gramEnd"/>
      <w:r w:rsidRPr="00757A33">
        <w:rPr>
          <w:rFonts w:ascii="Arial" w:hAnsi="Arial" w:cs="Arial"/>
          <w:sz w:val="24"/>
          <w:szCs w:val="24"/>
        </w:rPr>
        <w:t xml:space="preserve"> 1120 Security Director.</w:t>
      </w:r>
    </w:p>
    <w:p w14:paraId="42E5B17D" w14:textId="77777777" w:rsidR="00BE76E4" w:rsidRPr="00757A33" w:rsidRDefault="00BE76E4" w:rsidP="00BE76E4">
      <w:pPr>
        <w:pStyle w:val="ListParagraph"/>
        <w:ind w:left="180"/>
        <w:rPr>
          <w:rFonts w:ascii="Arial" w:hAnsi="Arial" w:cs="Arial"/>
          <w:sz w:val="24"/>
          <w:szCs w:val="24"/>
        </w:rPr>
      </w:pPr>
    </w:p>
    <w:p w14:paraId="00D6EEC4" w14:textId="77777777" w:rsidR="00BE76E4" w:rsidRPr="00757A33" w:rsidRDefault="00BE76E4" w:rsidP="00BE76E4">
      <w:pPr>
        <w:pStyle w:val="ListParagraph"/>
        <w:ind w:left="180"/>
        <w:rPr>
          <w:rFonts w:ascii="Arial" w:hAnsi="Arial" w:cs="Arial"/>
          <w:sz w:val="24"/>
          <w:szCs w:val="24"/>
        </w:rPr>
      </w:pPr>
      <w:r w:rsidRPr="00757A33">
        <w:rPr>
          <w:rFonts w:ascii="Arial" w:hAnsi="Arial" w:cs="Arial"/>
          <w:sz w:val="24"/>
          <w:szCs w:val="24"/>
        </w:rPr>
        <w:t>2.3 Submarine Specific PEDs Instructions: In accordance with COMSUBLANT/COMSUBPACINST 2075.1C, the use of PEDs while in or on Department of Navy Submarines, are prohibited.</w:t>
      </w:r>
    </w:p>
    <w:p w14:paraId="50928D53" w14:textId="77777777" w:rsidR="00BE76E4" w:rsidRPr="00757A33" w:rsidRDefault="00BE76E4" w:rsidP="00BE76E4">
      <w:pPr>
        <w:pStyle w:val="ListParagraph"/>
        <w:ind w:left="180"/>
        <w:rPr>
          <w:rFonts w:ascii="Arial" w:hAnsi="Arial" w:cs="Arial"/>
          <w:sz w:val="24"/>
          <w:szCs w:val="24"/>
        </w:rPr>
      </w:pPr>
    </w:p>
    <w:p w14:paraId="214484DE" w14:textId="77777777" w:rsidR="00BE76E4" w:rsidRPr="00757A33" w:rsidRDefault="00BE76E4" w:rsidP="00BE76E4">
      <w:pPr>
        <w:pStyle w:val="ListParagraph"/>
        <w:ind w:left="180"/>
        <w:rPr>
          <w:rFonts w:ascii="Arial" w:hAnsi="Arial" w:cs="Arial"/>
          <w:sz w:val="24"/>
          <w:szCs w:val="24"/>
        </w:rPr>
      </w:pPr>
    </w:p>
    <w:p w14:paraId="5CAA042D" w14:textId="77777777" w:rsidR="00BE76E4" w:rsidRPr="00757A33" w:rsidRDefault="00BE76E4" w:rsidP="00BE76E4">
      <w:pPr>
        <w:pStyle w:val="ListParagraph"/>
        <w:ind w:left="180"/>
        <w:rPr>
          <w:rFonts w:ascii="Arial" w:hAnsi="Arial" w:cs="Arial"/>
          <w:b/>
          <w:sz w:val="24"/>
          <w:szCs w:val="24"/>
          <w:u w:val="single"/>
        </w:rPr>
      </w:pPr>
      <w:r w:rsidRPr="00757A33">
        <w:rPr>
          <w:rFonts w:ascii="Arial" w:hAnsi="Arial" w:cs="Arial"/>
          <w:b/>
          <w:sz w:val="24"/>
          <w:szCs w:val="24"/>
          <w:u w:val="single"/>
        </w:rPr>
        <w:t>SAFETY</w:t>
      </w:r>
    </w:p>
    <w:p w14:paraId="016F0FCA" w14:textId="77777777" w:rsidR="00BE76E4" w:rsidRPr="00757A33" w:rsidRDefault="00BE76E4" w:rsidP="00BE76E4">
      <w:pPr>
        <w:pStyle w:val="ListParagraph"/>
        <w:ind w:left="180"/>
        <w:rPr>
          <w:rFonts w:ascii="Arial" w:hAnsi="Arial" w:cs="Arial"/>
          <w:b/>
          <w:sz w:val="24"/>
          <w:szCs w:val="24"/>
          <w:u w:val="single"/>
        </w:rPr>
      </w:pPr>
    </w:p>
    <w:p w14:paraId="1CBD58E7" w14:textId="77777777" w:rsidR="00BE76E4" w:rsidRPr="00757A33" w:rsidRDefault="00BE76E4" w:rsidP="00BE76E4">
      <w:pPr>
        <w:pStyle w:val="ListParagraph"/>
        <w:ind w:left="180"/>
        <w:rPr>
          <w:rFonts w:ascii="Arial" w:hAnsi="Arial" w:cs="Arial"/>
          <w:sz w:val="24"/>
          <w:szCs w:val="24"/>
        </w:rPr>
      </w:pPr>
      <w:r w:rsidRPr="00757A33">
        <w:rPr>
          <w:rFonts w:ascii="Arial" w:hAnsi="Arial" w:cs="Arial"/>
          <w:sz w:val="24"/>
          <w:szCs w:val="24"/>
        </w:rPr>
        <w:t>"Per FAR 22.102-1(a) entitled "Safety", Contractors are hereby informed that their employees or representatives present on property under Norfolk Naval Shipyard cognizance must follow Federal and State OSHA requirements and Norfolk Naval Shipyard OSHE Program Manual, NAVSHIPYDNORINST P5090.2 requirements or safety requirements for site specific location of the contract.</w:t>
      </w:r>
    </w:p>
    <w:p w14:paraId="27086951" w14:textId="77777777" w:rsidR="00BE76E4" w:rsidRPr="00757A33" w:rsidRDefault="00BE76E4" w:rsidP="00BE76E4">
      <w:pPr>
        <w:pStyle w:val="ListParagraph"/>
        <w:numPr>
          <w:ilvl w:val="0"/>
          <w:numId w:val="2"/>
        </w:numPr>
        <w:rPr>
          <w:rFonts w:ascii="Arial" w:hAnsi="Arial" w:cs="Arial"/>
          <w:sz w:val="24"/>
          <w:szCs w:val="24"/>
        </w:rPr>
      </w:pPr>
      <w:r w:rsidRPr="00757A33">
        <w:rPr>
          <w:rFonts w:ascii="Arial" w:hAnsi="Arial" w:cs="Arial"/>
          <w:sz w:val="24"/>
          <w:szCs w:val="24"/>
        </w:rPr>
        <w:t xml:space="preserve">Contractors and Non-NNSY Government Agencies (NNGAs) are hereby informed that their employees or representatives present on property under Norfolk Naval Shipyard (NNSY) cognizance must adhere to Federal OSHA requirements for hazardous energy control IAW 29 CFR 1915.89 and must follow Hazardous Energy Control (HEC) procedures as identified in NAVSEA’s Occupational Safety, Health, and Environment Corporate Manual (OSHECM) Chapter 250 (latest revision), when performing work under NNSY contract.  All </w:t>
      </w:r>
      <w:r w:rsidRPr="00757A33">
        <w:rPr>
          <w:rFonts w:ascii="Arial" w:hAnsi="Arial" w:cs="Arial"/>
          <w:sz w:val="24"/>
          <w:szCs w:val="24"/>
        </w:rPr>
        <w:lastRenderedPageBreak/>
        <w:t xml:space="preserve">HEC work to be performed by Contractors and NNGAs requires that NNSY Technical Points of Contact (TPOCs) and/or Contracting Officer’s Representatives (CORs) be notified of the HEC scope of work prior to starting work.  Any changes or deviations in the initial scope of HEC work requires the NNSY TPOCs and/or CORs </w:t>
      </w:r>
      <w:proofErr w:type="gramStart"/>
      <w:r w:rsidRPr="00757A33">
        <w:rPr>
          <w:rFonts w:ascii="Arial" w:hAnsi="Arial" w:cs="Arial"/>
          <w:sz w:val="24"/>
          <w:szCs w:val="24"/>
        </w:rPr>
        <w:t>be</w:t>
      </w:r>
      <w:proofErr w:type="gramEnd"/>
      <w:r w:rsidRPr="00757A33">
        <w:rPr>
          <w:rFonts w:ascii="Arial" w:hAnsi="Arial" w:cs="Arial"/>
          <w:sz w:val="24"/>
          <w:szCs w:val="24"/>
        </w:rPr>
        <w:t xml:space="preserve"> informed of the change/deviation.  Appendix 250.B-1 through B-3 of OSHECM Chapter 250 for multiple employer work identifies when Contractors and NNGAs are required to assign their Lockout/Tags-Plus Coordinator (LOTC) to coordinate HEC work with the cognizant NNSY LOTC.  HEC locks shall be provided by the contractor or NNGA for their </w:t>
      </w:r>
      <w:proofErr w:type="gramStart"/>
      <w:r w:rsidRPr="00757A33">
        <w:rPr>
          <w:rFonts w:ascii="Arial" w:hAnsi="Arial" w:cs="Arial"/>
          <w:sz w:val="24"/>
          <w:szCs w:val="24"/>
        </w:rPr>
        <w:t>employees</w:t>
      </w:r>
      <w:proofErr w:type="gramEnd"/>
      <w:r w:rsidRPr="00757A33">
        <w:rPr>
          <w:rFonts w:ascii="Arial" w:hAnsi="Arial" w:cs="Arial"/>
          <w:sz w:val="24"/>
          <w:szCs w:val="24"/>
        </w:rPr>
        <w:t xml:space="preserve"> use.  The HEC locks shall have red bodies with name labels or name tags affixed, identifying who installed the HEC lock(s) and a point of contact telephone number.  HEC lock name </w:t>
      </w:r>
      <w:proofErr w:type="spellStart"/>
      <w:r w:rsidRPr="00757A33">
        <w:rPr>
          <w:rFonts w:ascii="Arial" w:hAnsi="Arial" w:cs="Arial"/>
          <w:sz w:val="24"/>
          <w:szCs w:val="24"/>
        </w:rPr>
        <w:t>lables</w:t>
      </w:r>
      <w:proofErr w:type="spellEnd"/>
      <w:r w:rsidRPr="00757A33">
        <w:rPr>
          <w:rFonts w:ascii="Arial" w:hAnsi="Arial" w:cs="Arial"/>
          <w:sz w:val="24"/>
          <w:szCs w:val="24"/>
        </w:rPr>
        <w:t xml:space="preserve"> and tags must be made of materials that will hold up to the environment to which they are exposed.  HEC tags used for Tags-Plus HEC work shall be provided by the cognizant NNSY LOTC to the contractor or NNGA for their use if machinery, equipment, or systems (MES) cannot be locked out. OSHECM Chapter 250 Tags-Plus procedures will be strictly followed. </w:t>
      </w:r>
    </w:p>
    <w:p w14:paraId="08BD0DC7" w14:textId="77777777" w:rsidR="00BE76E4" w:rsidRPr="00757A33" w:rsidRDefault="00BE76E4" w:rsidP="00BE76E4">
      <w:pPr>
        <w:pStyle w:val="ListParagraph"/>
        <w:numPr>
          <w:ilvl w:val="0"/>
          <w:numId w:val="2"/>
        </w:numPr>
        <w:rPr>
          <w:rFonts w:ascii="Arial" w:hAnsi="Arial" w:cs="Arial"/>
          <w:sz w:val="24"/>
          <w:szCs w:val="24"/>
        </w:rPr>
      </w:pPr>
      <w:r w:rsidRPr="00757A33">
        <w:rPr>
          <w:rFonts w:ascii="Arial" w:hAnsi="Arial" w:cs="Arial"/>
          <w:sz w:val="24"/>
          <w:szCs w:val="24"/>
        </w:rPr>
        <w:t>Contractors and NNGA’s may obtain electronic copies of OSHECM Chapter 250 (latest revision) and access the OSHA 1915.89 web site by using the following link to NNSY’s public access web site: http://www.navsea.navy.mil/shipyards/norfolk/default.aspx</w:t>
      </w:r>
    </w:p>
    <w:p w14:paraId="57C62FBF" w14:textId="77777777" w:rsidR="00BE76E4" w:rsidRPr="00757A33" w:rsidRDefault="00BE76E4" w:rsidP="00BE76E4">
      <w:pPr>
        <w:pStyle w:val="ListParagraph"/>
        <w:numPr>
          <w:ilvl w:val="0"/>
          <w:numId w:val="2"/>
        </w:numPr>
        <w:rPr>
          <w:rFonts w:ascii="Arial" w:hAnsi="Arial" w:cs="Arial"/>
          <w:sz w:val="24"/>
          <w:szCs w:val="24"/>
        </w:rPr>
      </w:pPr>
      <w:r w:rsidRPr="00757A33">
        <w:rPr>
          <w:rFonts w:ascii="Arial" w:hAnsi="Arial" w:cs="Arial"/>
          <w:sz w:val="24"/>
          <w:szCs w:val="24"/>
        </w:rPr>
        <w:t>Names and contact information for NNSY LOTCs and/or the Facility Custodian will be provided by NNSY TPOC and/or CORs set forth elsewhere in this award document.”</w:t>
      </w:r>
    </w:p>
    <w:p w14:paraId="6922872A" w14:textId="77777777" w:rsidR="00BE76E4" w:rsidRPr="00757A33" w:rsidRDefault="00BE76E4" w:rsidP="00BE76E4">
      <w:pPr>
        <w:pStyle w:val="ListParagraph"/>
        <w:ind w:left="1845"/>
        <w:rPr>
          <w:rFonts w:ascii="Arial" w:hAnsi="Arial" w:cs="Arial"/>
          <w:sz w:val="24"/>
          <w:szCs w:val="24"/>
        </w:rPr>
      </w:pPr>
    </w:p>
    <w:p w14:paraId="6CA8576F" w14:textId="77777777" w:rsidR="00BE76E4" w:rsidRPr="00757A33" w:rsidRDefault="00BE76E4" w:rsidP="00BE76E4">
      <w:pPr>
        <w:pStyle w:val="ListParagraph"/>
        <w:ind w:left="180"/>
        <w:rPr>
          <w:rFonts w:ascii="Arial" w:hAnsi="Arial" w:cs="Arial"/>
          <w:b/>
          <w:sz w:val="24"/>
          <w:szCs w:val="24"/>
          <w:u w:val="single"/>
        </w:rPr>
      </w:pPr>
      <w:r w:rsidRPr="00757A33">
        <w:rPr>
          <w:rFonts w:ascii="Arial" w:hAnsi="Arial" w:cs="Arial"/>
          <w:b/>
          <w:sz w:val="24"/>
          <w:szCs w:val="24"/>
          <w:u w:val="single"/>
        </w:rPr>
        <w:t xml:space="preserve">REQUIREMENTS FOR ACCESS TO NAVY INSTALLATIONS </w:t>
      </w:r>
    </w:p>
    <w:p w14:paraId="112F1CDC" w14:textId="77777777" w:rsidR="00BE76E4" w:rsidRPr="00757A33" w:rsidRDefault="00BE76E4" w:rsidP="00BE76E4">
      <w:pPr>
        <w:pStyle w:val="ListParagraph"/>
        <w:ind w:left="180"/>
        <w:rPr>
          <w:rFonts w:ascii="Arial" w:hAnsi="Arial" w:cs="Arial"/>
          <w:b/>
          <w:sz w:val="24"/>
          <w:szCs w:val="24"/>
          <w:u w:val="single"/>
        </w:rPr>
      </w:pPr>
    </w:p>
    <w:p w14:paraId="5772EE2D" w14:textId="77777777" w:rsidR="00BE76E4" w:rsidRPr="00757A33" w:rsidRDefault="00BE76E4" w:rsidP="00BE76E4">
      <w:pPr>
        <w:pStyle w:val="ListParagraph"/>
        <w:ind w:left="180"/>
        <w:rPr>
          <w:rFonts w:ascii="Arial" w:hAnsi="Arial" w:cs="Arial"/>
          <w:sz w:val="24"/>
          <w:szCs w:val="24"/>
        </w:rPr>
      </w:pPr>
      <w:r w:rsidRPr="00757A33">
        <w:rPr>
          <w:rFonts w:ascii="Arial" w:hAnsi="Arial" w:cs="Arial"/>
          <w:sz w:val="24"/>
          <w:szCs w:val="24"/>
        </w:rPr>
        <w:t xml:space="preserve">Commander, Navy Installations Command (CNIC), has established the Defense Biometric Identification System, (DBIDS), a standardized process for granting unescorted access privileges to vendors, contractors, suppliers and service providers not otherwise entitled to the issuance of a Common Access Card (CAC) who seek access to and can provide justification to enter Navy installations and facilities.  Participation in the DBIDS is not mandatory, and if the Contractor chooses to not participate, the Contractor's personnel will have to obtain daily passes, be subject to daily mandatory vehicle inspection, and will have limited access to the installation.  The Government will not be responsible for any cost or lost time associated with obtaining daily passes or added vehicle inspections incurred by non-participants in the DBIDS.  Alternatively, if the vendor so chooses, it may voluntarily elect to obtain long-term credentials through enrollment, registration, background vetting, screening, </w:t>
      </w:r>
      <w:r w:rsidRPr="00757A33">
        <w:rPr>
          <w:rFonts w:ascii="Arial" w:hAnsi="Arial" w:cs="Arial"/>
          <w:sz w:val="24"/>
          <w:szCs w:val="24"/>
        </w:rPr>
        <w:lastRenderedPageBreak/>
        <w:t>issuance of credentials, and electronic validation of credentials.  Further information regarding DBIDS can be found at www.cnic.navy.mil/om/dbids.html</w:t>
      </w:r>
    </w:p>
    <w:p w14:paraId="6F280E69" w14:textId="77777777" w:rsidR="00BE76E4" w:rsidRDefault="00BE76E4" w:rsidP="00BE76E4">
      <w:pPr>
        <w:pStyle w:val="ListParagraph"/>
        <w:ind w:left="180"/>
        <w:rPr>
          <w:rFonts w:ascii="Arial" w:hAnsi="Arial" w:cs="Arial"/>
          <w:sz w:val="24"/>
          <w:szCs w:val="24"/>
        </w:rPr>
      </w:pPr>
      <w:r w:rsidRPr="00757A33">
        <w:rPr>
          <w:rFonts w:ascii="Arial" w:hAnsi="Arial" w:cs="Arial"/>
          <w:sz w:val="24"/>
          <w:szCs w:val="24"/>
        </w:rPr>
        <w:t>NOTE</w:t>
      </w:r>
      <w:proofErr w:type="gramStart"/>
      <w:r w:rsidRPr="00757A33">
        <w:rPr>
          <w:rFonts w:ascii="Arial" w:hAnsi="Arial" w:cs="Arial"/>
          <w:sz w:val="24"/>
          <w:szCs w:val="24"/>
        </w:rPr>
        <w:t xml:space="preserve">:  </w:t>
      </w:r>
      <w:proofErr w:type="spellStart"/>
      <w:r w:rsidRPr="00757A33">
        <w:rPr>
          <w:rFonts w:ascii="Arial" w:hAnsi="Arial" w:cs="Arial"/>
          <w:sz w:val="24"/>
          <w:szCs w:val="24"/>
        </w:rPr>
        <w:t>Bldg</w:t>
      </w:r>
      <w:proofErr w:type="spellEnd"/>
      <w:proofErr w:type="gramEnd"/>
      <w:r w:rsidRPr="00757A33">
        <w:rPr>
          <w:rFonts w:ascii="Arial" w:hAnsi="Arial" w:cs="Arial"/>
          <w:sz w:val="24"/>
          <w:szCs w:val="24"/>
        </w:rPr>
        <w:t xml:space="preserve"> 276 TELEPHONE: 757-396-5815 (or 5095)</w:t>
      </w:r>
    </w:p>
    <w:p w14:paraId="6EBDB8B8" w14:textId="77777777" w:rsidR="00BE76E4" w:rsidRPr="00B24DB3" w:rsidRDefault="00BE76E4" w:rsidP="00BE76E4">
      <w:pPr>
        <w:pStyle w:val="ListParagraph"/>
        <w:ind w:left="180"/>
        <w:rPr>
          <w:rFonts w:ascii="Arial" w:hAnsi="Arial" w:cs="Arial"/>
          <w:sz w:val="24"/>
          <w:szCs w:val="24"/>
        </w:rPr>
      </w:pPr>
    </w:p>
    <w:p w14:paraId="50D64F72" w14:textId="77777777" w:rsidR="00F53928" w:rsidRDefault="00F53928"/>
    <w:sectPr w:rsidR="00F539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F4559"/>
    <w:multiLevelType w:val="hybridMultilevel"/>
    <w:tmpl w:val="95D0D6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6610C7"/>
    <w:multiLevelType w:val="multilevel"/>
    <w:tmpl w:val="27D6A1BA"/>
    <w:lvl w:ilvl="0">
      <w:start w:val="1"/>
      <w:numFmt w:val="decimal"/>
      <w:lvlText w:val="%1"/>
      <w:lvlJc w:val="left"/>
      <w:pPr>
        <w:ind w:left="405" w:hanging="405"/>
      </w:pPr>
      <w:rPr>
        <w:rFonts w:hint="default"/>
        <w:b/>
      </w:rPr>
    </w:lvl>
    <w:lvl w:ilvl="1">
      <w:start w:val="1"/>
      <w:numFmt w:val="decimal"/>
      <w:lvlText w:val="%1.%2"/>
      <w:lvlJc w:val="left"/>
      <w:pPr>
        <w:ind w:left="1125" w:hanging="405"/>
      </w:pPr>
      <w:rPr>
        <w:rFonts w:hint="default"/>
        <w:b/>
      </w:rPr>
    </w:lvl>
    <w:lvl w:ilvl="2">
      <w:start w:val="1"/>
      <w:numFmt w:val="bullet"/>
      <w:lvlText w:val=""/>
      <w:lvlJc w:val="left"/>
      <w:pPr>
        <w:ind w:left="2160" w:hanging="720"/>
      </w:pPr>
      <w:rPr>
        <w:rFonts w:ascii="Symbol" w:hAnsi="Symbol"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num w:numId="1" w16cid:durableId="1328629754">
    <w:abstractNumId w:val="1"/>
  </w:num>
  <w:num w:numId="2" w16cid:durableId="1088580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6E4"/>
    <w:rsid w:val="00054C2E"/>
    <w:rsid w:val="00454D41"/>
    <w:rsid w:val="006178F4"/>
    <w:rsid w:val="00723B38"/>
    <w:rsid w:val="00BE76E4"/>
    <w:rsid w:val="00F53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F6C84"/>
  <w15:chartTrackingRefBased/>
  <w15:docId w15:val="{94093B37-8230-4B30-B991-E29D1F6EF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6E4"/>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BE76E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E76E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E76E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E76E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E76E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E76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6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6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6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6E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E76E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E76E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E76E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E76E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E76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6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6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6E4"/>
    <w:rPr>
      <w:rFonts w:eastAsiaTheme="majorEastAsia" w:cstheme="majorBidi"/>
      <w:color w:val="272727" w:themeColor="text1" w:themeTint="D8"/>
    </w:rPr>
  </w:style>
  <w:style w:type="paragraph" w:styleId="Title">
    <w:name w:val="Title"/>
    <w:basedOn w:val="Normal"/>
    <w:next w:val="Normal"/>
    <w:link w:val="TitleChar"/>
    <w:uiPriority w:val="10"/>
    <w:qFormat/>
    <w:rsid w:val="00BE76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6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6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6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6E4"/>
    <w:pPr>
      <w:spacing w:before="160"/>
      <w:jc w:val="center"/>
    </w:pPr>
    <w:rPr>
      <w:i/>
      <w:iCs/>
      <w:color w:val="404040" w:themeColor="text1" w:themeTint="BF"/>
    </w:rPr>
  </w:style>
  <w:style w:type="character" w:customStyle="1" w:styleId="QuoteChar">
    <w:name w:val="Quote Char"/>
    <w:basedOn w:val="DefaultParagraphFont"/>
    <w:link w:val="Quote"/>
    <w:uiPriority w:val="29"/>
    <w:rsid w:val="00BE76E4"/>
    <w:rPr>
      <w:i/>
      <w:iCs/>
      <w:color w:val="404040" w:themeColor="text1" w:themeTint="BF"/>
    </w:rPr>
  </w:style>
  <w:style w:type="paragraph" w:styleId="ListParagraph">
    <w:name w:val="List Paragraph"/>
    <w:basedOn w:val="Normal"/>
    <w:uiPriority w:val="34"/>
    <w:qFormat/>
    <w:rsid w:val="00BE76E4"/>
    <w:pPr>
      <w:ind w:left="720"/>
      <w:contextualSpacing/>
    </w:pPr>
  </w:style>
  <w:style w:type="character" w:styleId="IntenseEmphasis">
    <w:name w:val="Intense Emphasis"/>
    <w:basedOn w:val="DefaultParagraphFont"/>
    <w:uiPriority w:val="21"/>
    <w:qFormat/>
    <w:rsid w:val="00BE76E4"/>
    <w:rPr>
      <w:i/>
      <w:iCs/>
      <w:color w:val="2E74B5" w:themeColor="accent1" w:themeShade="BF"/>
    </w:rPr>
  </w:style>
  <w:style w:type="paragraph" w:styleId="IntenseQuote">
    <w:name w:val="Intense Quote"/>
    <w:basedOn w:val="Normal"/>
    <w:next w:val="Normal"/>
    <w:link w:val="IntenseQuoteChar"/>
    <w:uiPriority w:val="30"/>
    <w:qFormat/>
    <w:rsid w:val="00BE76E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E76E4"/>
    <w:rPr>
      <w:i/>
      <w:iCs/>
      <w:color w:val="2E74B5" w:themeColor="accent1" w:themeShade="BF"/>
    </w:rPr>
  </w:style>
  <w:style w:type="character" w:styleId="IntenseReference">
    <w:name w:val="Intense Reference"/>
    <w:basedOn w:val="DefaultParagraphFont"/>
    <w:uiPriority w:val="32"/>
    <w:qFormat/>
    <w:rsid w:val="00BE76E4"/>
    <w:rPr>
      <w:b/>
      <w:bCs/>
      <w:smallCaps/>
      <w:color w:val="2E74B5" w:themeColor="accent1" w:themeShade="BF"/>
      <w:spacing w:val="5"/>
    </w:rPr>
  </w:style>
  <w:style w:type="character" w:styleId="Hyperlink">
    <w:name w:val="Hyperlink"/>
    <w:basedOn w:val="DefaultParagraphFont"/>
    <w:uiPriority w:val="99"/>
    <w:unhideWhenUsed/>
    <w:rsid w:val="00BE76E4"/>
    <w:rPr>
      <w:color w:val="0563C1" w:themeColor="hyperlink"/>
      <w:u w:val="single"/>
    </w:rPr>
  </w:style>
  <w:style w:type="table" w:styleId="PlainTable5">
    <w:name w:val="Plain Table 5"/>
    <w:basedOn w:val="TableNormal"/>
    <w:uiPriority w:val="45"/>
    <w:rsid w:val="00BE76E4"/>
    <w:pPr>
      <w:spacing w:after="0" w:line="240" w:lineRule="auto"/>
    </w:pPr>
    <w:rPr>
      <w:kern w:val="0"/>
      <w:sz w:val="22"/>
      <w:szCs w:val="22"/>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rett.winston@hexagon.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6</Pages>
  <Words>1518</Words>
  <Characters>8658</Characters>
  <Application>Microsoft Office Word</Application>
  <DocSecurity>0</DocSecurity>
  <Lines>72</Lines>
  <Paragraphs>20</Paragraphs>
  <ScaleCrop>false</ScaleCrop>
  <Company>HPES NMCI NGEN</Company>
  <LinksUpToDate>false</LinksUpToDate>
  <CharactersWithSpaces>10156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Daliah A CIV (USA)</dc:creator>
  <cp:keywords/>
  <dc:description/>
  <cp:lastModifiedBy>Sapp, Daliah A CIV (USA)</cp:lastModifiedBy>
  <cp:revision>1</cp:revision>
  <dcterms:created xsi:type="dcterms:W3CDTF">2026-04-07T15:39:00Z</dcterms:created>
  <dcterms:modified xsi:type="dcterms:W3CDTF">2026-04-07T15:41:00Z</dcterms:modified>
</cp:coreProperties>
</file>