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EEA4F" w14:textId="77777777" w:rsidR="00AC4B0C" w:rsidRPr="00AC4B0C" w:rsidRDefault="00AC4B0C" w:rsidP="00AC4B0C">
      <w:pPr>
        <w:spacing w:after="0"/>
        <w:rPr>
          <w:rFonts w:ascii="Times New Roman" w:hAnsi="Times New Roman" w:cs="Times New Roman"/>
          <w:sz w:val="24"/>
          <w:szCs w:val="24"/>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17"/>
        <w:gridCol w:w="8501"/>
      </w:tblGrid>
      <w:tr w:rsidR="00AC4B0C" w:rsidRPr="00AC4B0C" w14:paraId="2C7EEA52" w14:textId="77777777" w:rsidTr="003A2EE7">
        <w:tc>
          <w:tcPr>
            <w:tcW w:w="1098" w:type="dxa"/>
            <w:hideMark/>
          </w:tcPr>
          <w:p w14:paraId="2C7EEA50"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SUBJECT*</w:t>
            </w:r>
          </w:p>
        </w:tc>
        <w:tc>
          <w:tcPr>
            <w:tcW w:w="8820" w:type="dxa"/>
            <w:hideMark/>
          </w:tcPr>
          <w:p w14:paraId="2C7EEA51"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Revenue Operations Workflow, Payer Compliance and Technical</w:t>
            </w:r>
            <w:r w:rsidRPr="00AC4B0C">
              <w:rPr>
                <w:rStyle w:val="AAMSKBFill-InHighlight"/>
                <w:rFonts w:ascii="Times New Roman" w:hAnsi="Times New Roman" w:cs="Times New Roman"/>
                <w:color w:val="auto"/>
                <w:sz w:val="24"/>
                <w:szCs w:val="24"/>
              </w:rPr>
              <w:t xml:space="preserve"> </w:t>
            </w:r>
            <w:r w:rsidRPr="00AC4B0C">
              <w:rPr>
                <w:rFonts w:ascii="Times New Roman" w:hAnsi="Times New Roman" w:cs="Times New Roman"/>
                <w:sz w:val="24"/>
                <w:szCs w:val="24"/>
              </w:rPr>
              <w:t>Process Optimization - New Requirement</w:t>
            </w:r>
            <w:r w:rsidRPr="00AC4B0C">
              <w:rPr>
                <w:rStyle w:val="AAMSKBFill-InHighlight"/>
                <w:rFonts w:ascii="Times New Roman" w:hAnsi="Times New Roman" w:cs="Times New Roman"/>
                <w:color w:val="auto"/>
                <w:sz w:val="24"/>
                <w:szCs w:val="24"/>
              </w:rPr>
              <w:t xml:space="preserve">  </w:t>
            </w:r>
          </w:p>
        </w:tc>
      </w:tr>
    </w:tbl>
    <w:p w14:paraId="2C7EEA53" w14:textId="77777777" w:rsidR="00AC4B0C" w:rsidRPr="00AC4B0C" w:rsidRDefault="00AC4B0C" w:rsidP="00AC4B0C">
      <w:pPr>
        <w:spacing w:after="0" w:line="252" w:lineRule="auto"/>
        <w:rPr>
          <w:rFonts w:ascii="Times New Roman" w:eastAsia="Calibri" w:hAnsi="Times New Roman" w:cs="Times New Roman"/>
          <w:sz w:val="24"/>
          <w:szCs w:val="24"/>
        </w:rPr>
      </w:pPr>
    </w:p>
    <w:p w14:paraId="67457833" w14:textId="77777777" w:rsidR="00AC4B0C" w:rsidRPr="00AC4B0C" w:rsidRDefault="00AC4B0C" w:rsidP="00AC4B0C">
      <w:pPr>
        <w:spacing w:after="0" w:line="252" w:lineRule="auto"/>
        <w:rPr>
          <w:rFonts w:ascii="Times New Roman" w:eastAsia="Calibri" w:hAnsi="Times New Roman" w:cs="Times New Roman"/>
          <w:sz w:val="24"/>
          <w:szCs w:val="24"/>
        </w:rPr>
      </w:pPr>
    </w:p>
    <w:p w14:paraId="66FBBC6F" w14:textId="77777777" w:rsidR="00AC4B0C" w:rsidRPr="00AC4B0C" w:rsidRDefault="00AC4B0C" w:rsidP="00AC4B0C">
      <w:pPr>
        <w:spacing w:after="0" w:line="252" w:lineRule="auto"/>
        <w:rPr>
          <w:rFonts w:ascii="Times New Roman" w:eastAsia="Calibri" w:hAnsi="Times New Roman" w:cs="Times New Roman"/>
          <w:sz w:val="24"/>
          <w:szCs w:val="24"/>
        </w:rPr>
      </w:pPr>
    </w:p>
    <w:p w14:paraId="2C7EEA54" w14:textId="77777777" w:rsidR="00AC4B0C" w:rsidRPr="00AC4B0C" w:rsidRDefault="00AC4B0C" w:rsidP="00AC4B0C">
      <w:pPr>
        <w:pBdr>
          <w:top w:val="single" w:sz="4" w:space="1" w:color="auto"/>
          <w:bottom w:val="single" w:sz="4" w:space="1" w:color="auto"/>
        </w:pBdr>
        <w:spacing w:after="0" w:line="252" w:lineRule="auto"/>
        <w:jc w:val="center"/>
        <w:rPr>
          <w:rFonts w:ascii="Times New Roman" w:eastAsia="Calibri" w:hAnsi="Times New Roman" w:cs="Times New Roman"/>
          <w:b/>
          <w:sz w:val="24"/>
          <w:szCs w:val="24"/>
        </w:rPr>
      </w:pPr>
      <w:r w:rsidRPr="00AC4B0C">
        <w:rPr>
          <w:rFonts w:ascii="Times New Roman" w:hAnsi="Times New Roman" w:cs="Times New Roman"/>
          <w:b/>
          <w:sz w:val="24"/>
          <w:szCs w:val="24"/>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AC4B0C" w:rsidRPr="00AC4B0C" w14:paraId="2C7EEA57" w14:textId="77777777" w:rsidTr="003A2EE7">
        <w:tc>
          <w:tcPr>
            <w:tcW w:w="4698" w:type="dxa"/>
            <w:hideMark/>
          </w:tcPr>
          <w:p w14:paraId="2C7EEA55"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CONTRACTING OFFICE’S ZIP CODE*</w:t>
            </w:r>
          </w:p>
        </w:tc>
        <w:tc>
          <w:tcPr>
            <w:tcW w:w="5220" w:type="dxa"/>
            <w:hideMark/>
          </w:tcPr>
          <w:p w14:paraId="2C7EEA56" w14:textId="77777777" w:rsidR="00AC4B0C" w:rsidRPr="00AC4B0C" w:rsidRDefault="00AC4B0C" w:rsidP="00AC4B0C">
            <w:pPr>
              <w:spacing w:after="0"/>
              <w:rPr>
                <w:rStyle w:val="AAMSKBFill-InHighlight"/>
                <w:rFonts w:ascii="Times New Roman" w:hAnsi="Times New Roman" w:cs="Times New Roman"/>
                <w:color w:val="auto"/>
                <w:sz w:val="24"/>
                <w:szCs w:val="24"/>
              </w:rPr>
            </w:pPr>
            <w:r w:rsidRPr="00AC4B0C">
              <w:rPr>
                <w:rStyle w:val="AAMSKBFill-InHighlight"/>
                <w:rFonts w:ascii="Times New Roman" w:hAnsi="Times New Roman" w:cs="Times New Roman"/>
                <w:color w:val="auto"/>
                <w:sz w:val="24"/>
                <w:szCs w:val="24"/>
              </w:rPr>
              <w:t>07724</w:t>
            </w:r>
          </w:p>
        </w:tc>
      </w:tr>
      <w:tr w:rsidR="00AC4B0C" w:rsidRPr="00AC4B0C" w14:paraId="2C7EEA5A" w14:textId="77777777" w:rsidTr="003A2EE7">
        <w:tc>
          <w:tcPr>
            <w:tcW w:w="4698" w:type="dxa"/>
            <w:hideMark/>
          </w:tcPr>
          <w:p w14:paraId="2C7EEA58"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SOLICITATION NUMBER*</w:t>
            </w:r>
          </w:p>
        </w:tc>
        <w:tc>
          <w:tcPr>
            <w:tcW w:w="5220" w:type="dxa"/>
            <w:hideMark/>
          </w:tcPr>
          <w:p w14:paraId="2C7EEA59" w14:textId="77777777" w:rsidR="00AC4B0C" w:rsidRPr="00AC4B0C" w:rsidRDefault="00AC4B0C" w:rsidP="00AC4B0C">
            <w:pPr>
              <w:spacing w:after="0"/>
              <w:rPr>
                <w:rStyle w:val="AAMSKBFill-InHighlight"/>
                <w:rFonts w:ascii="Times New Roman" w:hAnsi="Times New Roman" w:cs="Times New Roman"/>
                <w:color w:val="auto"/>
                <w:sz w:val="24"/>
                <w:szCs w:val="24"/>
              </w:rPr>
            </w:pPr>
            <w:r w:rsidRPr="00AC4B0C">
              <w:rPr>
                <w:rStyle w:val="AAMSKBFill-InHighlight"/>
                <w:rFonts w:ascii="Times New Roman" w:hAnsi="Times New Roman" w:cs="Times New Roman"/>
                <w:color w:val="auto"/>
                <w:sz w:val="24"/>
                <w:szCs w:val="24"/>
              </w:rPr>
              <w:t>36C10B26Q0210</w:t>
            </w:r>
          </w:p>
        </w:tc>
      </w:tr>
      <w:tr w:rsidR="00AC4B0C" w:rsidRPr="00AC4B0C" w14:paraId="2C7EEA5D" w14:textId="77777777" w:rsidTr="003A2EE7">
        <w:tc>
          <w:tcPr>
            <w:tcW w:w="4698" w:type="dxa"/>
          </w:tcPr>
          <w:p w14:paraId="2C7EEA5B"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BASE NOTICE TYPE</w:t>
            </w:r>
          </w:p>
        </w:tc>
        <w:tc>
          <w:tcPr>
            <w:tcW w:w="5220" w:type="dxa"/>
          </w:tcPr>
          <w:p w14:paraId="2C7EEA5C" w14:textId="77777777" w:rsidR="00AC4B0C" w:rsidRPr="00AC4B0C" w:rsidRDefault="00AC4B0C" w:rsidP="00AC4B0C">
            <w:pPr>
              <w:spacing w:after="0"/>
              <w:rPr>
                <w:rStyle w:val="AAMSKBFill-InHighlight"/>
                <w:rFonts w:ascii="Times New Roman" w:hAnsi="Times New Roman" w:cs="Times New Roman"/>
                <w:color w:val="auto"/>
                <w:sz w:val="24"/>
                <w:szCs w:val="24"/>
              </w:rPr>
            </w:pPr>
          </w:p>
        </w:tc>
      </w:tr>
      <w:tr w:rsidR="00AC4B0C" w:rsidRPr="00AC4B0C" w14:paraId="2C7EEA60" w14:textId="77777777" w:rsidTr="003A2EE7">
        <w:tc>
          <w:tcPr>
            <w:tcW w:w="4698" w:type="dxa"/>
            <w:hideMark/>
          </w:tcPr>
          <w:p w14:paraId="2C7EEA5E"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RESPONSE DATE/TIME/ZONE</w:t>
            </w:r>
          </w:p>
        </w:tc>
        <w:tc>
          <w:tcPr>
            <w:tcW w:w="5220" w:type="dxa"/>
            <w:hideMark/>
          </w:tcPr>
          <w:p w14:paraId="2C7EEA5F" w14:textId="77777777" w:rsidR="00AC4B0C" w:rsidRPr="00AC4B0C" w:rsidRDefault="00AC4B0C" w:rsidP="00AC4B0C">
            <w:pPr>
              <w:spacing w:after="0"/>
              <w:rPr>
                <w:rStyle w:val="AAMSKBFill-InHighlight"/>
                <w:rFonts w:ascii="Times New Roman" w:hAnsi="Times New Roman" w:cs="Times New Roman"/>
                <w:color w:val="auto"/>
                <w:sz w:val="24"/>
                <w:szCs w:val="24"/>
              </w:rPr>
            </w:pPr>
            <w:r w:rsidRPr="00AC4B0C">
              <w:rPr>
                <w:rStyle w:val="AAMSKBFill-InHighlight"/>
                <w:rFonts w:ascii="Times New Roman" w:hAnsi="Times New Roman" w:cs="Times New Roman"/>
                <w:color w:val="auto"/>
                <w:sz w:val="24"/>
                <w:szCs w:val="24"/>
              </w:rPr>
              <w:t>04-07-2026</w:t>
            </w:r>
            <w:r w:rsidRPr="00AC4B0C">
              <w:rPr>
                <w:rStyle w:val="AAMSKBFill-InHighlight"/>
                <w:rFonts w:ascii="Times New Roman" w:hAnsi="Times New Roman" w:cs="Times New Roman"/>
                <w:color w:val="auto"/>
                <w:sz w:val="24"/>
                <w:szCs w:val="24"/>
              </w:rPr>
              <w:t xml:space="preserve"> </w:t>
            </w:r>
            <w:r w:rsidRPr="00AC4B0C">
              <w:rPr>
                <w:rStyle w:val="AAMSKBFill-InHighlight"/>
                <w:rFonts w:ascii="Times New Roman" w:hAnsi="Times New Roman" w:cs="Times New Roman"/>
                <w:color w:val="auto"/>
                <w:sz w:val="24"/>
                <w:szCs w:val="24"/>
              </w:rPr>
              <w:t>16:00</w:t>
            </w:r>
            <w:r w:rsidRPr="00AC4B0C">
              <w:rPr>
                <w:rStyle w:val="AAMSKBFill-InHighlight"/>
                <w:rFonts w:ascii="Times New Roman" w:hAnsi="Times New Roman" w:cs="Times New Roman"/>
                <w:color w:val="auto"/>
                <w:sz w:val="24"/>
                <w:szCs w:val="24"/>
              </w:rPr>
              <w:t xml:space="preserve"> </w:t>
            </w:r>
            <w:r w:rsidRPr="00AC4B0C">
              <w:rPr>
                <w:rStyle w:val="AAMSKBFill-InHighlight"/>
                <w:rFonts w:ascii="Times New Roman" w:hAnsi="Times New Roman" w:cs="Times New Roman"/>
                <w:color w:val="auto"/>
                <w:sz w:val="24"/>
                <w:szCs w:val="24"/>
              </w:rPr>
              <w:t>EASTERN TIME, NEW YORK, USA</w:t>
            </w:r>
          </w:p>
        </w:tc>
      </w:tr>
      <w:tr w:rsidR="00AC4B0C" w:rsidRPr="00AC4B0C" w14:paraId="2C7EEA63" w14:textId="77777777" w:rsidTr="003A2EE7">
        <w:tc>
          <w:tcPr>
            <w:tcW w:w="4698" w:type="dxa"/>
          </w:tcPr>
          <w:p w14:paraId="2C7EEA61"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ARCHIVE</w:t>
            </w:r>
          </w:p>
        </w:tc>
        <w:tc>
          <w:tcPr>
            <w:tcW w:w="5220" w:type="dxa"/>
            <w:hideMark/>
          </w:tcPr>
          <w:p w14:paraId="2C7EEA62"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60</w:t>
            </w:r>
            <w:r w:rsidRPr="00AC4B0C">
              <w:rPr>
                <w:rFonts w:ascii="Times New Roman" w:hAnsi="Times New Roman" w:cs="Times New Roman"/>
                <w:sz w:val="24"/>
                <w:szCs w:val="24"/>
                <w:bdr w:val="none" w:sz="0" w:space="0" w:color="auto" w:frame="1"/>
              </w:rPr>
              <w:t xml:space="preserve"> </w:t>
            </w:r>
            <w:r w:rsidRPr="00AC4B0C">
              <w:rPr>
                <w:rFonts w:ascii="Times New Roman" w:hAnsi="Times New Roman" w:cs="Times New Roman"/>
                <w:sz w:val="24"/>
                <w:szCs w:val="24"/>
                <w:bdr w:val="none" w:sz="0" w:space="0" w:color="auto" w:frame="1"/>
              </w:rPr>
              <w:t>DAYS AFTER THE RESPONSE DATE</w:t>
            </w:r>
          </w:p>
        </w:tc>
      </w:tr>
      <w:tr w:rsidR="00AC4B0C" w:rsidRPr="00AC4B0C" w14:paraId="2C7EEA66" w14:textId="77777777" w:rsidTr="003A2EE7">
        <w:tc>
          <w:tcPr>
            <w:tcW w:w="4698" w:type="dxa"/>
          </w:tcPr>
          <w:p w14:paraId="2C7EEA64"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RECOVERY ACT FUNDS</w:t>
            </w:r>
          </w:p>
        </w:tc>
        <w:tc>
          <w:tcPr>
            <w:tcW w:w="5220" w:type="dxa"/>
            <w:hideMark/>
          </w:tcPr>
          <w:p w14:paraId="2C7EEA65"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N</w:t>
            </w:r>
          </w:p>
        </w:tc>
      </w:tr>
      <w:tr w:rsidR="00AC4B0C" w:rsidRPr="00AC4B0C" w14:paraId="2C7EEA69" w14:textId="77777777" w:rsidTr="003A2EE7">
        <w:tc>
          <w:tcPr>
            <w:tcW w:w="4698" w:type="dxa"/>
          </w:tcPr>
          <w:p w14:paraId="2C7EEA67"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SET-ASIDE</w:t>
            </w:r>
          </w:p>
        </w:tc>
        <w:tc>
          <w:tcPr>
            <w:tcW w:w="5220" w:type="dxa"/>
            <w:hideMark/>
          </w:tcPr>
          <w:p w14:paraId="2C7EEA68" w14:textId="77777777" w:rsidR="00AC4B0C" w:rsidRPr="00AC4B0C" w:rsidRDefault="00AC4B0C" w:rsidP="00AC4B0C">
            <w:pPr>
              <w:spacing w:after="0"/>
              <w:rPr>
                <w:rFonts w:ascii="Times New Roman" w:hAnsi="Times New Roman" w:cs="Times New Roman"/>
                <w:sz w:val="24"/>
                <w:szCs w:val="24"/>
              </w:rPr>
            </w:pPr>
          </w:p>
        </w:tc>
      </w:tr>
      <w:tr w:rsidR="00AC4B0C" w:rsidRPr="00AC4B0C" w14:paraId="2C7EEA6C" w14:textId="77777777" w:rsidTr="003A2EE7">
        <w:tc>
          <w:tcPr>
            <w:tcW w:w="4698" w:type="dxa"/>
          </w:tcPr>
          <w:p w14:paraId="2C7EEA6A"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PRODUCT SERVICE CODE*</w:t>
            </w:r>
          </w:p>
        </w:tc>
        <w:tc>
          <w:tcPr>
            <w:tcW w:w="5220" w:type="dxa"/>
          </w:tcPr>
          <w:p w14:paraId="2C7EEA6B" w14:textId="77777777" w:rsidR="00AC4B0C" w:rsidRPr="00AC4B0C" w:rsidRDefault="00AC4B0C" w:rsidP="00AC4B0C">
            <w:pPr>
              <w:spacing w:after="0"/>
              <w:rPr>
                <w:rStyle w:val="AAMSKBFill-InHighlight"/>
                <w:rFonts w:ascii="Times New Roman" w:hAnsi="Times New Roman" w:cs="Times New Roman"/>
                <w:color w:val="auto"/>
                <w:sz w:val="24"/>
                <w:szCs w:val="24"/>
              </w:rPr>
            </w:pPr>
            <w:r w:rsidRPr="00AC4B0C">
              <w:rPr>
                <w:rStyle w:val="AAMSKBFill-InHighlight"/>
                <w:rFonts w:ascii="Times New Roman" w:hAnsi="Times New Roman" w:cs="Times New Roman"/>
                <w:color w:val="auto"/>
                <w:sz w:val="24"/>
                <w:szCs w:val="24"/>
              </w:rPr>
              <w:t>DA01</w:t>
            </w:r>
          </w:p>
        </w:tc>
      </w:tr>
      <w:tr w:rsidR="00AC4B0C" w:rsidRPr="00AC4B0C" w14:paraId="2C7EEA6F" w14:textId="77777777" w:rsidTr="003A2EE7">
        <w:tc>
          <w:tcPr>
            <w:tcW w:w="4698" w:type="dxa"/>
          </w:tcPr>
          <w:p w14:paraId="2C7EEA6D"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NAICS CODE*</w:t>
            </w:r>
          </w:p>
        </w:tc>
        <w:tc>
          <w:tcPr>
            <w:tcW w:w="5220" w:type="dxa"/>
            <w:hideMark/>
          </w:tcPr>
          <w:p w14:paraId="2C7EEA6E"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541512</w:t>
            </w:r>
          </w:p>
        </w:tc>
      </w:tr>
      <w:tr w:rsidR="00AC4B0C" w:rsidRPr="00AC4B0C" w14:paraId="2C7EEA77" w14:textId="77777777" w:rsidTr="003A2EE7">
        <w:tc>
          <w:tcPr>
            <w:tcW w:w="4698" w:type="dxa"/>
            <w:hideMark/>
          </w:tcPr>
          <w:p w14:paraId="2C7EEA70"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CONTRACTING OFFICE ADDRESS</w:t>
            </w:r>
          </w:p>
        </w:tc>
        <w:tc>
          <w:tcPr>
            <w:tcW w:w="5220" w:type="dxa"/>
          </w:tcPr>
          <w:p w14:paraId="2C7EEA71" w14:textId="77777777" w:rsidR="00AC4B0C" w:rsidRPr="00AC4B0C" w:rsidRDefault="00AC4B0C" w:rsidP="00AC4B0C">
            <w:pPr>
              <w:spacing w:after="0"/>
              <w:rPr>
                <w:rFonts w:ascii="Times New Roman" w:eastAsiaTheme="minorHAnsi" w:hAnsi="Times New Roman" w:cs="Times New Roman"/>
                <w:sz w:val="24"/>
                <w:szCs w:val="24"/>
                <w:bdr w:val="none" w:sz="0" w:space="0" w:color="auto" w:frame="1"/>
              </w:rPr>
            </w:pPr>
            <w:r w:rsidRPr="00AC4B0C">
              <w:rPr>
                <w:rFonts w:ascii="Times New Roman" w:eastAsiaTheme="minorHAnsi" w:hAnsi="Times New Roman" w:cs="Times New Roman"/>
                <w:sz w:val="24"/>
                <w:szCs w:val="24"/>
                <w:bdr w:val="none" w:sz="0" w:space="0" w:color="auto" w:frame="1"/>
              </w:rPr>
              <w:t>Department of Veterans Affairs</w:t>
            </w:r>
            <w:r w:rsidRPr="00AC4B0C">
              <w:rPr>
                <w:rStyle w:val="AAMSKBFill-InHighlight"/>
                <w:rFonts w:ascii="Times New Roman" w:hAnsi="Times New Roman" w:cs="Times New Roman"/>
                <w:color w:val="auto"/>
                <w:sz w:val="24"/>
                <w:szCs w:val="24"/>
              </w:rPr>
              <w:t xml:space="preserve"> </w:t>
            </w:r>
          </w:p>
          <w:p w14:paraId="2C7EEA72" w14:textId="77777777" w:rsidR="00AC4B0C" w:rsidRPr="00AC4B0C" w:rsidRDefault="00AC4B0C" w:rsidP="00AC4B0C">
            <w:pPr>
              <w:spacing w:after="0"/>
              <w:rPr>
                <w:rFonts w:ascii="Times New Roman" w:eastAsiaTheme="minorHAnsi" w:hAnsi="Times New Roman" w:cs="Times New Roman"/>
                <w:sz w:val="24"/>
                <w:szCs w:val="24"/>
                <w:bdr w:val="none" w:sz="0" w:space="0" w:color="auto" w:frame="1"/>
              </w:rPr>
            </w:pPr>
            <w:r w:rsidRPr="00AC4B0C">
              <w:rPr>
                <w:rFonts w:ascii="Times New Roman" w:eastAsiaTheme="minorHAnsi" w:hAnsi="Times New Roman" w:cs="Times New Roman"/>
                <w:sz w:val="24"/>
                <w:szCs w:val="24"/>
                <w:bdr w:val="none" w:sz="0" w:space="0" w:color="auto" w:frame="1"/>
              </w:rPr>
              <w:t>Technology Acquisition Center</w:t>
            </w:r>
            <w:r w:rsidRPr="00AC4B0C">
              <w:rPr>
                <w:rStyle w:val="AAMSKBFill-InHighlight"/>
                <w:rFonts w:ascii="Times New Roman" w:hAnsi="Times New Roman" w:cs="Times New Roman"/>
                <w:color w:val="auto"/>
                <w:sz w:val="24"/>
                <w:szCs w:val="24"/>
              </w:rPr>
              <w:t xml:space="preserve"> </w:t>
            </w:r>
          </w:p>
          <w:p w14:paraId="2C7EEA73" w14:textId="77777777" w:rsidR="00AC4B0C" w:rsidRPr="00AC4B0C" w:rsidRDefault="00AC4B0C" w:rsidP="00AC4B0C">
            <w:pPr>
              <w:spacing w:after="0"/>
              <w:rPr>
                <w:rFonts w:ascii="Times New Roman" w:eastAsiaTheme="minorHAnsi" w:hAnsi="Times New Roman" w:cs="Times New Roman"/>
                <w:sz w:val="24"/>
                <w:szCs w:val="24"/>
                <w:bdr w:val="none" w:sz="0" w:space="0" w:color="auto" w:frame="1"/>
              </w:rPr>
            </w:pPr>
            <w:r w:rsidRPr="00AC4B0C">
              <w:rPr>
                <w:rStyle w:val="AAMSKBFill-InHighlight"/>
                <w:rFonts w:ascii="Times New Roman" w:hAnsi="Times New Roman" w:cs="Times New Roman"/>
                <w:color w:val="auto"/>
                <w:sz w:val="24"/>
                <w:szCs w:val="24"/>
              </w:rPr>
              <w:t xml:space="preserve"> </w:t>
            </w:r>
          </w:p>
          <w:p w14:paraId="2C7EEA74" w14:textId="77777777" w:rsidR="00AC4B0C" w:rsidRPr="00AC4B0C" w:rsidRDefault="00AC4B0C" w:rsidP="00AC4B0C">
            <w:pPr>
              <w:spacing w:after="0"/>
              <w:rPr>
                <w:rFonts w:ascii="Times New Roman" w:eastAsiaTheme="minorHAnsi" w:hAnsi="Times New Roman" w:cs="Times New Roman"/>
                <w:sz w:val="24"/>
                <w:szCs w:val="24"/>
                <w:bdr w:val="none" w:sz="0" w:space="0" w:color="auto" w:frame="1"/>
              </w:rPr>
            </w:pPr>
            <w:r w:rsidRPr="00AC4B0C">
              <w:rPr>
                <w:rFonts w:ascii="Times New Roman" w:eastAsiaTheme="minorHAnsi" w:hAnsi="Times New Roman" w:cs="Times New Roman"/>
                <w:sz w:val="24"/>
                <w:szCs w:val="24"/>
                <w:bdr w:val="none" w:sz="0" w:space="0" w:color="auto" w:frame="1"/>
              </w:rPr>
              <w:t>23 Christopher Way</w:t>
            </w:r>
          </w:p>
          <w:p w14:paraId="2C7EEA75" w14:textId="77777777" w:rsidR="00AC4B0C" w:rsidRPr="00AC4B0C" w:rsidRDefault="00AC4B0C" w:rsidP="00AC4B0C">
            <w:pPr>
              <w:spacing w:after="0"/>
              <w:rPr>
                <w:rFonts w:ascii="Times New Roman" w:eastAsiaTheme="minorHAnsi" w:hAnsi="Times New Roman" w:cs="Times New Roman"/>
                <w:sz w:val="24"/>
                <w:szCs w:val="24"/>
                <w:bdr w:val="none" w:sz="0" w:space="0" w:color="auto" w:frame="1"/>
              </w:rPr>
            </w:pPr>
            <w:r w:rsidRPr="00AC4B0C">
              <w:rPr>
                <w:rFonts w:ascii="Times New Roman" w:eastAsiaTheme="minorHAnsi" w:hAnsi="Times New Roman" w:cs="Times New Roman"/>
                <w:sz w:val="24"/>
                <w:szCs w:val="24"/>
                <w:bdr w:val="none" w:sz="0" w:space="0" w:color="auto" w:frame="1"/>
              </w:rPr>
              <w:t>Eatontown NJ  07724</w:t>
            </w:r>
            <w:r w:rsidRPr="00AC4B0C">
              <w:rPr>
                <w:rStyle w:val="AAMSKBFill-InHighlight"/>
                <w:rFonts w:ascii="Times New Roman" w:hAnsi="Times New Roman" w:cs="Times New Roman"/>
                <w:color w:val="auto"/>
                <w:sz w:val="24"/>
                <w:szCs w:val="24"/>
              </w:rPr>
              <w:t xml:space="preserve"> </w:t>
            </w:r>
          </w:p>
          <w:p w14:paraId="2C7EEA76" w14:textId="77777777" w:rsidR="00AC4B0C" w:rsidRPr="00AC4B0C" w:rsidRDefault="00AC4B0C" w:rsidP="00AC4B0C">
            <w:pPr>
              <w:spacing w:after="0"/>
              <w:rPr>
                <w:rFonts w:ascii="Times New Roman" w:hAnsi="Times New Roman" w:cs="Times New Roman"/>
                <w:sz w:val="24"/>
                <w:szCs w:val="24"/>
              </w:rPr>
            </w:pPr>
          </w:p>
        </w:tc>
      </w:tr>
      <w:tr w:rsidR="00EF5228" w:rsidRPr="00AC4B0C" w14:paraId="2C7EEA80" w14:textId="77777777" w:rsidTr="003A2EE7">
        <w:tc>
          <w:tcPr>
            <w:tcW w:w="4698" w:type="dxa"/>
          </w:tcPr>
          <w:p w14:paraId="2C7EEA79" w14:textId="3D6B61C3"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POINT OF CONTACT*</w:t>
            </w:r>
          </w:p>
        </w:tc>
        <w:tc>
          <w:tcPr>
            <w:tcW w:w="5220" w:type="dxa"/>
            <w:hideMark/>
          </w:tcPr>
          <w:p w14:paraId="2C7EEA7A" w14:textId="77777777" w:rsidR="00AC4B0C" w:rsidRPr="00AC4B0C" w:rsidRDefault="00AC4B0C" w:rsidP="00AC4B0C">
            <w:pPr>
              <w:spacing w:after="0"/>
              <w:rPr>
                <w:rFonts w:ascii="Times New Roman" w:eastAsiaTheme="minorHAnsi" w:hAnsi="Times New Roman" w:cs="Times New Roman"/>
                <w:sz w:val="24"/>
                <w:szCs w:val="24"/>
                <w:bdr w:val="none" w:sz="0" w:space="0" w:color="auto" w:frame="1"/>
              </w:rPr>
            </w:pPr>
            <w:r w:rsidRPr="00AC4B0C">
              <w:rPr>
                <w:rStyle w:val="AAMSKBFill-InHighlight"/>
                <w:rFonts w:ascii="Times New Roman" w:hAnsi="Times New Roman" w:cs="Times New Roman"/>
                <w:color w:val="auto"/>
                <w:sz w:val="24"/>
                <w:szCs w:val="24"/>
              </w:rPr>
              <w:t xml:space="preserve"> </w:t>
            </w:r>
          </w:p>
          <w:p w14:paraId="2C7EEA7B" w14:textId="77777777" w:rsidR="00AC4B0C" w:rsidRPr="00AC4B0C" w:rsidRDefault="00AC4B0C" w:rsidP="00AC4B0C">
            <w:pPr>
              <w:spacing w:after="0"/>
              <w:rPr>
                <w:rFonts w:ascii="Times New Roman" w:eastAsiaTheme="minorHAnsi" w:hAnsi="Times New Roman" w:cs="Times New Roman"/>
                <w:sz w:val="24"/>
                <w:szCs w:val="24"/>
                <w:bdr w:val="none" w:sz="0" w:space="0" w:color="auto" w:frame="1"/>
              </w:rPr>
            </w:pPr>
          </w:p>
          <w:p w14:paraId="2C7EEA7C" w14:textId="77777777" w:rsidR="00AC4B0C" w:rsidRPr="00AC4B0C" w:rsidRDefault="00AC4B0C" w:rsidP="00AC4B0C">
            <w:pPr>
              <w:spacing w:after="0"/>
              <w:rPr>
                <w:rFonts w:ascii="Times New Roman" w:eastAsiaTheme="minorHAnsi" w:hAnsi="Times New Roman" w:cs="Times New Roman"/>
                <w:sz w:val="24"/>
                <w:szCs w:val="24"/>
                <w:bdr w:val="none" w:sz="0" w:space="0" w:color="auto" w:frame="1"/>
              </w:rPr>
            </w:pPr>
          </w:p>
          <w:p w14:paraId="2C7EEA7D" w14:textId="77777777" w:rsidR="00AC4B0C" w:rsidRPr="00AC4B0C" w:rsidRDefault="00AC4B0C" w:rsidP="00AC4B0C">
            <w:pPr>
              <w:spacing w:after="0"/>
              <w:rPr>
                <w:rFonts w:ascii="Times New Roman" w:eastAsiaTheme="minorHAnsi" w:hAnsi="Times New Roman" w:cs="Times New Roman"/>
                <w:sz w:val="24"/>
                <w:szCs w:val="24"/>
                <w:bdr w:val="none" w:sz="0" w:space="0" w:color="auto" w:frame="1"/>
              </w:rPr>
            </w:pPr>
          </w:p>
          <w:p w14:paraId="2C7EEA7E" w14:textId="77777777" w:rsidR="00AC4B0C" w:rsidRPr="00AC4B0C" w:rsidRDefault="00AC4B0C" w:rsidP="00AC4B0C">
            <w:pPr>
              <w:spacing w:after="0"/>
              <w:rPr>
                <w:rFonts w:ascii="Times New Roman" w:eastAsiaTheme="minorHAnsi" w:hAnsi="Times New Roman" w:cs="Times New Roman"/>
                <w:sz w:val="24"/>
                <w:szCs w:val="24"/>
                <w:bdr w:val="none" w:sz="0" w:space="0" w:color="auto" w:frame="1"/>
              </w:rPr>
            </w:pPr>
          </w:p>
          <w:p w14:paraId="2C7EEA7F" w14:textId="77777777" w:rsidR="00AC4B0C" w:rsidRPr="00AC4B0C" w:rsidRDefault="00AC4B0C" w:rsidP="00AC4B0C">
            <w:pPr>
              <w:spacing w:after="0"/>
              <w:rPr>
                <w:rFonts w:ascii="Times New Roman" w:hAnsi="Times New Roman" w:cs="Times New Roman"/>
                <w:sz w:val="24"/>
                <w:szCs w:val="24"/>
              </w:rPr>
            </w:pPr>
          </w:p>
        </w:tc>
      </w:tr>
    </w:tbl>
    <w:p w14:paraId="2C7EEA81" w14:textId="77777777" w:rsidR="00AC4B0C" w:rsidRPr="00AC4B0C" w:rsidRDefault="00AC4B0C" w:rsidP="00AC4B0C">
      <w:pPr>
        <w:spacing w:after="0"/>
        <w:rPr>
          <w:rFonts w:ascii="Times New Roman" w:hAnsi="Times New Roman" w:cs="Times New Roman"/>
          <w:sz w:val="24"/>
          <w:szCs w:val="24"/>
        </w:rPr>
      </w:pPr>
    </w:p>
    <w:p w14:paraId="2C7EEA82" w14:textId="77777777" w:rsidR="00AC4B0C" w:rsidRPr="00AC4B0C" w:rsidRDefault="00AC4B0C" w:rsidP="00AC4B0C">
      <w:pPr>
        <w:pBdr>
          <w:top w:val="single" w:sz="4" w:space="1" w:color="auto"/>
          <w:bottom w:val="single" w:sz="4" w:space="1" w:color="auto"/>
        </w:pBdr>
        <w:spacing w:after="0" w:line="252" w:lineRule="auto"/>
        <w:jc w:val="center"/>
        <w:rPr>
          <w:rFonts w:ascii="Times New Roman" w:eastAsia="Calibri" w:hAnsi="Times New Roman" w:cs="Times New Roman"/>
          <w:b/>
          <w:sz w:val="24"/>
          <w:szCs w:val="24"/>
        </w:rPr>
      </w:pPr>
      <w:r w:rsidRPr="00AC4B0C">
        <w:rPr>
          <w:rFonts w:ascii="Times New Roman" w:hAnsi="Times New Roman" w:cs="Times New Roman"/>
          <w:b/>
          <w:sz w:val="24"/>
          <w:szCs w:val="24"/>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C4B0C" w:rsidRPr="00AC4B0C" w14:paraId="2C7EEA85" w14:textId="77777777" w:rsidTr="00455DA2">
        <w:tc>
          <w:tcPr>
            <w:tcW w:w="4675" w:type="dxa"/>
          </w:tcPr>
          <w:p w14:paraId="2C7EEA83"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ADDRESS</w:t>
            </w:r>
          </w:p>
        </w:tc>
        <w:tc>
          <w:tcPr>
            <w:tcW w:w="5243" w:type="dxa"/>
          </w:tcPr>
          <w:p w14:paraId="2C7EEA84" w14:textId="77777777" w:rsidR="00AC4B0C" w:rsidRPr="00AC4B0C" w:rsidRDefault="00AC4B0C" w:rsidP="00AC4B0C">
            <w:pPr>
              <w:spacing w:after="0"/>
              <w:rPr>
                <w:rStyle w:val="AAMSKBFill-InHighlight"/>
                <w:rFonts w:ascii="Times New Roman" w:hAnsi="Times New Roman" w:cs="Times New Roman"/>
                <w:color w:val="auto"/>
                <w:sz w:val="24"/>
                <w:szCs w:val="24"/>
              </w:rPr>
            </w:pPr>
          </w:p>
        </w:tc>
      </w:tr>
      <w:tr w:rsidR="00AC4B0C" w:rsidRPr="00AC4B0C" w14:paraId="2C7EEA88" w14:textId="77777777" w:rsidTr="00455DA2">
        <w:tc>
          <w:tcPr>
            <w:tcW w:w="4675" w:type="dxa"/>
          </w:tcPr>
          <w:p w14:paraId="2C7EEA86" w14:textId="77777777" w:rsidR="00AC4B0C" w:rsidRPr="00AC4B0C" w:rsidRDefault="00AC4B0C" w:rsidP="00AC4B0C">
            <w:pPr>
              <w:spacing w:after="0"/>
              <w:rPr>
                <w:rFonts w:ascii="Times New Roman" w:hAnsi="Times New Roman" w:cs="Times New Roman"/>
                <w:b/>
                <w:sz w:val="24"/>
                <w:szCs w:val="24"/>
              </w:rPr>
            </w:pPr>
          </w:p>
        </w:tc>
        <w:tc>
          <w:tcPr>
            <w:tcW w:w="5243" w:type="dxa"/>
          </w:tcPr>
          <w:p w14:paraId="2C7EEA87" w14:textId="77777777" w:rsidR="00AC4B0C" w:rsidRPr="00AC4B0C" w:rsidRDefault="00AC4B0C" w:rsidP="00AC4B0C">
            <w:pPr>
              <w:spacing w:after="0"/>
              <w:rPr>
                <w:rStyle w:val="AAMSKBFill-InHighlight"/>
                <w:rFonts w:ascii="Times New Roman" w:hAnsi="Times New Roman" w:cs="Times New Roman"/>
                <w:color w:val="auto"/>
                <w:sz w:val="24"/>
                <w:szCs w:val="24"/>
              </w:rPr>
            </w:pPr>
          </w:p>
        </w:tc>
      </w:tr>
      <w:tr w:rsidR="00AC4B0C" w:rsidRPr="00AC4B0C" w14:paraId="2C7EEA8B" w14:textId="77777777" w:rsidTr="00455DA2">
        <w:tc>
          <w:tcPr>
            <w:tcW w:w="4675" w:type="dxa"/>
          </w:tcPr>
          <w:p w14:paraId="2C7EEA89" w14:textId="77777777" w:rsidR="00AC4B0C" w:rsidRPr="00AC4B0C" w:rsidRDefault="00AC4B0C" w:rsidP="00AC4B0C">
            <w:pPr>
              <w:spacing w:after="0"/>
              <w:rPr>
                <w:rFonts w:ascii="Times New Roman" w:hAnsi="Times New Roman" w:cs="Times New Roman"/>
                <w:b/>
                <w:sz w:val="24"/>
                <w:szCs w:val="24"/>
              </w:rPr>
            </w:pPr>
          </w:p>
        </w:tc>
        <w:tc>
          <w:tcPr>
            <w:tcW w:w="5243" w:type="dxa"/>
          </w:tcPr>
          <w:p w14:paraId="2C7EEA8A" w14:textId="77777777" w:rsidR="00AC4B0C" w:rsidRPr="00AC4B0C" w:rsidRDefault="00AC4B0C" w:rsidP="00AC4B0C">
            <w:pPr>
              <w:spacing w:after="0"/>
              <w:rPr>
                <w:rStyle w:val="AAMSKBFill-InHighlight"/>
                <w:rFonts w:ascii="Times New Roman" w:hAnsi="Times New Roman" w:cs="Times New Roman"/>
                <w:color w:val="auto"/>
                <w:sz w:val="24"/>
                <w:szCs w:val="24"/>
              </w:rPr>
            </w:pPr>
          </w:p>
        </w:tc>
      </w:tr>
      <w:tr w:rsidR="00AC4B0C" w:rsidRPr="00AC4B0C" w14:paraId="2C7EEA8E" w14:textId="77777777" w:rsidTr="00455DA2">
        <w:tc>
          <w:tcPr>
            <w:tcW w:w="4675" w:type="dxa"/>
          </w:tcPr>
          <w:p w14:paraId="2C7EEA8C" w14:textId="77777777" w:rsidR="00AC4B0C" w:rsidRPr="00AC4B0C" w:rsidRDefault="00AC4B0C" w:rsidP="00AC4B0C">
            <w:pPr>
              <w:spacing w:after="0"/>
              <w:rPr>
                <w:rFonts w:ascii="Times New Roman" w:hAnsi="Times New Roman" w:cs="Times New Roman"/>
                <w:b/>
                <w:sz w:val="24"/>
                <w:szCs w:val="24"/>
              </w:rPr>
            </w:pPr>
          </w:p>
        </w:tc>
        <w:tc>
          <w:tcPr>
            <w:tcW w:w="5243" w:type="dxa"/>
          </w:tcPr>
          <w:p w14:paraId="2C7EEA8D" w14:textId="77777777" w:rsidR="00AC4B0C" w:rsidRPr="00AC4B0C" w:rsidRDefault="00AC4B0C" w:rsidP="00AC4B0C">
            <w:pPr>
              <w:spacing w:after="0"/>
              <w:rPr>
                <w:rStyle w:val="AAMSKBFill-InHighlight"/>
                <w:rFonts w:ascii="Times New Roman" w:hAnsi="Times New Roman" w:cs="Times New Roman"/>
                <w:color w:val="auto"/>
                <w:sz w:val="24"/>
                <w:szCs w:val="24"/>
              </w:rPr>
            </w:pPr>
          </w:p>
        </w:tc>
      </w:tr>
      <w:tr w:rsidR="00AC4B0C" w:rsidRPr="00AC4B0C" w14:paraId="2C7EEA91" w14:textId="77777777" w:rsidTr="00455DA2">
        <w:tc>
          <w:tcPr>
            <w:tcW w:w="4675" w:type="dxa"/>
          </w:tcPr>
          <w:p w14:paraId="2C7EEA8F" w14:textId="77777777" w:rsidR="00AC4B0C" w:rsidRPr="00AC4B0C" w:rsidRDefault="00AC4B0C" w:rsidP="00AC4B0C">
            <w:pPr>
              <w:spacing w:after="0"/>
              <w:rPr>
                <w:rFonts w:ascii="Times New Roman" w:hAnsi="Times New Roman" w:cs="Times New Roman"/>
                <w:b/>
                <w:sz w:val="24"/>
                <w:szCs w:val="24"/>
              </w:rPr>
            </w:pPr>
          </w:p>
        </w:tc>
        <w:tc>
          <w:tcPr>
            <w:tcW w:w="5243" w:type="dxa"/>
          </w:tcPr>
          <w:p w14:paraId="2C7EEA90" w14:textId="77777777" w:rsidR="00AC4B0C" w:rsidRPr="00AC4B0C" w:rsidRDefault="00AC4B0C" w:rsidP="00AC4B0C">
            <w:pPr>
              <w:spacing w:after="0"/>
              <w:rPr>
                <w:rStyle w:val="AAMSKBFill-InHighlight"/>
                <w:rFonts w:ascii="Times New Roman" w:hAnsi="Times New Roman" w:cs="Times New Roman"/>
                <w:color w:val="auto"/>
                <w:sz w:val="24"/>
                <w:szCs w:val="24"/>
              </w:rPr>
            </w:pPr>
            <w:r w:rsidRPr="00AC4B0C">
              <w:rPr>
                <w:rFonts w:ascii="Times New Roman" w:hAnsi="Times New Roman" w:cs="Times New Roman"/>
                <w:sz w:val="24"/>
                <w:szCs w:val="24"/>
              </w:rPr>
              <w:t xml:space="preserve"> </w:t>
            </w:r>
          </w:p>
        </w:tc>
      </w:tr>
      <w:tr w:rsidR="00AC4B0C" w:rsidRPr="00AC4B0C" w14:paraId="2C7EEA94" w14:textId="77777777" w:rsidTr="00455DA2">
        <w:tc>
          <w:tcPr>
            <w:tcW w:w="4675" w:type="dxa"/>
            <w:hideMark/>
          </w:tcPr>
          <w:p w14:paraId="2C7EEA92"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POSTAL CODE</w:t>
            </w:r>
          </w:p>
        </w:tc>
        <w:tc>
          <w:tcPr>
            <w:tcW w:w="5243" w:type="dxa"/>
            <w:hideMark/>
          </w:tcPr>
          <w:p w14:paraId="2C7EEA93" w14:textId="77777777" w:rsidR="00AC4B0C" w:rsidRPr="00AC4B0C" w:rsidRDefault="00AC4B0C" w:rsidP="00AC4B0C">
            <w:pPr>
              <w:spacing w:after="0"/>
              <w:rPr>
                <w:rFonts w:ascii="Times New Roman" w:hAnsi="Times New Roman" w:cs="Times New Roman"/>
                <w:sz w:val="24"/>
                <w:szCs w:val="24"/>
              </w:rPr>
            </w:pPr>
          </w:p>
        </w:tc>
      </w:tr>
      <w:tr w:rsidR="00EF5228" w:rsidRPr="00AC4B0C" w14:paraId="2C7EEA97" w14:textId="77777777" w:rsidTr="00455DA2">
        <w:tc>
          <w:tcPr>
            <w:tcW w:w="4675" w:type="dxa"/>
            <w:hideMark/>
          </w:tcPr>
          <w:p w14:paraId="2C7EEA95"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t>COUNTRY</w:t>
            </w:r>
          </w:p>
        </w:tc>
        <w:tc>
          <w:tcPr>
            <w:tcW w:w="5243" w:type="dxa"/>
            <w:hideMark/>
          </w:tcPr>
          <w:p w14:paraId="2C7EEA96" w14:textId="77777777" w:rsidR="00AC4B0C" w:rsidRPr="00AC4B0C" w:rsidRDefault="00AC4B0C" w:rsidP="00AC4B0C">
            <w:pPr>
              <w:spacing w:after="0"/>
              <w:rPr>
                <w:rFonts w:ascii="Times New Roman" w:hAnsi="Times New Roman" w:cs="Times New Roman"/>
                <w:sz w:val="24"/>
                <w:szCs w:val="24"/>
              </w:rPr>
            </w:pPr>
          </w:p>
        </w:tc>
      </w:tr>
    </w:tbl>
    <w:p w14:paraId="2C7EEA98" w14:textId="77777777" w:rsidR="00AC4B0C" w:rsidRPr="00AC4B0C" w:rsidRDefault="00AC4B0C" w:rsidP="00AC4B0C">
      <w:pPr>
        <w:spacing w:after="0" w:line="252" w:lineRule="auto"/>
        <w:jc w:val="center"/>
        <w:rPr>
          <w:rFonts w:ascii="Times New Roman" w:eastAsia="Calibri" w:hAnsi="Times New Roman" w:cs="Times New Roman"/>
          <w:b/>
          <w:sz w:val="24"/>
          <w:szCs w:val="24"/>
        </w:rPr>
      </w:pPr>
    </w:p>
    <w:p w14:paraId="2C7EEA99" w14:textId="77777777" w:rsidR="00AC4B0C" w:rsidRPr="00AC4B0C" w:rsidRDefault="00AC4B0C" w:rsidP="00AC4B0C">
      <w:pPr>
        <w:pBdr>
          <w:top w:val="single" w:sz="4" w:space="1" w:color="auto"/>
          <w:bottom w:val="single" w:sz="4" w:space="1" w:color="auto"/>
        </w:pBdr>
        <w:spacing w:after="0" w:line="252" w:lineRule="auto"/>
        <w:jc w:val="center"/>
        <w:rPr>
          <w:rFonts w:ascii="Times New Roman" w:eastAsia="Calibri" w:hAnsi="Times New Roman" w:cs="Times New Roman"/>
          <w:b/>
          <w:sz w:val="24"/>
          <w:szCs w:val="24"/>
        </w:rPr>
      </w:pPr>
      <w:r w:rsidRPr="00AC4B0C">
        <w:rPr>
          <w:rFonts w:ascii="Times New Roman" w:hAnsi="Times New Roman" w:cs="Times New Roman"/>
          <w:b/>
          <w:sz w:val="24"/>
          <w:szCs w:val="24"/>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AC4B0C" w:rsidRPr="00AC4B0C" w14:paraId="2C7EEA9C" w14:textId="77777777" w:rsidTr="00455DA2">
        <w:tc>
          <w:tcPr>
            <w:tcW w:w="4675" w:type="dxa"/>
            <w:hideMark/>
          </w:tcPr>
          <w:p w14:paraId="2C7EEA9A" w14:textId="77777777" w:rsidR="00AC4B0C" w:rsidRPr="00AC4B0C" w:rsidRDefault="00AC4B0C" w:rsidP="00AC4B0C">
            <w:pPr>
              <w:pStyle w:val="NoSpacing"/>
              <w:rPr>
                <w:rFonts w:ascii="Times New Roman" w:hAnsi="Times New Roman"/>
                <w:b/>
                <w:bCs/>
                <w:sz w:val="24"/>
                <w:szCs w:val="24"/>
              </w:rPr>
            </w:pPr>
            <w:r w:rsidRPr="00AC4B0C">
              <w:rPr>
                <w:rFonts w:ascii="Times New Roman" w:hAnsi="Times New Roman"/>
                <w:b/>
                <w:bCs/>
                <w:sz w:val="24"/>
                <w:szCs w:val="24"/>
              </w:rPr>
              <w:t>AGENCY’S URL</w:t>
            </w:r>
          </w:p>
        </w:tc>
        <w:tc>
          <w:tcPr>
            <w:tcW w:w="5243" w:type="dxa"/>
            <w:hideMark/>
          </w:tcPr>
          <w:p w14:paraId="2C7EEA9B" w14:textId="77777777" w:rsidR="00AC4B0C" w:rsidRPr="00AC4B0C" w:rsidRDefault="00AC4B0C" w:rsidP="00AC4B0C">
            <w:pPr>
              <w:pStyle w:val="NoSpacing"/>
              <w:rPr>
                <w:rFonts w:ascii="Times New Roman" w:hAnsi="Times New Roman"/>
                <w:sz w:val="24"/>
                <w:szCs w:val="24"/>
              </w:rPr>
            </w:pPr>
          </w:p>
        </w:tc>
      </w:tr>
      <w:tr w:rsidR="00AC4B0C" w:rsidRPr="00AC4B0C" w14:paraId="2C7EEA9F" w14:textId="77777777" w:rsidTr="00455DA2">
        <w:tc>
          <w:tcPr>
            <w:tcW w:w="4675" w:type="dxa"/>
            <w:hideMark/>
          </w:tcPr>
          <w:p w14:paraId="2C7EEA9D" w14:textId="77777777" w:rsidR="00AC4B0C" w:rsidRPr="00AC4B0C" w:rsidRDefault="00AC4B0C" w:rsidP="00AC4B0C">
            <w:pPr>
              <w:pStyle w:val="NoSpacing"/>
              <w:rPr>
                <w:rFonts w:ascii="Times New Roman" w:hAnsi="Times New Roman"/>
                <w:b/>
                <w:bCs/>
                <w:sz w:val="24"/>
                <w:szCs w:val="24"/>
              </w:rPr>
            </w:pPr>
            <w:r w:rsidRPr="00AC4B0C">
              <w:rPr>
                <w:rFonts w:ascii="Times New Roman" w:hAnsi="Times New Roman"/>
                <w:b/>
                <w:bCs/>
                <w:sz w:val="24"/>
                <w:szCs w:val="24"/>
              </w:rPr>
              <w:t>URL DESCRIPTION</w:t>
            </w:r>
          </w:p>
        </w:tc>
        <w:tc>
          <w:tcPr>
            <w:tcW w:w="5243" w:type="dxa"/>
            <w:hideMark/>
          </w:tcPr>
          <w:p w14:paraId="2C7EEA9E" w14:textId="77777777" w:rsidR="00AC4B0C" w:rsidRPr="00AC4B0C" w:rsidRDefault="00AC4B0C" w:rsidP="00AC4B0C">
            <w:pPr>
              <w:pStyle w:val="NoSpacing"/>
              <w:rPr>
                <w:rFonts w:ascii="Times New Roman" w:hAnsi="Times New Roman"/>
                <w:sz w:val="24"/>
                <w:szCs w:val="24"/>
              </w:rPr>
            </w:pPr>
          </w:p>
        </w:tc>
      </w:tr>
      <w:tr w:rsidR="00AC4B0C" w:rsidRPr="00AC4B0C" w14:paraId="2C7EEAA2" w14:textId="77777777" w:rsidTr="00455DA2">
        <w:tc>
          <w:tcPr>
            <w:tcW w:w="4675" w:type="dxa"/>
            <w:hideMark/>
          </w:tcPr>
          <w:p w14:paraId="2C7EEAA0" w14:textId="77777777" w:rsidR="00AC4B0C" w:rsidRPr="00AC4B0C" w:rsidRDefault="00AC4B0C" w:rsidP="00AC4B0C">
            <w:pPr>
              <w:pStyle w:val="NoSpacing"/>
              <w:rPr>
                <w:rFonts w:ascii="Times New Roman" w:hAnsi="Times New Roman"/>
                <w:b/>
                <w:bCs/>
                <w:sz w:val="24"/>
                <w:szCs w:val="24"/>
              </w:rPr>
            </w:pPr>
            <w:r w:rsidRPr="00AC4B0C">
              <w:rPr>
                <w:rFonts w:ascii="Times New Roman" w:hAnsi="Times New Roman"/>
                <w:b/>
                <w:bCs/>
                <w:sz w:val="24"/>
                <w:szCs w:val="24"/>
              </w:rPr>
              <w:t>AGENCY CONTACT’S EMAIL ADDRESS</w:t>
            </w:r>
          </w:p>
        </w:tc>
        <w:tc>
          <w:tcPr>
            <w:tcW w:w="5243" w:type="dxa"/>
            <w:hideMark/>
          </w:tcPr>
          <w:p w14:paraId="2C7EEAA1" w14:textId="77777777" w:rsidR="00AC4B0C" w:rsidRPr="00AC4B0C" w:rsidRDefault="00AC4B0C" w:rsidP="00AC4B0C">
            <w:pPr>
              <w:pStyle w:val="NoSpacing"/>
              <w:rPr>
                <w:rFonts w:ascii="Times New Roman" w:hAnsi="Times New Roman"/>
                <w:sz w:val="24"/>
                <w:szCs w:val="24"/>
              </w:rPr>
            </w:pPr>
          </w:p>
        </w:tc>
      </w:tr>
      <w:tr w:rsidR="00AC4B0C" w:rsidRPr="00AC4B0C" w14:paraId="2C7EEAA5" w14:textId="77777777" w:rsidTr="00455DA2">
        <w:tc>
          <w:tcPr>
            <w:tcW w:w="4675" w:type="dxa"/>
            <w:hideMark/>
          </w:tcPr>
          <w:p w14:paraId="2C7EEAA3" w14:textId="77777777" w:rsidR="00AC4B0C" w:rsidRPr="00AC4B0C" w:rsidRDefault="00AC4B0C" w:rsidP="00AC4B0C">
            <w:pPr>
              <w:pStyle w:val="NoSpacing"/>
              <w:rPr>
                <w:rFonts w:ascii="Times New Roman" w:hAnsi="Times New Roman"/>
                <w:b/>
                <w:bCs/>
                <w:sz w:val="24"/>
                <w:szCs w:val="24"/>
              </w:rPr>
            </w:pPr>
            <w:r w:rsidRPr="00AC4B0C">
              <w:rPr>
                <w:rFonts w:ascii="Times New Roman" w:hAnsi="Times New Roman"/>
                <w:b/>
                <w:bCs/>
                <w:sz w:val="24"/>
                <w:szCs w:val="24"/>
              </w:rPr>
              <w:t>EMAIL DESCRIPTION</w:t>
            </w:r>
          </w:p>
        </w:tc>
        <w:tc>
          <w:tcPr>
            <w:tcW w:w="5243" w:type="dxa"/>
            <w:hideMark/>
          </w:tcPr>
          <w:p w14:paraId="2C7EEAA4" w14:textId="77777777" w:rsidR="00AC4B0C" w:rsidRPr="00AC4B0C" w:rsidRDefault="00AC4B0C" w:rsidP="00AC4B0C">
            <w:pPr>
              <w:pStyle w:val="NoSpacing"/>
              <w:rPr>
                <w:rFonts w:ascii="Times New Roman" w:hAnsi="Times New Roman"/>
                <w:sz w:val="24"/>
                <w:szCs w:val="24"/>
              </w:rPr>
            </w:pPr>
          </w:p>
        </w:tc>
      </w:tr>
    </w:tbl>
    <w:p w14:paraId="2C7EEAA6" w14:textId="77777777" w:rsidR="00AC4B0C" w:rsidRPr="00AC4B0C" w:rsidRDefault="00AC4B0C" w:rsidP="00AC4B0C">
      <w:pPr>
        <w:spacing w:after="0"/>
        <w:rPr>
          <w:rFonts w:ascii="Times New Roman" w:hAnsi="Times New Roman" w:cs="Times New Roman"/>
          <w:b/>
          <w:sz w:val="24"/>
          <w:szCs w:val="24"/>
        </w:rPr>
      </w:pPr>
      <w:r w:rsidRPr="00AC4B0C">
        <w:rPr>
          <w:rFonts w:ascii="Times New Roman" w:hAnsi="Times New Roman" w:cs="Times New Roman"/>
          <w:b/>
          <w:sz w:val="24"/>
          <w:szCs w:val="24"/>
        </w:rPr>
        <w:br w:type="page"/>
      </w:r>
    </w:p>
    <w:p w14:paraId="2C7EEAA7" w14:textId="77777777" w:rsidR="00AC4B0C" w:rsidRPr="00AC4B0C" w:rsidRDefault="00AC4B0C" w:rsidP="00AC4B0C">
      <w:pPr>
        <w:pBdr>
          <w:top w:val="single" w:sz="4" w:space="1" w:color="auto"/>
          <w:bottom w:val="single" w:sz="4" w:space="1" w:color="auto"/>
        </w:pBdr>
        <w:spacing w:after="0"/>
        <w:jc w:val="center"/>
        <w:rPr>
          <w:rFonts w:ascii="Times New Roman" w:hAnsi="Times New Roman" w:cs="Times New Roman"/>
          <w:sz w:val="24"/>
          <w:szCs w:val="24"/>
        </w:rPr>
      </w:pPr>
      <w:r w:rsidRPr="00AC4B0C">
        <w:rPr>
          <w:rFonts w:ascii="Times New Roman" w:hAnsi="Times New Roman" w:cs="Times New Roman"/>
          <w:b/>
          <w:sz w:val="24"/>
          <w:szCs w:val="24"/>
        </w:rPr>
        <w:lastRenderedPageBreak/>
        <w:t>DESCRIPTION</w:t>
      </w:r>
    </w:p>
    <w:p w14:paraId="2C7EEAA8"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 xml:space="preserve">Please see that attached RFI </w:t>
      </w:r>
      <w:r w:rsidRPr="00AC4B0C">
        <w:rPr>
          <w:rFonts w:ascii="Times New Roman" w:hAnsi="Times New Roman" w:cs="Times New Roman"/>
          <w:sz w:val="24"/>
          <w:szCs w:val="24"/>
        </w:rPr>
        <w:t xml:space="preserve">Questions and Answers </w:t>
      </w:r>
      <w:r w:rsidRPr="00AC4B0C">
        <w:rPr>
          <w:rFonts w:ascii="Times New Roman" w:hAnsi="Times New Roman" w:cs="Times New Roman"/>
          <w:sz w:val="24"/>
          <w:szCs w:val="24"/>
        </w:rPr>
        <w:t xml:space="preserve">for </w:t>
      </w:r>
      <w:r w:rsidRPr="00AC4B0C">
        <w:rPr>
          <w:rFonts w:ascii="Times New Roman" w:hAnsi="Times New Roman" w:cs="Times New Roman"/>
          <w:sz w:val="24"/>
          <w:szCs w:val="24"/>
        </w:rPr>
        <w:t>VA-26-00042471</w:t>
      </w:r>
      <w:r w:rsidRPr="00AC4B0C">
        <w:rPr>
          <w:rFonts w:ascii="Times New Roman" w:hAnsi="Times New Roman" w:cs="Times New Roman"/>
          <w:sz w:val="24"/>
          <w:szCs w:val="24"/>
        </w:rPr>
        <w:t xml:space="preserve"> entitled, “</w:t>
      </w:r>
      <w:r w:rsidRPr="00AC4B0C">
        <w:rPr>
          <w:rFonts w:ascii="Times New Roman" w:hAnsi="Times New Roman" w:cs="Times New Roman"/>
          <w:sz w:val="24"/>
          <w:szCs w:val="24"/>
        </w:rPr>
        <w:t>Revenue Operations Workflow, Payer Compliance and Technical Process Optimization</w:t>
      </w:r>
      <w:r w:rsidRPr="00AC4B0C">
        <w:rPr>
          <w:rFonts w:ascii="Times New Roman" w:hAnsi="Times New Roman" w:cs="Times New Roman"/>
          <w:sz w:val="24"/>
          <w:szCs w:val="24"/>
        </w:rPr>
        <w:t>”</w:t>
      </w:r>
    </w:p>
    <w:p w14:paraId="07107BA2"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6E52E4FB"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6BCB8501"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7FDA9AD1"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3C5024DB"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20A18B35"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19A38C8A"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4001C93D"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3F3F2C09"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299F2554"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015FB02F"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66D87CCF"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19635958"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7BD8C8F8"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6D39F87F"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4D299FB2"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46D85264"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1681D860"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2C7FC343"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15928745"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3576BE60"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63A48D1A"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5A11C053"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49CDC594"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037AB1E1"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21EF6397" w14:textId="77777777" w:rsidR="00AC4B0C" w:rsidRPr="00AC4B0C" w:rsidRDefault="00AC4B0C">
      <w:pPr>
        <w:rPr>
          <w:rStyle w:val="Emphasis"/>
          <w:rFonts w:ascii="Times New Roman" w:eastAsia="Calibri" w:hAnsi="Times New Roman"/>
          <w:i w:val="0"/>
          <w:iCs w:val="0"/>
          <w:color w:val="auto"/>
          <w:sz w:val="24"/>
          <w:szCs w:val="24"/>
        </w:rPr>
      </w:pPr>
      <w:r w:rsidRPr="00AC4B0C">
        <w:rPr>
          <w:rStyle w:val="Emphasis"/>
          <w:rFonts w:ascii="Times New Roman" w:eastAsia="Calibri" w:hAnsi="Times New Roman"/>
          <w:i w:val="0"/>
          <w:iCs w:val="0"/>
          <w:color w:val="auto"/>
          <w:sz w:val="24"/>
          <w:szCs w:val="24"/>
        </w:rPr>
        <w:br w:type="page"/>
      </w:r>
    </w:p>
    <w:p w14:paraId="2C7EEAA9" w14:textId="094B1EF5" w:rsidR="00AC4B0C" w:rsidRPr="00AC4B0C" w:rsidRDefault="00AC4B0C" w:rsidP="00AC4B0C">
      <w:pPr>
        <w:spacing w:after="0"/>
        <w:jc w:val="center"/>
        <w:rPr>
          <w:rStyle w:val="Emphasis"/>
          <w:rFonts w:ascii="Times New Roman" w:eastAsia="Calibri" w:hAnsi="Times New Roman"/>
          <w:i w:val="0"/>
          <w:iCs w:val="0"/>
          <w:color w:val="auto"/>
          <w:sz w:val="24"/>
          <w:szCs w:val="24"/>
        </w:rPr>
      </w:pPr>
      <w:r w:rsidRPr="00AC4B0C">
        <w:rPr>
          <w:rStyle w:val="Emphasis"/>
          <w:rFonts w:ascii="Times New Roman" w:eastAsia="Calibri" w:hAnsi="Times New Roman"/>
          <w:i w:val="0"/>
          <w:iCs w:val="0"/>
          <w:color w:val="auto"/>
          <w:sz w:val="24"/>
          <w:szCs w:val="24"/>
        </w:rPr>
        <w:lastRenderedPageBreak/>
        <w:t>DEPARTMENT OF VETERANS AFFAIRS</w:t>
      </w:r>
    </w:p>
    <w:p w14:paraId="2C7EEAAA"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r w:rsidRPr="00AC4B0C">
        <w:rPr>
          <w:rStyle w:val="Emphasis"/>
          <w:rFonts w:ascii="Times New Roman" w:eastAsia="Calibri" w:hAnsi="Times New Roman"/>
          <w:i w:val="0"/>
          <w:iCs w:val="0"/>
          <w:color w:val="auto"/>
          <w:sz w:val="24"/>
          <w:szCs w:val="24"/>
        </w:rPr>
        <w:t>Office of Information &amp; Technology</w:t>
      </w:r>
    </w:p>
    <w:p w14:paraId="2C7EEAAB" w14:textId="77777777" w:rsidR="00AC4B0C" w:rsidRPr="00AC4B0C" w:rsidRDefault="00AC4B0C" w:rsidP="00AC4B0C">
      <w:pPr>
        <w:pStyle w:val="NoSpacing"/>
        <w:jc w:val="center"/>
        <w:rPr>
          <w:rStyle w:val="TitleChar"/>
          <w:rFonts w:ascii="Times New Roman" w:eastAsia="Calibri" w:hAnsi="Times New Roman" w:cs="Times New Roman"/>
          <w:b/>
          <w:color w:val="auto"/>
          <w:sz w:val="24"/>
          <w:szCs w:val="24"/>
        </w:rPr>
      </w:pPr>
      <w:r w:rsidRPr="00AC4B0C">
        <w:rPr>
          <w:rStyle w:val="TitleChar"/>
          <w:rFonts w:ascii="Times New Roman" w:eastAsia="Calibri" w:hAnsi="Times New Roman" w:cs="Times New Roman"/>
          <w:b/>
          <w:color w:val="auto"/>
          <w:sz w:val="24"/>
          <w:szCs w:val="24"/>
        </w:rPr>
        <w:t>Office of Finance – Revenue Operations</w:t>
      </w:r>
    </w:p>
    <w:p w14:paraId="2C7EEAAC"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2C7EEAAD"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r w:rsidRPr="00AC4B0C">
        <w:rPr>
          <w:rStyle w:val="Emphasis"/>
          <w:rFonts w:ascii="Times New Roman" w:eastAsia="Calibri" w:hAnsi="Times New Roman"/>
          <w:i w:val="0"/>
          <w:iCs w:val="0"/>
          <w:color w:val="auto"/>
          <w:sz w:val="24"/>
          <w:szCs w:val="24"/>
        </w:rPr>
        <w:t>VA-26-00042471</w:t>
      </w:r>
    </w:p>
    <w:p w14:paraId="2C7EEAAE"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r w:rsidRPr="00AC4B0C">
        <w:rPr>
          <w:rStyle w:val="Emphasis"/>
          <w:rFonts w:ascii="Times New Roman" w:eastAsia="Calibri" w:hAnsi="Times New Roman"/>
          <w:i w:val="0"/>
          <w:iCs w:val="0"/>
          <w:color w:val="auto"/>
          <w:sz w:val="24"/>
          <w:szCs w:val="24"/>
        </w:rPr>
        <w:t>Revenue Operations Workflow, Payer Compliance and Technical Process Optimization</w:t>
      </w:r>
    </w:p>
    <w:p w14:paraId="2C7EEAAF"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p>
    <w:p w14:paraId="2C7EEAB0" w14:textId="77777777" w:rsidR="00AC4B0C" w:rsidRPr="00AC4B0C" w:rsidRDefault="00AC4B0C" w:rsidP="00AC4B0C">
      <w:pPr>
        <w:spacing w:after="0"/>
        <w:jc w:val="center"/>
        <w:rPr>
          <w:rStyle w:val="Emphasis"/>
          <w:rFonts w:ascii="Times New Roman" w:eastAsia="Calibri" w:hAnsi="Times New Roman"/>
          <w:i w:val="0"/>
          <w:iCs w:val="0"/>
          <w:color w:val="auto"/>
          <w:sz w:val="24"/>
          <w:szCs w:val="24"/>
        </w:rPr>
      </w:pPr>
      <w:r w:rsidRPr="00AC4B0C">
        <w:rPr>
          <w:rStyle w:val="Emphasis"/>
          <w:rFonts w:ascii="Times New Roman" w:eastAsia="Calibri" w:hAnsi="Times New Roman"/>
          <w:i w:val="0"/>
          <w:iCs w:val="0"/>
          <w:color w:val="auto"/>
          <w:sz w:val="24"/>
          <w:szCs w:val="24"/>
        </w:rPr>
        <w:t>RFI Questions &amp; Answers</w:t>
      </w:r>
    </w:p>
    <w:p w14:paraId="2C7EEAB1" w14:textId="77777777" w:rsidR="00AC4B0C" w:rsidRPr="00AC4B0C" w:rsidRDefault="00AC4B0C" w:rsidP="00AC4B0C">
      <w:pPr>
        <w:spacing w:after="0"/>
        <w:jc w:val="center"/>
        <w:rPr>
          <w:rFonts w:ascii="Times New Roman" w:hAnsi="Times New Roman" w:cs="Times New Roman"/>
          <w:b/>
          <w:i/>
          <w:iCs/>
          <w:sz w:val="24"/>
          <w:szCs w:val="24"/>
        </w:rPr>
      </w:pPr>
      <w:r w:rsidRPr="00AC4B0C">
        <w:rPr>
          <w:rStyle w:val="Emphasis"/>
          <w:rFonts w:ascii="Times New Roman" w:eastAsia="Calibri" w:hAnsi="Times New Roman"/>
          <w:i w:val="0"/>
          <w:iCs w:val="0"/>
          <w:color w:val="auto"/>
          <w:sz w:val="24"/>
          <w:szCs w:val="24"/>
        </w:rPr>
        <w:t xml:space="preserve">April </w:t>
      </w:r>
      <w:r w:rsidRPr="00AC4B0C">
        <w:rPr>
          <w:rStyle w:val="Emphasis"/>
          <w:rFonts w:ascii="Times New Roman" w:eastAsia="Calibri" w:hAnsi="Times New Roman"/>
          <w:i w:val="0"/>
          <w:iCs w:val="0"/>
          <w:color w:val="auto"/>
          <w:sz w:val="24"/>
          <w:szCs w:val="24"/>
        </w:rPr>
        <w:t>7</w:t>
      </w:r>
      <w:r w:rsidRPr="00AC4B0C">
        <w:rPr>
          <w:rStyle w:val="Emphasis"/>
          <w:rFonts w:ascii="Times New Roman" w:eastAsia="Calibri" w:hAnsi="Times New Roman"/>
          <w:i w:val="0"/>
          <w:iCs w:val="0"/>
          <w:color w:val="auto"/>
          <w:sz w:val="24"/>
          <w:szCs w:val="24"/>
        </w:rPr>
        <w:t>, 2026</w:t>
      </w:r>
    </w:p>
    <w:p w14:paraId="2C7EEAB2" w14:textId="77777777" w:rsidR="00AC4B0C" w:rsidRPr="00AC4B0C" w:rsidRDefault="00AC4B0C" w:rsidP="00AC4B0C">
      <w:pPr>
        <w:spacing w:after="0"/>
        <w:jc w:val="center"/>
        <w:rPr>
          <w:rFonts w:ascii="Times New Roman" w:hAnsi="Times New Roman" w:cs="Times New Roman"/>
          <w:sz w:val="24"/>
          <w:szCs w:val="24"/>
        </w:rPr>
      </w:pPr>
    </w:p>
    <w:p w14:paraId="2C7EEAB3" w14:textId="77777777" w:rsidR="00AC4B0C" w:rsidRPr="00AC4B0C" w:rsidRDefault="00AC4B0C" w:rsidP="00AC4B0C">
      <w:pPr>
        <w:spacing w:after="0"/>
        <w:jc w:val="center"/>
        <w:rPr>
          <w:rFonts w:ascii="Times New Roman" w:hAnsi="Times New Roman" w:cs="Times New Roman"/>
          <w:sz w:val="24"/>
          <w:szCs w:val="24"/>
        </w:rPr>
      </w:pPr>
    </w:p>
    <w:tbl>
      <w:tblPr>
        <w:tblW w:w="11430" w:type="dxa"/>
        <w:tblInd w:w="-1085" w:type="dxa"/>
        <w:tblLook w:val="04A0" w:firstRow="1" w:lastRow="0" w:firstColumn="1" w:lastColumn="0" w:noHBand="0" w:noVBand="1"/>
      </w:tblPr>
      <w:tblGrid>
        <w:gridCol w:w="1168"/>
        <w:gridCol w:w="1443"/>
        <w:gridCol w:w="3249"/>
        <w:gridCol w:w="5570"/>
      </w:tblGrid>
      <w:tr w:rsidR="00AC4B0C" w:rsidRPr="00AC4B0C" w14:paraId="2C7EEAB8" w14:textId="77777777" w:rsidTr="00EB7D02">
        <w:trPr>
          <w:trHeight w:val="264"/>
        </w:trPr>
        <w:tc>
          <w:tcPr>
            <w:tcW w:w="1169"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C7EEAB4" w14:textId="77777777" w:rsidR="00AC4B0C" w:rsidRPr="00AC4B0C" w:rsidRDefault="00AC4B0C" w:rsidP="00AC4B0C">
            <w:pPr>
              <w:spacing w:after="0"/>
              <w:jc w:val="center"/>
              <w:rPr>
                <w:rFonts w:ascii="Times New Roman" w:hAnsi="Times New Roman" w:cs="Times New Roman"/>
                <w:b/>
                <w:bCs/>
                <w:sz w:val="24"/>
                <w:szCs w:val="24"/>
              </w:rPr>
            </w:pPr>
            <w:r w:rsidRPr="00AC4B0C">
              <w:rPr>
                <w:rFonts w:ascii="Times New Roman" w:hAnsi="Times New Roman" w:cs="Times New Roman"/>
                <w:b/>
                <w:bCs/>
                <w:sz w:val="24"/>
                <w:szCs w:val="24"/>
              </w:rPr>
              <w:t>Question #</w:t>
            </w:r>
          </w:p>
        </w:tc>
        <w:tc>
          <w:tcPr>
            <w:tcW w:w="143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2C7EEAB5" w14:textId="77777777" w:rsidR="00AC4B0C" w:rsidRPr="00AC4B0C" w:rsidRDefault="00AC4B0C" w:rsidP="00AC4B0C">
            <w:pPr>
              <w:spacing w:after="0"/>
              <w:jc w:val="center"/>
              <w:rPr>
                <w:rFonts w:ascii="Times New Roman" w:hAnsi="Times New Roman" w:cs="Times New Roman"/>
                <w:b/>
                <w:bCs/>
                <w:sz w:val="24"/>
                <w:szCs w:val="24"/>
              </w:rPr>
            </w:pPr>
            <w:r w:rsidRPr="00AC4B0C">
              <w:rPr>
                <w:rFonts w:ascii="Times New Roman" w:hAnsi="Times New Roman" w:cs="Times New Roman"/>
                <w:b/>
                <w:bCs/>
                <w:sz w:val="24"/>
                <w:szCs w:val="24"/>
              </w:rPr>
              <w:t>Relevant Section</w:t>
            </w:r>
          </w:p>
        </w:tc>
        <w:tc>
          <w:tcPr>
            <w:tcW w:w="3251" w:type="dxa"/>
            <w:tcBorders>
              <w:top w:val="single" w:sz="4" w:space="0" w:color="auto"/>
              <w:left w:val="nil"/>
              <w:bottom w:val="single" w:sz="4" w:space="0" w:color="auto"/>
              <w:right w:val="single" w:sz="4" w:space="0" w:color="auto"/>
            </w:tcBorders>
            <w:shd w:val="clear" w:color="auto" w:fill="D9D9D9" w:themeFill="background1" w:themeFillShade="D9"/>
            <w:hideMark/>
          </w:tcPr>
          <w:p w14:paraId="2C7EEAB6" w14:textId="77777777" w:rsidR="00AC4B0C" w:rsidRPr="00AC4B0C" w:rsidRDefault="00AC4B0C" w:rsidP="00AC4B0C">
            <w:pPr>
              <w:spacing w:after="0"/>
              <w:jc w:val="center"/>
              <w:rPr>
                <w:rFonts w:ascii="Times New Roman" w:hAnsi="Times New Roman" w:cs="Times New Roman"/>
                <w:b/>
                <w:bCs/>
                <w:sz w:val="24"/>
                <w:szCs w:val="24"/>
              </w:rPr>
            </w:pPr>
            <w:r w:rsidRPr="00AC4B0C">
              <w:rPr>
                <w:rFonts w:ascii="Times New Roman" w:hAnsi="Times New Roman" w:cs="Times New Roman"/>
                <w:b/>
                <w:bCs/>
                <w:sz w:val="24"/>
                <w:szCs w:val="24"/>
              </w:rPr>
              <w:t>Questions</w:t>
            </w:r>
          </w:p>
        </w:tc>
        <w:tc>
          <w:tcPr>
            <w:tcW w:w="5580" w:type="dxa"/>
            <w:tcBorders>
              <w:top w:val="single" w:sz="4" w:space="0" w:color="auto"/>
              <w:left w:val="nil"/>
              <w:bottom w:val="single" w:sz="4" w:space="0" w:color="auto"/>
              <w:right w:val="single" w:sz="4" w:space="0" w:color="auto"/>
            </w:tcBorders>
            <w:shd w:val="clear" w:color="auto" w:fill="D9D9D9" w:themeFill="background1" w:themeFillShade="D9"/>
          </w:tcPr>
          <w:p w14:paraId="2C7EEAB7" w14:textId="77777777" w:rsidR="00AC4B0C" w:rsidRPr="00AC4B0C" w:rsidRDefault="00AC4B0C" w:rsidP="00AC4B0C">
            <w:pPr>
              <w:spacing w:after="0"/>
              <w:jc w:val="center"/>
              <w:rPr>
                <w:rFonts w:ascii="Times New Roman" w:hAnsi="Times New Roman" w:cs="Times New Roman"/>
                <w:b/>
                <w:bCs/>
                <w:sz w:val="24"/>
                <w:szCs w:val="24"/>
              </w:rPr>
            </w:pPr>
            <w:r w:rsidRPr="00AC4B0C">
              <w:rPr>
                <w:rFonts w:ascii="Times New Roman" w:hAnsi="Times New Roman" w:cs="Times New Roman"/>
                <w:b/>
                <w:bCs/>
                <w:sz w:val="24"/>
                <w:szCs w:val="24"/>
              </w:rPr>
              <w:t>Governments Response</w:t>
            </w:r>
          </w:p>
        </w:tc>
      </w:tr>
      <w:tr w:rsidR="00AC4B0C" w:rsidRPr="00AC4B0C" w14:paraId="2C7EEABD" w14:textId="77777777" w:rsidTr="00A92E6F">
        <w:trPr>
          <w:trHeight w:val="528"/>
        </w:trPr>
        <w:tc>
          <w:tcPr>
            <w:tcW w:w="1169" w:type="dxa"/>
            <w:tcBorders>
              <w:top w:val="nil"/>
              <w:left w:val="single" w:sz="4" w:space="0" w:color="auto"/>
              <w:bottom w:val="nil"/>
              <w:right w:val="single" w:sz="4" w:space="0" w:color="auto"/>
            </w:tcBorders>
            <w:shd w:val="clear" w:color="000000" w:fill="FFFFFF"/>
            <w:vAlign w:val="center"/>
          </w:tcPr>
          <w:p w14:paraId="2C7EEAB9" w14:textId="77777777" w:rsidR="00AC4B0C" w:rsidRPr="00AC4B0C" w:rsidRDefault="00AC4B0C" w:rsidP="00AC4B0C">
            <w:pPr>
              <w:spacing w:after="0"/>
              <w:jc w:val="center"/>
              <w:rPr>
                <w:rFonts w:ascii="Times New Roman" w:hAnsi="Times New Roman" w:cs="Times New Roman"/>
                <w:sz w:val="24"/>
                <w:szCs w:val="24"/>
              </w:rPr>
            </w:pPr>
            <w:r w:rsidRPr="00AC4B0C">
              <w:rPr>
                <w:rFonts w:ascii="Times New Roman" w:hAnsi="Times New Roman" w:cs="Times New Roman"/>
                <w:sz w:val="24"/>
                <w:szCs w:val="24"/>
              </w:rPr>
              <w:t>1</w:t>
            </w:r>
          </w:p>
        </w:tc>
        <w:tc>
          <w:tcPr>
            <w:tcW w:w="1430" w:type="dxa"/>
            <w:tcBorders>
              <w:top w:val="nil"/>
              <w:left w:val="single" w:sz="4" w:space="0" w:color="auto"/>
              <w:bottom w:val="nil"/>
              <w:right w:val="single" w:sz="4" w:space="0" w:color="auto"/>
            </w:tcBorders>
            <w:shd w:val="clear" w:color="000000" w:fill="FFFFFF"/>
            <w:noWrap/>
            <w:vAlign w:val="center"/>
          </w:tcPr>
          <w:p w14:paraId="2C7EEABA"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Section 5.2, page 26 of 88, revenue operations workflow functionality and cloud computing</w:t>
            </w:r>
          </w:p>
        </w:tc>
        <w:tc>
          <w:tcPr>
            <w:tcW w:w="3251" w:type="dxa"/>
            <w:tcBorders>
              <w:top w:val="nil"/>
              <w:left w:val="nil"/>
              <w:bottom w:val="nil"/>
              <w:right w:val="single" w:sz="4" w:space="0" w:color="auto"/>
            </w:tcBorders>
            <w:shd w:val="clear" w:color="000000" w:fill="FFFFFF"/>
            <w:vAlign w:val="center"/>
          </w:tcPr>
          <w:p w14:paraId="2C7EEABB"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Is it the government's intention to execute a justification for an exception to fair opportunity, as happened under VA-22-00054941, a sole source Firm-Fixed-Price Task Order (TO) issued under the Transformation Twenty-One Total Technology Next Generation (T4NG) Contract Number VA118-16-D-1006 with Tria?</w:t>
            </w:r>
          </w:p>
        </w:tc>
        <w:tc>
          <w:tcPr>
            <w:tcW w:w="5580" w:type="dxa"/>
            <w:tcBorders>
              <w:top w:val="nil"/>
              <w:left w:val="nil"/>
              <w:bottom w:val="nil"/>
              <w:right w:val="single" w:sz="4" w:space="0" w:color="auto"/>
            </w:tcBorders>
            <w:shd w:val="clear" w:color="000000" w:fill="FFFFFF"/>
            <w:vAlign w:val="center"/>
          </w:tcPr>
          <w:p w14:paraId="2C7EEABC"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 xml:space="preserve">The </w:t>
            </w:r>
            <w:r w:rsidRPr="00AC4B0C">
              <w:rPr>
                <w:rFonts w:ascii="Times New Roman" w:hAnsi="Times New Roman" w:cs="Times New Roman"/>
                <w:sz w:val="24"/>
                <w:szCs w:val="24"/>
              </w:rPr>
              <w:t xml:space="preserve">Government's </w:t>
            </w:r>
            <w:r w:rsidRPr="00AC4B0C">
              <w:rPr>
                <w:rFonts w:ascii="Times New Roman" w:hAnsi="Times New Roman" w:cs="Times New Roman"/>
                <w:sz w:val="24"/>
                <w:szCs w:val="24"/>
              </w:rPr>
              <w:t xml:space="preserve"> intent</w:t>
            </w:r>
            <w:r w:rsidRPr="00AC4B0C">
              <w:rPr>
                <w:rFonts w:ascii="Times New Roman" w:hAnsi="Times New Roman" w:cs="Times New Roman"/>
                <w:sz w:val="24"/>
                <w:szCs w:val="24"/>
              </w:rPr>
              <w:t xml:space="preserve"> of this RFI is to</w:t>
            </w:r>
            <w:r w:rsidRPr="00AC4B0C">
              <w:rPr>
                <w:rFonts w:ascii="Times New Roman" w:hAnsi="Times New Roman" w:cs="Times New Roman"/>
                <w:sz w:val="24"/>
                <w:szCs w:val="24"/>
              </w:rPr>
              <w:t xml:space="preserve"> complete Market Research, identify capable vendors, and explore alternative solutions </w:t>
            </w:r>
            <w:r w:rsidRPr="00AC4B0C">
              <w:rPr>
                <w:rFonts w:ascii="Times New Roman" w:hAnsi="Times New Roman" w:cs="Times New Roman"/>
                <w:sz w:val="24"/>
                <w:szCs w:val="24"/>
              </w:rPr>
              <w:t>to</w:t>
            </w:r>
            <w:r w:rsidRPr="00AC4B0C">
              <w:rPr>
                <w:rFonts w:ascii="Times New Roman" w:hAnsi="Times New Roman" w:cs="Times New Roman"/>
                <w:sz w:val="24"/>
                <w:szCs w:val="24"/>
              </w:rPr>
              <w:t xml:space="preserve"> </w:t>
            </w:r>
            <w:r w:rsidRPr="00AC4B0C">
              <w:rPr>
                <w:rFonts w:ascii="Times New Roman" w:hAnsi="Times New Roman" w:cs="Times New Roman"/>
                <w:sz w:val="24"/>
                <w:szCs w:val="24"/>
              </w:rPr>
              <w:t xml:space="preserve">develop </w:t>
            </w:r>
            <w:r w:rsidRPr="00AC4B0C">
              <w:rPr>
                <w:rFonts w:ascii="Times New Roman" w:hAnsi="Times New Roman" w:cs="Times New Roman"/>
                <w:sz w:val="24"/>
                <w:szCs w:val="24"/>
              </w:rPr>
              <w:t xml:space="preserve">an </w:t>
            </w:r>
            <w:r w:rsidRPr="00AC4B0C">
              <w:rPr>
                <w:rFonts w:ascii="Times New Roman" w:hAnsi="Times New Roman" w:cs="Times New Roman"/>
                <w:sz w:val="24"/>
                <w:szCs w:val="24"/>
              </w:rPr>
              <w:t>Acquisition Strategy</w:t>
            </w:r>
            <w:r w:rsidRPr="00AC4B0C">
              <w:rPr>
                <w:rFonts w:ascii="Times New Roman" w:hAnsi="Times New Roman" w:cs="Times New Roman"/>
                <w:sz w:val="24"/>
                <w:szCs w:val="24"/>
              </w:rPr>
              <w:t xml:space="preserve"> based on the responses received</w:t>
            </w:r>
            <w:r w:rsidRPr="00AC4B0C">
              <w:rPr>
                <w:rFonts w:ascii="Times New Roman" w:hAnsi="Times New Roman" w:cs="Times New Roman"/>
                <w:sz w:val="24"/>
                <w:szCs w:val="24"/>
              </w:rPr>
              <w:t xml:space="preserve">. </w:t>
            </w:r>
          </w:p>
        </w:tc>
      </w:tr>
      <w:tr w:rsidR="00AC4B0C" w:rsidRPr="00AC4B0C" w14:paraId="2C7EEAC2" w14:textId="77777777" w:rsidTr="00A92E6F">
        <w:trPr>
          <w:trHeight w:val="70"/>
        </w:trPr>
        <w:tc>
          <w:tcPr>
            <w:tcW w:w="1169" w:type="dxa"/>
            <w:tcBorders>
              <w:top w:val="nil"/>
              <w:left w:val="single" w:sz="4" w:space="0" w:color="auto"/>
              <w:bottom w:val="single" w:sz="4" w:space="0" w:color="auto"/>
              <w:right w:val="single" w:sz="4" w:space="0" w:color="auto"/>
            </w:tcBorders>
            <w:shd w:val="clear" w:color="000000" w:fill="FFFFFF"/>
            <w:vAlign w:val="center"/>
          </w:tcPr>
          <w:p w14:paraId="2C7EEABE" w14:textId="77777777" w:rsidR="00AC4B0C" w:rsidRPr="00AC4B0C" w:rsidRDefault="00AC4B0C" w:rsidP="00AC4B0C">
            <w:pPr>
              <w:spacing w:after="0"/>
              <w:jc w:val="center"/>
              <w:rPr>
                <w:rFonts w:ascii="Times New Roman" w:hAnsi="Times New Roman" w:cs="Times New Roman"/>
                <w:sz w:val="24"/>
                <w:szCs w:val="24"/>
              </w:rPr>
            </w:pPr>
          </w:p>
        </w:tc>
        <w:tc>
          <w:tcPr>
            <w:tcW w:w="1430" w:type="dxa"/>
            <w:tcBorders>
              <w:top w:val="nil"/>
              <w:left w:val="single" w:sz="4" w:space="0" w:color="auto"/>
              <w:bottom w:val="single" w:sz="4" w:space="0" w:color="auto"/>
              <w:right w:val="single" w:sz="4" w:space="0" w:color="auto"/>
            </w:tcBorders>
            <w:shd w:val="clear" w:color="000000" w:fill="FFFFFF"/>
            <w:noWrap/>
            <w:vAlign w:val="center"/>
          </w:tcPr>
          <w:p w14:paraId="2C7EEABF" w14:textId="77777777" w:rsidR="00AC4B0C" w:rsidRPr="00AC4B0C" w:rsidRDefault="00AC4B0C" w:rsidP="00AC4B0C">
            <w:pPr>
              <w:spacing w:after="0"/>
              <w:rPr>
                <w:rFonts w:ascii="Times New Roman" w:hAnsi="Times New Roman" w:cs="Times New Roman"/>
                <w:sz w:val="24"/>
                <w:szCs w:val="24"/>
              </w:rPr>
            </w:pPr>
          </w:p>
        </w:tc>
        <w:tc>
          <w:tcPr>
            <w:tcW w:w="3251" w:type="dxa"/>
            <w:tcBorders>
              <w:top w:val="nil"/>
              <w:left w:val="nil"/>
              <w:bottom w:val="single" w:sz="4" w:space="0" w:color="auto"/>
              <w:right w:val="single" w:sz="4" w:space="0" w:color="auto"/>
            </w:tcBorders>
            <w:shd w:val="clear" w:color="000000" w:fill="FFFFFF"/>
            <w:vAlign w:val="center"/>
          </w:tcPr>
          <w:p w14:paraId="2C7EEAC0" w14:textId="77777777" w:rsidR="00AC4B0C" w:rsidRPr="00AC4B0C" w:rsidRDefault="00AC4B0C" w:rsidP="00AC4B0C">
            <w:pPr>
              <w:spacing w:after="0"/>
              <w:rPr>
                <w:rFonts w:ascii="Times New Roman" w:hAnsi="Times New Roman" w:cs="Times New Roman"/>
                <w:sz w:val="24"/>
                <w:szCs w:val="24"/>
              </w:rPr>
            </w:pPr>
          </w:p>
        </w:tc>
        <w:tc>
          <w:tcPr>
            <w:tcW w:w="5580" w:type="dxa"/>
            <w:tcBorders>
              <w:top w:val="nil"/>
              <w:left w:val="nil"/>
              <w:bottom w:val="single" w:sz="4" w:space="0" w:color="auto"/>
              <w:right w:val="single" w:sz="4" w:space="0" w:color="auto"/>
            </w:tcBorders>
            <w:shd w:val="clear" w:color="000000" w:fill="FFFFFF"/>
            <w:vAlign w:val="center"/>
          </w:tcPr>
          <w:p w14:paraId="2C7EEAC1" w14:textId="77777777" w:rsidR="00AC4B0C" w:rsidRPr="00AC4B0C" w:rsidRDefault="00AC4B0C" w:rsidP="00AC4B0C">
            <w:pPr>
              <w:spacing w:after="0"/>
              <w:rPr>
                <w:rFonts w:ascii="Times New Roman" w:hAnsi="Times New Roman" w:cs="Times New Roman"/>
                <w:sz w:val="24"/>
                <w:szCs w:val="24"/>
              </w:rPr>
            </w:pPr>
          </w:p>
        </w:tc>
      </w:tr>
      <w:tr w:rsidR="00AC4B0C" w:rsidRPr="00AC4B0C" w14:paraId="2C7EEAC7" w14:textId="77777777" w:rsidTr="00A92E6F">
        <w:trPr>
          <w:trHeight w:val="528"/>
        </w:trPr>
        <w:tc>
          <w:tcPr>
            <w:tcW w:w="1169" w:type="dxa"/>
            <w:tcBorders>
              <w:top w:val="nil"/>
              <w:left w:val="single" w:sz="4" w:space="0" w:color="auto"/>
              <w:bottom w:val="single" w:sz="4" w:space="0" w:color="auto"/>
              <w:right w:val="single" w:sz="4" w:space="0" w:color="auto"/>
            </w:tcBorders>
            <w:shd w:val="clear" w:color="000000" w:fill="FFFFFF"/>
            <w:vAlign w:val="center"/>
          </w:tcPr>
          <w:p w14:paraId="2C7EEAC3" w14:textId="77777777" w:rsidR="00AC4B0C" w:rsidRPr="00AC4B0C" w:rsidRDefault="00AC4B0C" w:rsidP="00AC4B0C">
            <w:pPr>
              <w:spacing w:after="0"/>
              <w:jc w:val="center"/>
              <w:rPr>
                <w:rFonts w:ascii="Times New Roman" w:hAnsi="Times New Roman" w:cs="Times New Roman"/>
                <w:sz w:val="24"/>
                <w:szCs w:val="24"/>
              </w:rPr>
            </w:pPr>
            <w:r w:rsidRPr="00AC4B0C">
              <w:rPr>
                <w:rFonts w:ascii="Times New Roman" w:hAnsi="Times New Roman" w:cs="Times New Roman"/>
                <w:sz w:val="24"/>
                <w:szCs w:val="24"/>
              </w:rPr>
              <w:t>2</w:t>
            </w:r>
          </w:p>
        </w:tc>
        <w:tc>
          <w:tcPr>
            <w:tcW w:w="1430" w:type="dxa"/>
            <w:tcBorders>
              <w:top w:val="nil"/>
              <w:left w:val="single" w:sz="4" w:space="0" w:color="auto"/>
              <w:bottom w:val="single" w:sz="4" w:space="0" w:color="auto"/>
              <w:right w:val="single" w:sz="4" w:space="0" w:color="auto"/>
            </w:tcBorders>
            <w:shd w:val="clear" w:color="000000" w:fill="FFFFFF"/>
            <w:noWrap/>
            <w:vAlign w:val="center"/>
          </w:tcPr>
          <w:p w14:paraId="2C7EEAC4"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Section 5.2, page 26 of 88, revenue operations workflow functionality and cloud computing</w:t>
            </w:r>
          </w:p>
        </w:tc>
        <w:tc>
          <w:tcPr>
            <w:tcW w:w="3251" w:type="dxa"/>
            <w:tcBorders>
              <w:top w:val="nil"/>
              <w:left w:val="nil"/>
              <w:bottom w:val="single" w:sz="4" w:space="0" w:color="auto"/>
              <w:right w:val="single" w:sz="4" w:space="0" w:color="auto"/>
            </w:tcBorders>
            <w:shd w:val="clear" w:color="000000" w:fill="FFFFFF"/>
            <w:vAlign w:val="center"/>
          </w:tcPr>
          <w:p w14:paraId="2C7EEAC5"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Can the government please clarify if the scope of this procurement covers renewal of MD Clarity Payer Compliance Tool (PCT) software licenses, Huron Healthcare (Huron) Workflow Management Tool (WFT) software licenses, and associated technical and support services for the Office of Finance (OF) - Revenue Operations (RO) healthcare revenue business tools?</w:t>
            </w:r>
          </w:p>
        </w:tc>
        <w:tc>
          <w:tcPr>
            <w:tcW w:w="5580" w:type="dxa"/>
            <w:tcBorders>
              <w:top w:val="nil"/>
              <w:left w:val="nil"/>
              <w:bottom w:val="single" w:sz="4" w:space="0" w:color="auto"/>
              <w:right w:val="single" w:sz="4" w:space="0" w:color="auto"/>
            </w:tcBorders>
            <w:shd w:val="clear" w:color="000000" w:fill="FFFFFF"/>
            <w:vAlign w:val="center"/>
          </w:tcPr>
          <w:p w14:paraId="2C7EEAC6"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 xml:space="preserve">The </w:t>
            </w:r>
            <w:r w:rsidRPr="00AC4B0C">
              <w:rPr>
                <w:rFonts w:ascii="Times New Roman" w:hAnsi="Times New Roman" w:cs="Times New Roman"/>
                <w:sz w:val="24"/>
                <w:szCs w:val="24"/>
              </w:rPr>
              <w:t xml:space="preserve">renewal of </w:t>
            </w:r>
            <w:r w:rsidRPr="00AC4B0C">
              <w:rPr>
                <w:rFonts w:ascii="Times New Roman" w:hAnsi="Times New Roman" w:cs="Times New Roman"/>
                <w:sz w:val="24"/>
                <w:szCs w:val="24"/>
              </w:rPr>
              <w:t>a</w:t>
            </w:r>
            <w:r w:rsidRPr="00AC4B0C">
              <w:rPr>
                <w:rFonts w:ascii="Times New Roman" w:hAnsi="Times New Roman" w:cs="Times New Roman"/>
                <w:sz w:val="24"/>
                <w:szCs w:val="24"/>
              </w:rPr>
              <w:t>ny</w:t>
            </w:r>
            <w:r w:rsidRPr="00AC4B0C">
              <w:rPr>
                <w:rFonts w:ascii="Times New Roman" w:hAnsi="Times New Roman" w:cs="Times New Roman"/>
                <w:sz w:val="24"/>
                <w:szCs w:val="24"/>
              </w:rPr>
              <w:t xml:space="preserve"> software </w:t>
            </w:r>
            <w:r w:rsidRPr="00AC4B0C">
              <w:rPr>
                <w:rFonts w:ascii="Times New Roman" w:hAnsi="Times New Roman" w:cs="Times New Roman"/>
                <w:sz w:val="24"/>
                <w:szCs w:val="24"/>
              </w:rPr>
              <w:t>licenses and</w:t>
            </w:r>
            <w:r w:rsidRPr="00AC4B0C">
              <w:rPr>
                <w:rFonts w:ascii="Times New Roman" w:hAnsi="Times New Roman" w:cs="Times New Roman"/>
                <w:sz w:val="24"/>
                <w:szCs w:val="24"/>
              </w:rPr>
              <w:t xml:space="preserve"> associated technical support services</w:t>
            </w:r>
            <w:r w:rsidRPr="00AC4B0C">
              <w:rPr>
                <w:rFonts w:ascii="Times New Roman" w:hAnsi="Times New Roman" w:cs="Times New Roman"/>
                <w:sz w:val="24"/>
                <w:szCs w:val="24"/>
              </w:rPr>
              <w:t xml:space="preserve"> are dependent on the offeror’s proposed solution and approach to meeting </w:t>
            </w:r>
            <w:r w:rsidRPr="00AC4B0C">
              <w:rPr>
                <w:rFonts w:ascii="Times New Roman" w:hAnsi="Times New Roman" w:cs="Times New Roman"/>
                <w:sz w:val="24"/>
                <w:szCs w:val="24"/>
              </w:rPr>
              <w:t>all</w:t>
            </w:r>
            <w:r w:rsidRPr="00AC4B0C">
              <w:rPr>
                <w:rFonts w:ascii="Times New Roman" w:hAnsi="Times New Roman" w:cs="Times New Roman"/>
                <w:sz w:val="24"/>
                <w:szCs w:val="24"/>
              </w:rPr>
              <w:t xml:space="preserve"> the Government’s requirements.   </w:t>
            </w:r>
            <w:r w:rsidRPr="00AC4B0C">
              <w:rPr>
                <w:rFonts w:ascii="Times New Roman" w:hAnsi="Times New Roman" w:cs="Times New Roman"/>
                <w:sz w:val="24"/>
                <w:szCs w:val="24"/>
              </w:rPr>
              <w:t xml:space="preserve"> </w:t>
            </w:r>
          </w:p>
        </w:tc>
      </w:tr>
      <w:tr w:rsidR="00AC4B0C" w:rsidRPr="00AC4B0C" w14:paraId="2C7EEACC" w14:textId="77777777" w:rsidTr="00A92E6F">
        <w:trPr>
          <w:trHeight w:val="528"/>
        </w:trPr>
        <w:tc>
          <w:tcPr>
            <w:tcW w:w="1169" w:type="dxa"/>
            <w:tcBorders>
              <w:top w:val="nil"/>
              <w:left w:val="single" w:sz="4" w:space="0" w:color="auto"/>
              <w:bottom w:val="single" w:sz="4" w:space="0" w:color="auto"/>
              <w:right w:val="single" w:sz="4" w:space="0" w:color="auto"/>
            </w:tcBorders>
            <w:shd w:val="clear" w:color="000000" w:fill="FFFFFF"/>
            <w:vAlign w:val="center"/>
          </w:tcPr>
          <w:p w14:paraId="2C7EEAC8" w14:textId="77777777" w:rsidR="00AC4B0C" w:rsidRPr="00AC4B0C" w:rsidRDefault="00AC4B0C" w:rsidP="00AC4B0C">
            <w:pPr>
              <w:spacing w:after="0"/>
              <w:jc w:val="center"/>
              <w:rPr>
                <w:rFonts w:ascii="Times New Roman" w:hAnsi="Times New Roman" w:cs="Times New Roman"/>
                <w:sz w:val="24"/>
                <w:szCs w:val="24"/>
              </w:rPr>
            </w:pPr>
            <w:r w:rsidRPr="00AC4B0C">
              <w:rPr>
                <w:rFonts w:ascii="Times New Roman" w:hAnsi="Times New Roman" w:cs="Times New Roman"/>
                <w:sz w:val="24"/>
                <w:szCs w:val="24"/>
              </w:rPr>
              <w:t>3</w:t>
            </w:r>
          </w:p>
        </w:tc>
        <w:tc>
          <w:tcPr>
            <w:tcW w:w="1430" w:type="dxa"/>
            <w:tcBorders>
              <w:top w:val="nil"/>
              <w:left w:val="single" w:sz="4" w:space="0" w:color="auto"/>
              <w:bottom w:val="single" w:sz="4" w:space="0" w:color="auto"/>
              <w:right w:val="single" w:sz="4" w:space="0" w:color="auto"/>
            </w:tcBorders>
            <w:shd w:val="clear" w:color="000000" w:fill="FFFFFF"/>
            <w:noWrap/>
            <w:vAlign w:val="center"/>
          </w:tcPr>
          <w:p w14:paraId="2C7EEAC9"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 xml:space="preserve">Section 5.2, page 26, 28, 29, 31 of 88, </w:t>
            </w:r>
            <w:r w:rsidRPr="00AC4B0C">
              <w:rPr>
                <w:rFonts w:ascii="Times New Roman" w:hAnsi="Times New Roman" w:cs="Times New Roman"/>
                <w:sz w:val="24"/>
                <w:szCs w:val="24"/>
              </w:rPr>
              <w:lastRenderedPageBreak/>
              <w:t>revenue operations workflow functionality and cloud computing</w:t>
            </w:r>
          </w:p>
        </w:tc>
        <w:tc>
          <w:tcPr>
            <w:tcW w:w="3251" w:type="dxa"/>
            <w:tcBorders>
              <w:top w:val="nil"/>
              <w:left w:val="nil"/>
              <w:bottom w:val="single" w:sz="4" w:space="0" w:color="auto"/>
              <w:right w:val="single" w:sz="4" w:space="0" w:color="auto"/>
            </w:tcBorders>
            <w:shd w:val="clear" w:color="000000" w:fill="FFFFFF"/>
            <w:vAlign w:val="center"/>
          </w:tcPr>
          <w:p w14:paraId="2C7EEACA"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lastRenderedPageBreak/>
              <w:t xml:space="preserve">Can the government please clarify if the scope of this procurement still includes </w:t>
            </w:r>
            <w:r w:rsidRPr="00AC4B0C">
              <w:rPr>
                <w:rFonts w:ascii="Times New Roman" w:hAnsi="Times New Roman" w:cs="Times New Roman"/>
                <w:sz w:val="24"/>
                <w:szCs w:val="24"/>
              </w:rPr>
              <w:lastRenderedPageBreak/>
              <w:t>scenario modeling of insurance carrier agreements with automatic calculation of expected allowed amounts, and provides reports displaying agreements in various views and search capabilities, to include adjustment codes, bill type, and estimated allowance at the bill, medical center, Veterans Integrated Services Network, and CPAC level? If so, then what tool is planned for this requirement?</w:t>
            </w:r>
          </w:p>
        </w:tc>
        <w:tc>
          <w:tcPr>
            <w:tcW w:w="5580" w:type="dxa"/>
            <w:tcBorders>
              <w:top w:val="nil"/>
              <w:left w:val="nil"/>
              <w:bottom w:val="single" w:sz="4" w:space="0" w:color="auto"/>
              <w:right w:val="single" w:sz="4" w:space="0" w:color="auto"/>
            </w:tcBorders>
            <w:shd w:val="clear" w:color="000000" w:fill="FFFFFF"/>
            <w:vAlign w:val="center"/>
          </w:tcPr>
          <w:p w14:paraId="2C7EEACB"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lastRenderedPageBreak/>
              <w:t>Yes, p</w:t>
            </w:r>
            <w:r w:rsidRPr="00AC4B0C">
              <w:rPr>
                <w:rFonts w:ascii="Times New Roman" w:hAnsi="Times New Roman" w:cs="Times New Roman"/>
                <w:sz w:val="24"/>
                <w:szCs w:val="24"/>
              </w:rPr>
              <w:t>lease refer to PWS</w:t>
            </w:r>
            <w:r w:rsidRPr="00AC4B0C">
              <w:rPr>
                <w:rFonts w:ascii="Times New Roman" w:hAnsi="Times New Roman" w:cs="Times New Roman"/>
                <w:sz w:val="24"/>
                <w:szCs w:val="24"/>
              </w:rPr>
              <w:t xml:space="preserve"> </w:t>
            </w:r>
            <w:r w:rsidRPr="00AC4B0C">
              <w:rPr>
                <w:rFonts w:ascii="Times New Roman" w:hAnsi="Times New Roman" w:cs="Times New Roman"/>
                <w:sz w:val="24"/>
                <w:szCs w:val="24"/>
              </w:rPr>
              <w:t>section 5.2</w:t>
            </w:r>
            <w:r w:rsidRPr="00AC4B0C">
              <w:rPr>
                <w:rFonts w:ascii="Times New Roman" w:hAnsi="Times New Roman" w:cs="Times New Roman"/>
                <w:sz w:val="24"/>
                <w:szCs w:val="24"/>
              </w:rPr>
              <w:t>.</w:t>
            </w:r>
            <w:r w:rsidRPr="00AC4B0C">
              <w:rPr>
                <w:rFonts w:ascii="Times New Roman" w:hAnsi="Times New Roman" w:cs="Times New Roman"/>
                <w:sz w:val="24"/>
                <w:szCs w:val="24"/>
              </w:rPr>
              <w:t xml:space="preserve"> </w:t>
            </w:r>
            <w:r w:rsidRPr="00AC4B0C">
              <w:rPr>
                <w:rFonts w:ascii="Times New Roman" w:hAnsi="Times New Roman" w:cs="Times New Roman"/>
                <w:sz w:val="24"/>
                <w:szCs w:val="24"/>
              </w:rPr>
              <w:t>The primary goal of the RFI process is to identify the most effective strategy to support</w:t>
            </w:r>
            <w:r w:rsidRPr="00AC4B0C">
              <w:rPr>
                <w:rFonts w:ascii="Times New Roman" w:hAnsi="Times New Roman" w:cs="Times New Roman"/>
                <w:sz w:val="24"/>
                <w:szCs w:val="24"/>
              </w:rPr>
              <w:t xml:space="preserve"> the Revenue mission</w:t>
            </w:r>
            <w:r w:rsidRPr="00AC4B0C">
              <w:rPr>
                <w:rFonts w:ascii="Times New Roman" w:hAnsi="Times New Roman" w:cs="Times New Roman"/>
                <w:sz w:val="24"/>
                <w:szCs w:val="24"/>
              </w:rPr>
              <w:t>.</w:t>
            </w:r>
            <w:r w:rsidRPr="00AC4B0C">
              <w:rPr>
                <w:rFonts w:ascii="Times New Roman" w:hAnsi="Times New Roman" w:cs="Times New Roman"/>
                <w:sz w:val="24"/>
                <w:szCs w:val="24"/>
              </w:rPr>
              <w:t xml:space="preserve"> </w:t>
            </w:r>
            <w:r w:rsidRPr="00AC4B0C">
              <w:rPr>
                <w:rFonts w:ascii="Times New Roman" w:hAnsi="Times New Roman" w:cs="Times New Roman"/>
                <w:sz w:val="24"/>
                <w:szCs w:val="24"/>
              </w:rPr>
              <w:t xml:space="preserve">Revenue </w:t>
            </w:r>
            <w:r w:rsidRPr="00AC4B0C">
              <w:rPr>
                <w:rFonts w:ascii="Times New Roman" w:hAnsi="Times New Roman" w:cs="Times New Roman"/>
                <w:sz w:val="24"/>
                <w:szCs w:val="24"/>
              </w:rPr>
              <w:lastRenderedPageBreak/>
              <w:t xml:space="preserve">Operations </w:t>
            </w:r>
            <w:r w:rsidRPr="00AC4B0C">
              <w:rPr>
                <w:rFonts w:ascii="Times New Roman" w:hAnsi="Times New Roman" w:cs="Times New Roman"/>
                <w:sz w:val="24"/>
                <w:szCs w:val="24"/>
              </w:rPr>
              <w:t>does no</w:t>
            </w:r>
            <w:r w:rsidRPr="00AC4B0C">
              <w:rPr>
                <w:rFonts w:ascii="Times New Roman" w:hAnsi="Times New Roman" w:cs="Times New Roman"/>
                <w:sz w:val="24"/>
                <w:szCs w:val="24"/>
              </w:rPr>
              <w:t>t</w:t>
            </w:r>
            <w:r w:rsidRPr="00AC4B0C">
              <w:rPr>
                <w:rFonts w:ascii="Times New Roman" w:hAnsi="Times New Roman" w:cs="Times New Roman"/>
                <w:sz w:val="24"/>
                <w:szCs w:val="24"/>
              </w:rPr>
              <w:t xml:space="preserve"> require</w:t>
            </w:r>
            <w:r w:rsidRPr="00AC4B0C">
              <w:rPr>
                <w:rFonts w:ascii="Times New Roman" w:hAnsi="Times New Roman" w:cs="Times New Roman"/>
                <w:sz w:val="24"/>
                <w:szCs w:val="24"/>
              </w:rPr>
              <w:t xml:space="preserve"> a specific tool.</w:t>
            </w:r>
          </w:p>
        </w:tc>
      </w:tr>
      <w:tr w:rsidR="00AC4B0C" w:rsidRPr="00AC4B0C" w14:paraId="2C7EEAD8" w14:textId="77777777" w:rsidTr="00A92E6F">
        <w:trPr>
          <w:trHeight w:val="528"/>
        </w:trPr>
        <w:tc>
          <w:tcPr>
            <w:tcW w:w="1169" w:type="dxa"/>
            <w:tcBorders>
              <w:top w:val="nil"/>
              <w:left w:val="single" w:sz="4" w:space="0" w:color="auto"/>
              <w:bottom w:val="single" w:sz="4" w:space="0" w:color="auto"/>
              <w:right w:val="single" w:sz="4" w:space="0" w:color="auto"/>
            </w:tcBorders>
            <w:shd w:val="clear" w:color="000000" w:fill="FFFFFF"/>
            <w:vAlign w:val="center"/>
          </w:tcPr>
          <w:p w14:paraId="2C7EEACD" w14:textId="77777777" w:rsidR="00AC4B0C" w:rsidRPr="00AC4B0C" w:rsidRDefault="00AC4B0C" w:rsidP="00AC4B0C">
            <w:pPr>
              <w:spacing w:after="0"/>
              <w:jc w:val="center"/>
              <w:rPr>
                <w:rFonts w:ascii="Times New Roman" w:hAnsi="Times New Roman" w:cs="Times New Roman"/>
                <w:sz w:val="24"/>
                <w:szCs w:val="24"/>
              </w:rPr>
            </w:pPr>
            <w:r w:rsidRPr="00AC4B0C">
              <w:rPr>
                <w:rFonts w:ascii="Times New Roman" w:hAnsi="Times New Roman" w:cs="Times New Roman"/>
                <w:sz w:val="24"/>
                <w:szCs w:val="24"/>
              </w:rPr>
              <w:lastRenderedPageBreak/>
              <w:t>4</w:t>
            </w:r>
          </w:p>
        </w:tc>
        <w:tc>
          <w:tcPr>
            <w:tcW w:w="1430" w:type="dxa"/>
            <w:tcBorders>
              <w:top w:val="nil"/>
              <w:left w:val="single" w:sz="4" w:space="0" w:color="auto"/>
              <w:bottom w:val="single" w:sz="4" w:space="0" w:color="auto"/>
              <w:right w:val="single" w:sz="4" w:space="0" w:color="auto"/>
            </w:tcBorders>
            <w:shd w:val="clear" w:color="000000" w:fill="FFFFFF"/>
            <w:noWrap/>
            <w:vAlign w:val="center"/>
          </w:tcPr>
          <w:p w14:paraId="2C7EEACE"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Section 5.2, page 26, 28, 29, 31 of 88, revenue operations workflow functionality and cloud computing</w:t>
            </w:r>
          </w:p>
        </w:tc>
        <w:tc>
          <w:tcPr>
            <w:tcW w:w="3251" w:type="dxa"/>
            <w:tcBorders>
              <w:top w:val="nil"/>
              <w:left w:val="nil"/>
              <w:bottom w:val="single" w:sz="4" w:space="0" w:color="auto"/>
              <w:right w:val="single" w:sz="4" w:space="0" w:color="auto"/>
            </w:tcBorders>
            <w:shd w:val="clear" w:color="000000" w:fill="FFFFFF"/>
            <w:vAlign w:val="center"/>
          </w:tcPr>
          <w:p w14:paraId="2C7EEACF"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 xml:space="preserve">Can the government please clarify the WFT core components? Can the government confirm the main functions, namely: </w:t>
            </w:r>
            <w:r w:rsidRPr="00AC4B0C">
              <w:rPr>
                <w:rFonts w:ascii="Times New Roman" w:hAnsi="Times New Roman" w:cs="Times New Roman"/>
                <w:sz w:val="24"/>
                <w:szCs w:val="24"/>
              </w:rPr>
              <w:br/>
              <w:t>- enables effective monitoring of the front-end process, including verification of third-party insurance and related authorization or pre-certification activities;</w:t>
            </w:r>
            <w:r w:rsidRPr="00AC4B0C">
              <w:rPr>
                <w:rFonts w:ascii="Times New Roman" w:hAnsi="Times New Roman" w:cs="Times New Roman"/>
                <w:sz w:val="24"/>
                <w:szCs w:val="24"/>
              </w:rPr>
              <w:br/>
              <w:t xml:space="preserve">- enables effective third-party claim monitoring, follow-up and account resolution processes; </w:t>
            </w:r>
            <w:r w:rsidRPr="00AC4B0C">
              <w:rPr>
                <w:rFonts w:ascii="Times New Roman" w:hAnsi="Times New Roman" w:cs="Times New Roman"/>
                <w:sz w:val="24"/>
                <w:szCs w:val="24"/>
              </w:rPr>
              <w:br/>
              <w:t xml:space="preserve">- enables communication regarding resolution of specific encounters across all areas of the CPAC revenue cycle; </w:t>
            </w:r>
            <w:r w:rsidRPr="00AC4B0C">
              <w:rPr>
                <w:rFonts w:ascii="Times New Roman" w:hAnsi="Times New Roman" w:cs="Times New Roman"/>
                <w:sz w:val="24"/>
                <w:szCs w:val="24"/>
              </w:rPr>
              <w:br/>
              <w:t>- enables effective monitoring, communication and resolution of various first party processes, including claims matching, bankruptcies, rep</w:t>
            </w:r>
            <w:r w:rsidRPr="00AC4B0C">
              <w:rPr>
                <w:rFonts w:ascii="Times New Roman" w:hAnsi="Times New Roman" w:cs="Times New Roman"/>
                <w:sz w:val="24"/>
                <w:szCs w:val="24"/>
              </w:rPr>
              <w:t xml:space="preserve">ayment plans, aged debt, etc., </w:t>
            </w:r>
            <w:r w:rsidRPr="00AC4B0C">
              <w:rPr>
                <w:rFonts w:ascii="Times New Roman" w:hAnsi="Times New Roman" w:cs="Times New Roman"/>
                <w:sz w:val="24"/>
                <w:szCs w:val="24"/>
              </w:rPr>
              <w:br/>
              <w:t>reducing the potential adverse Veteran first party debt impa</w:t>
            </w:r>
            <w:r w:rsidRPr="00AC4B0C">
              <w:rPr>
                <w:rFonts w:ascii="Times New Roman" w:hAnsi="Times New Roman" w:cs="Times New Roman"/>
                <w:sz w:val="24"/>
                <w:szCs w:val="24"/>
              </w:rPr>
              <w:t xml:space="preserve">ct? Can the government </w:t>
            </w:r>
            <w:r w:rsidRPr="00AC4B0C">
              <w:rPr>
                <w:rFonts w:ascii="Times New Roman" w:hAnsi="Times New Roman" w:cs="Times New Roman"/>
                <w:sz w:val="24"/>
                <w:szCs w:val="24"/>
              </w:rPr>
              <w:lastRenderedPageBreak/>
              <w:t>confirm if any other enablement is required, and provide the name of the tool planned to support these enablements?</w:t>
            </w:r>
          </w:p>
        </w:tc>
        <w:tc>
          <w:tcPr>
            <w:tcW w:w="5580" w:type="dxa"/>
            <w:tcBorders>
              <w:top w:val="nil"/>
              <w:left w:val="nil"/>
              <w:bottom w:val="single" w:sz="4" w:space="0" w:color="auto"/>
              <w:right w:val="single" w:sz="4" w:space="0" w:color="auto"/>
            </w:tcBorders>
            <w:shd w:val="clear" w:color="000000" w:fill="FFFFFF"/>
            <w:vAlign w:val="center"/>
          </w:tcPr>
          <w:p w14:paraId="2C7EEAD0"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lastRenderedPageBreak/>
              <w:t xml:space="preserve">The Government has listed the requirements in the PWS.  Please refer to </w:t>
            </w:r>
            <w:r w:rsidRPr="00AC4B0C">
              <w:rPr>
                <w:rFonts w:ascii="Times New Roman" w:hAnsi="Times New Roman" w:cs="Times New Roman"/>
                <w:sz w:val="24"/>
                <w:szCs w:val="24"/>
              </w:rPr>
              <w:t>PWS</w:t>
            </w:r>
            <w:r w:rsidRPr="00AC4B0C">
              <w:rPr>
                <w:rFonts w:ascii="Times New Roman" w:hAnsi="Times New Roman" w:cs="Times New Roman"/>
                <w:sz w:val="24"/>
                <w:szCs w:val="24"/>
              </w:rPr>
              <w:t xml:space="preserve">, section </w:t>
            </w:r>
            <w:r w:rsidRPr="00AC4B0C">
              <w:rPr>
                <w:rFonts w:ascii="Times New Roman" w:hAnsi="Times New Roman" w:cs="Times New Roman"/>
                <w:sz w:val="24"/>
                <w:szCs w:val="24"/>
              </w:rPr>
              <w:t xml:space="preserve">5.2. </w:t>
            </w:r>
          </w:p>
          <w:p w14:paraId="2C7EEAD1" w14:textId="77777777" w:rsidR="00AC4B0C" w:rsidRPr="00AC4B0C" w:rsidRDefault="00AC4B0C" w:rsidP="00AC4B0C">
            <w:pPr>
              <w:spacing w:after="0"/>
              <w:rPr>
                <w:rFonts w:ascii="Times New Roman" w:hAnsi="Times New Roman" w:cs="Times New Roman"/>
                <w:sz w:val="24"/>
                <w:szCs w:val="24"/>
              </w:rPr>
            </w:pPr>
          </w:p>
          <w:p w14:paraId="2C7EEAD2"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Revenue Operations do not require a specific tool.</w:t>
            </w:r>
          </w:p>
          <w:p w14:paraId="2C7EEAD3" w14:textId="77777777" w:rsidR="00AC4B0C" w:rsidRPr="00AC4B0C" w:rsidRDefault="00AC4B0C" w:rsidP="00AC4B0C">
            <w:pPr>
              <w:spacing w:after="0"/>
              <w:rPr>
                <w:rFonts w:ascii="Times New Roman" w:hAnsi="Times New Roman" w:cs="Times New Roman"/>
                <w:sz w:val="24"/>
                <w:szCs w:val="24"/>
              </w:rPr>
            </w:pPr>
          </w:p>
          <w:p w14:paraId="2C7EEAD4" w14:textId="77777777" w:rsidR="00AC4B0C" w:rsidRPr="00AC4B0C" w:rsidRDefault="00AC4B0C" w:rsidP="00AC4B0C">
            <w:pPr>
              <w:spacing w:after="0"/>
              <w:rPr>
                <w:rFonts w:ascii="Times New Roman" w:hAnsi="Times New Roman" w:cs="Times New Roman"/>
                <w:sz w:val="24"/>
                <w:szCs w:val="24"/>
              </w:rPr>
            </w:pPr>
          </w:p>
          <w:p w14:paraId="2C7EEAD5" w14:textId="77777777" w:rsidR="00AC4B0C" w:rsidRPr="00AC4B0C" w:rsidRDefault="00AC4B0C" w:rsidP="00AC4B0C">
            <w:pPr>
              <w:spacing w:after="0"/>
              <w:rPr>
                <w:rFonts w:ascii="Times New Roman" w:hAnsi="Times New Roman" w:cs="Times New Roman"/>
                <w:sz w:val="24"/>
                <w:szCs w:val="24"/>
              </w:rPr>
            </w:pPr>
          </w:p>
          <w:p w14:paraId="2C7EEAD6" w14:textId="77777777" w:rsidR="00AC4B0C" w:rsidRPr="00AC4B0C" w:rsidRDefault="00AC4B0C" w:rsidP="00AC4B0C">
            <w:pPr>
              <w:spacing w:after="0"/>
              <w:rPr>
                <w:rFonts w:ascii="Times New Roman" w:hAnsi="Times New Roman" w:cs="Times New Roman"/>
                <w:sz w:val="24"/>
                <w:szCs w:val="24"/>
              </w:rPr>
            </w:pPr>
          </w:p>
          <w:p w14:paraId="2C7EEAD7" w14:textId="77777777" w:rsidR="00AC4B0C" w:rsidRPr="00AC4B0C" w:rsidRDefault="00AC4B0C" w:rsidP="00AC4B0C">
            <w:pPr>
              <w:spacing w:after="0"/>
              <w:rPr>
                <w:rFonts w:ascii="Times New Roman" w:hAnsi="Times New Roman" w:cs="Times New Roman"/>
                <w:sz w:val="24"/>
                <w:szCs w:val="24"/>
              </w:rPr>
            </w:pPr>
          </w:p>
        </w:tc>
      </w:tr>
      <w:tr w:rsidR="00AC4B0C" w:rsidRPr="00AC4B0C" w14:paraId="2C7EEADE" w14:textId="77777777" w:rsidTr="00A92E6F">
        <w:trPr>
          <w:trHeight w:val="528"/>
        </w:trPr>
        <w:tc>
          <w:tcPr>
            <w:tcW w:w="1169" w:type="dxa"/>
            <w:tcBorders>
              <w:top w:val="nil"/>
              <w:left w:val="single" w:sz="4" w:space="0" w:color="auto"/>
              <w:bottom w:val="single" w:sz="4" w:space="0" w:color="auto"/>
              <w:right w:val="single" w:sz="4" w:space="0" w:color="auto"/>
            </w:tcBorders>
            <w:shd w:val="clear" w:color="000000" w:fill="FFFFFF"/>
            <w:vAlign w:val="center"/>
          </w:tcPr>
          <w:p w14:paraId="2C7EEAD9" w14:textId="77777777" w:rsidR="00AC4B0C" w:rsidRPr="00AC4B0C" w:rsidRDefault="00AC4B0C" w:rsidP="00AC4B0C">
            <w:pPr>
              <w:spacing w:after="0"/>
              <w:jc w:val="center"/>
              <w:rPr>
                <w:rFonts w:ascii="Times New Roman" w:hAnsi="Times New Roman" w:cs="Times New Roman"/>
                <w:sz w:val="24"/>
                <w:szCs w:val="24"/>
              </w:rPr>
            </w:pPr>
            <w:r w:rsidRPr="00AC4B0C">
              <w:rPr>
                <w:rFonts w:ascii="Times New Roman" w:hAnsi="Times New Roman" w:cs="Times New Roman"/>
                <w:sz w:val="24"/>
                <w:szCs w:val="24"/>
              </w:rPr>
              <w:t>5</w:t>
            </w:r>
          </w:p>
        </w:tc>
        <w:tc>
          <w:tcPr>
            <w:tcW w:w="1430" w:type="dxa"/>
            <w:tcBorders>
              <w:top w:val="nil"/>
              <w:left w:val="single" w:sz="4" w:space="0" w:color="auto"/>
              <w:bottom w:val="single" w:sz="4" w:space="0" w:color="auto"/>
              <w:right w:val="single" w:sz="4" w:space="0" w:color="auto"/>
            </w:tcBorders>
            <w:shd w:val="clear" w:color="000000" w:fill="FFFFFF"/>
            <w:noWrap/>
            <w:vAlign w:val="center"/>
          </w:tcPr>
          <w:p w14:paraId="2C7EEADA"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 xml:space="preserve">Section 5.2, page 26, 28, 29, 31 of 88, </w:t>
            </w:r>
            <w:r w:rsidRPr="00AC4B0C">
              <w:rPr>
                <w:rFonts w:ascii="Times New Roman" w:hAnsi="Times New Roman" w:cs="Times New Roman"/>
                <w:sz w:val="24"/>
                <w:szCs w:val="24"/>
              </w:rPr>
              <w:t>revenue operations workflow functionality and cloud computing</w:t>
            </w:r>
          </w:p>
        </w:tc>
        <w:tc>
          <w:tcPr>
            <w:tcW w:w="3251" w:type="dxa"/>
            <w:tcBorders>
              <w:top w:val="nil"/>
              <w:left w:val="nil"/>
              <w:bottom w:val="single" w:sz="4" w:space="0" w:color="auto"/>
              <w:right w:val="single" w:sz="4" w:space="0" w:color="auto"/>
            </w:tcBorders>
            <w:shd w:val="clear" w:color="000000" w:fill="FFFFFF"/>
            <w:vAlign w:val="center"/>
          </w:tcPr>
          <w:p w14:paraId="2C7EEADB"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 xml:space="preserve">Can the government please clarify if only an exclusive, legally binding, teaming </w:t>
            </w:r>
          </w:p>
          <w:p w14:paraId="2C7EEADC"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arrangement with Huron and MD Clarity PCT can provide the aforementioned software and services in a manner that will meet the requirements for the VA? Since Huron WFT and the MD Clarity PCT are both proprietary tools that are currently integrated in VA systems and processes; is it the government's intent to continue to use these tools?</w:t>
            </w:r>
          </w:p>
        </w:tc>
        <w:tc>
          <w:tcPr>
            <w:tcW w:w="5580" w:type="dxa"/>
            <w:tcBorders>
              <w:top w:val="nil"/>
              <w:left w:val="nil"/>
              <w:bottom w:val="single" w:sz="4" w:space="0" w:color="auto"/>
              <w:right w:val="single" w:sz="4" w:space="0" w:color="auto"/>
            </w:tcBorders>
            <w:shd w:val="clear" w:color="000000" w:fill="FFFFFF"/>
            <w:vAlign w:val="center"/>
          </w:tcPr>
          <w:p w14:paraId="2C7EEADD" w14:textId="77777777" w:rsidR="00AC4B0C" w:rsidRPr="00AC4B0C" w:rsidRDefault="00AC4B0C" w:rsidP="00AC4B0C">
            <w:pPr>
              <w:spacing w:after="0"/>
              <w:rPr>
                <w:rFonts w:ascii="Times New Roman" w:hAnsi="Times New Roman" w:cs="Times New Roman"/>
                <w:sz w:val="24"/>
                <w:szCs w:val="24"/>
              </w:rPr>
            </w:pPr>
            <w:r w:rsidRPr="00AC4B0C">
              <w:rPr>
                <w:rStyle w:val="cf01"/>
                <w:rFonts w:ascii="Times New Roman" w:eastAsiaTheme="majorEastAsia" w:hAnsi="Times New Roman" w:cs="Times New Roman"/>
              </w:rPr>
              <w:t xml:space="preserve">The </w:t>
            </w:r>
            <w:r w:rsidRPr="00AC4B0C">
              <w:rPr>
                <w:rStyle w:val="cf01"/>
                <w:rFonts w:ascii="Times New Roman" w:eastAsiaTheme="majorEastAsia" w:hAnsi="Times New Roman" w:cs="Times New Roman"/>
              </w:rPr>
              <w:t>G</w:t>
            </w:r>
            <w:r w:rsidRPr="00AC4B0C">
              <w:rPr>
                <w:rStyle w:val="cf01"/>
                <w:rFonts w:ascii="Times New Roman" w:eastAsiaTheme="majorEastAsia" w:hAnsi="Times New Roman" w:cs="Times New Roman"/>
              </w:rPr>
              <w:t xml:space="preserve">overnment’s intent is to utilize the best possible tool(s) to fulfil the VA’s need. This RFI is being used to determine </w:t>
            </w:r>
            <w:r w:rsidRPr="00AC4B0C">
              <w:rPr>
                <w:rStyle w:val="cf01"/>
                <w:rFonts w:ascii="Times New Roman" w:eastAsiaTheme="majorEastAsia" w:hAnsi="Times New Roman" w:cs="Times New Roman"/>
              </w:rPr>
              <w:t xml:space="preserve">the best approach to support </w:t>
            </w:r>
            <w:r w:rsidRPr="00AC4B0C">
              <w:rPr>
                <w:rStyle w:val="cf01"/>
                <w:rFonts w:ascii="Times New Roman" w:eastAsiaTheme="majorEastAsia" w:hAnsi="Times New Roman" w:cs="Times New Roman"/>
              </w:rPr>
              <w:t xml:space="preserve">the </w:t>
            </w:r>
            <w:r w:rsidRPr="00AC4B0C">
              <w:rPr>
                <w:rStyle w:val="cf01"/>
                <w:rFonts w:ascii="Times New Roman" w:eastAsiaTheme="majorEastAsia" w:hAnsi="Times New Roman" w:cs="Times New Roman"/>
              </w:rPr>
              <w:t>Revenue Operation</w:t>
            </w:r>
            <w:r w:rsidRPr="00AC4B0C">
              <w:rPr>
                <w:rStyle w:val="cf01"/>
                <w:rFonts w:ascii="Times New Roman" w:eastAsiaTheme="majorEastAsia" w:hAnsi="Times New Roman" w:cs="Times New Roman"/>
              </w:rPr>
              <w:t xml:space="preserve">s team. </w:t>
            </w:r>
          </w:p>
        </w:tc>
      </w:tr>
      <w:tr w:rsidR="00AC4B0C" w:rsidRPr="00AC4B0C" w14:paraId="2C7EEAE3" w14:textId="77777777" w:rsidTr="00A92E6F">
        <w:trPr>
          <w:trHeight w:val="528"/>
        </w:trPr>
        <w:tc>
          <w:tcPr>
            <w:tcW w:w="1169" w:type="dxa"/>
            <w:tcBorders>
              <w:top w:val="nil"/>
              <w:left w:val="single" w:sz="4" w:space="0" w:color="auto"/>
              <w:bottom w:val="single" w:sz="4" w:space="0" w:color="auto"/>
              <w:right w:val="single" w:sz="4" w:space="0" w:color="auto"/>
            </w:tcBorders>
            <w:shd w:val="clear" w:color="000000" w:fill="FFFFFF"/>
            <w:vAlign w:val="center"/>
          </w:tcPr>
          <w:p w14:paraId="2C7EEADF" w14:textId="77777777" w:rsidR="00AC4B0C" w:rsidRPr="00AC4B0C" w:rsidRDefault="00AC4B0C" w:rsidP="00AC4B0C">
            <w:pPr>
              <w:spacing w:after="0"/>
              <w:jc w:val="center"/>
              <w:rPr>
                <w:rFonts w:ascii="Times New Roman" w:hAnsi="Times New Roman" w:cs="Times New Roman"/>
                <w:sz w:val="24"/>
                <w:szCs w:val="24"/>
              </w:rPr>
            </w:pPr>
            <w:r w:rsidRPr="00AC4B0C">
              <w:rPr>
                <w:rFonts w:ascii="Times New Roman" w:hAnsi="Times New Roman" w:cs="Times New Roman"/>
                <w:sz w:val="24"/>
                <w:szCs w:val="24"/>
              </w:rPr>
              <w:t>6</w:t>
            </w:r>
          </w:p>
        </w:tc>
        <w:tc>
          <w:tcPr>
            <w:tcW w:w="1430" w:type="dxa"/>
            <w:tcBorders>
              <w:top w:val="nil"/>
              <w:left w:val="single" w:sz="4" w:space="0" w:color="auto"/>
              <w:bottom w:val="single" w:sz="4" w:space="0" w:color="auto"/>
              <w:right w:val="single" w:sz="4" w:space="0" w:color="auto"/>
            </w:tcBorders>
            <w:shd w:val="clear" w:color="000000" w:fill="FFFFFF"/>
            <w:noWrap/>
            <w:vAlign w:val="center"/>
          </w:tcPr>
          <w:p w14:paraId="2C7EEAE0"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Section 5.2, page 26, 28, 29, 31 of 88, revenue operations workflow functionality and cloud computing</w:t>
            </w:r>
          </w:p>
        </w:tc>
        <w:tc>
          <w:tcPr>
            <w:tcW w:w="3251" w:type="dxa"/>
            <w:tcBorders>
              <w:top w:val="nil"/>
              <w:left w:val="nil"/>
              <w:bottom w:val="single" w:sz="4" w:space="0" w:color="auto"/>
              <w:right w:val="single" w:sz="4" w:space="0" w:color="auto"/>
            </w:tcBorders>
            <w:shd w:val="clear" w:color="000000" w:fill="FFFFFF"/>
            <w:vAlign w:val="center"/>
          </w:tcPr>
          <w:p w14:paraId="2C7EEAE1"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Will the government consider alternate technologies with COTS/SaaS integrated LC/NC RO case management solutions, such as those based on Pega? Will the government accept AoA recommendations from technical experts who have reviewed alternative software solutions including those from Experian Health, Thrive, and SSI Healthcare Revenue Cycle Solutions?</w:t>
            </w:r>
          </w:p>
        </w:tc>
        <w:tc>
          <w:tcPr>
            <w:tcW w:w="5580" w:type="dxa"/>
            <w:tcBorders>
              <w:top w:val="nil"/>
              <w:left w:val="nil"/>
              <w:bottom w:val="single" w:sz="4" w:space="0" w:color="auto"/>
              <w:right w:val="single" w:sz="4" w:space="0" w:color="auto"/>
            </w:tcBorders>
            <w:shd w:val="clear" w:color="000000" w:fill="FFFFFF"/>
            <w:vAlign w:val="center"/>
          </w:tcPr>
          <w:p w14:paraId="2C7EEAE2"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 xml:space="preserve">Yes, the </w:t>
            </w:r>
            <w:r w:rsidRPr="00AC4B0C">
              <w:rPr>
                <w:rFonts w:ascii="Times New Roman" w:hAnsi="Times New Roman" w:cs="Times New Roman"/>
                <w:sz w:val="24"/>
                <w:szCs w:val="24"/>
              </w:rPr>
              <w:t>G</w:t>
            </w:r>
            <w:r w:rsidRPr="00AC4B0C">
              <w:rPr>
                <w:rFonts w:ascii="Times New Roman" w:hAnsi="Times New Roman" w:cs="Times New Roman"/>
                <w:sz w:val="24"/>
                <w:szCs w:val="24"/>
              </w:rPr>
              <w:t xml:space="preserve">overnment </w:t>
            </w:r>
            <w:r w:rsidRPr="00AC4B0C">
              <w:rPr>
                <w:rFonts w:ascii="Times New Roman" w:hAnsi="Times New Roman" w:cs="Times New Roman"/>
                <w:sz w:val="24"/>
                <w:szCs w:val="24"/>
              </w:rPr>
              <w:t xml:space="preserve">will consider </w:t>
            </w:r>
            <w:r w:rsidRPr="00AC4B0C">
              <w:rPr>
                <w:rFonts w:ascii="Times New Roman" w:hAnsi="Times New Roman" w:cs="Times New Roman"/>
                <w:sz w:val="24"/>
                <w:szCs w:val="24"/>
              </w:rPr>
              <w:t>differing</w:t>
            </w:r>
            <w:r w:rsidRPr="00AC4B0C">
              <w:rPr>
                <w:rFonts w:ascii="Times New Roman" w:hAnsi="Times New Roman" w:cs="Times New Roman"/>
                <w:sz w:val="24"/>
                <w:szCs w:val="24"/>
              </w:rPr>
              <w:t xml:space="preserve"> </w:t>
            </w:r>
            <w:r w:rsidRPr="00AC4B0C">
              <w:rPr>
                <w:rFonts w:ascii="Times New Roman" w:hAnsi="Times New Roman" w:cs="Times New Roman"/>
                <w:sz w:val="24"/>
                <w:szCs w:val="24"/>
              </w:rPr>
              <w:t>avenues that best support alternative technologies and strategies from</w:t>
            </w:r>
            <w:r w:rsidRPr="00AC4B0C">
              <w:rPr>
                <w:rFonts w:ascii="Times New Roman" w:hAnsi="Times New Roman" w:cs="Times New Roman"/>
                <w:sz w:val="24"/>
                <w:szCs w:val="24"/>
              </w:rPr>
              <w:t xml:space="preserve"> </w:t>
            </w:r>
            <w:r w:rsidRPr="00AC4B0C">
              <w:rPr>
                <w:rFonts w:ascii="Times New Roman" w:hAnsi="Times New Roman" w:cs="Times New Roman"/>
                <w:sz w:val="24"/>
                <w:szCs w:val="24"/>
              </w:rPr>
              <w:t>a cost</w:t>
            </w:r>
            <w:r w:rsidRPr="00AC4B0C">
              <w:rPr>
                <w:rFonts w:ascii="Times New Roman" w:hAnsi="Times New Roman" w:cs="Times New Roman"/>
                <w:sz w:val="24"/>
                <w:szCs w:val="24"/>
              </w:rPr>
              <w:t>, capability,</w:t>
            </w:r>
            <w:r w:rsidRPr="00AC4B0C">
              <w:rPr>
                <w:rFonts w:ascii="Times New Roman" w:hAnsi="Times New Roman" w:cs="Times New Roman"/>
                <w:sz w:val="24"/>
                <w:szCs w:val="24"/>
              </w:rPr>
              <w:t xml:space="preserve"> and Veteran impact perspective.</w:t>
            </w:r>
          </w:p>
        </w:tc>
      </w:tr>
      <w:tr w:rsidR="00AC4B0C" w:rsidRPr="00AC4B0C" w14:paraId="2C7EEAE8" w14:textId="77777777" w:rsidTr="00A92E6F">
        <w:trPr>
          <w:trHeight w:val="528"/>
        </w:trPr>
        <w:tc>
          <w:tcPr>
            <w:tcW w:w="1169" w:type="dxa"/>
            <w:tcBorders>
              <w:top w:val="nil"/>
              <w:left w:val="single" w:sz="4" w:space="0" w:color="auto"/>
              <w:bottom w:val="single" w:sz="4" w:space="0" w:color="auto"/>
              <w:right w:val="single" w:sz="4" w:space="0" w:color="auto"/>
            </w:tcBorders>
            <w:shd w:val="clear" w:color="000000" w:fill="FFFFFF"/>
            <w:vAlign w:val="center"/>
          </w:tcPr>
          <w:p w14:paraId="2C7EEAE4" w14:textId="77777777" w:rsidR="00AC4B0C" w:rsidRPr="00AC4B0C" w:rsidRDefault="00AC4B0C" w:rsidP="00AC4B0C">
            <w:pPr>
              <w:spacing w:after="0"/>
              <w:jc w:val="center"/>
              <w:rPr>
                <w:rFonts w:ascii="Times New Roman" w:hAnsi="Times New Roman" w:cs="Times New Roman"/>
                <w:sz w:val="24"/>
                <w:szCs w:val="24"/>
              </w:rPr>
            </w:pPr>
            <w:r w:rsidRPr="00AC4B0C">
              <w:rPr>
                <w:rFonts w:ascii="Times New Roman" w:hAnsi="Times New Roman" w:cs="Times New Roman"/>
                <w:sz w:val="24"/>
                <w:szCs w:val="24"/>
              </w:rPr>
              <w:t>7</w:t>
            </w:r>
          </w:p>
        </w:tc>
        <w:tc>
          <w:tcPr>
            <w:tcW w:w="1430" w:type="dxa"/>
            <w:tcBorders>
              <w:top w:val="nil"/>
              <w:left w:val="single" w:sz="4" w:space="0" w:color="auto"/>
              <w:bottom w:val="single" w:sz="4" w:space="0" w:color="auto"/>
              <w:right w:val="single" w:sz="4" w:space="0" w:color="auto"/>
            </w:tcBorders>
            <w:shd w:val="clear" w:color="000000" w:fill="FFFFFF"/>
            <w:noWrap/>
            <w:vAlign w:val="center"/>
          </w:tcPr>
          <w:p w14:paraId="2C7EEAE5"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Section 5.2, page 25, 26, 28, 29, 31 of 88, revenue operations workflow functionality and cloud computing</w:t>
            </w:r>
          </w:p>
        </w:tc>
        <w:tc>
          <w:tcPr>
            <w:tcW w:w="3251" w:type="dxa"/>
            <w:tcBorders>
              <w:top w:val="nil"/>
              <w:left w:val="nil"/>
              <w:bottom w:val="single" w:sz="4" w:space="0" w:color="auto"/>
              <w:right w:val="single" w:sz="4" w:space="0" w:color="auto"/>
            </w:tcBorders>
            <w:shd w:val="clear" w:color="000000" w:fill="FFFFFF"/>
            <w:vAlign w:val="center"/>
          </w:tcPr>
          <w:p w14:paraId="2C7EEAE6"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 xml:space="preserve">Can the government please clarify the status of efforts and development of health RPA enhancements to ROWTE, stipulated under DMND0013072 and DMND0012317, related to RPA configurations and automations to enhance billing </w:t>
            </w:r>
            <w:r w:rsidRPr="00AC4B0C">
              <w:rPr>
                <w:rFonts w:ascii="Times New Roman" w:hAnsi="Times New Roman" w:cs="Times New Roman"/>
                <w:sz w:val="24"/>
                <w:szCs w:val="24"/>
              </w:rPr>
              <w:lastRenderedPageBreak/>
              <w:t>operations and efficiency. Have the requirements to redirect over 333,473 hours and up to 52 FTEs annually to other revenue priorities been met, enhancing productivity and reducing errors? How many RPA agents are deployed in production and what is their specific purpose?</w:t>
            </w:r>
          </w:p>
        </w:tc>
        <w:tc>
          <w:tcPr>
            <w:tcW w:w="5580" w:type="dxa"/>
            <w:tcBorders>
              <w:top w:val="nil"/>
              <w:left w:val="nil"/>
              <w:bottom w:val="single" w:sz="4" w:space="0" w:color="auto"/>
              <w:right w:val="single" w:sz="4" w:space="0" w:color="auto"/>
            </w:tcBorders>
            <w:shd w:val="clear" w:color="000000" w:fill="FFFFFF"/>
            <w:vAlign w:val="center"/>
          </w:tcPr>
          <w:p w14:paraId="2C7EEAE7"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lastRenderedPageBreak/>
              <w:t>No</w:t>
            </w:r>
            <w:r w:rsidRPr="00AC4B0C">
              <w:rPr>
                <w:rFonts w:ascii="Times New Roman" w:hAnsi="Times New Roman" w:cs="Times New Roman"/>
                <w:sz w:val="24"/>
                <w:szCs w:val="24"/>
              </w:rPr>
              <w:t xml:space="preserve">, </w:t>
            </w:r>
            <w:r w:rsidRPr="00AC4B0C">
              <w:rPr>
                <w:rFonts w:ascii="Times New Roman" w:hAnsi="Times New Roman" w:cs="Times New Roman"/>
                <w:sz w:val="24"/>
                <w:szCs w:val="24"/>
              </w:rPr>
              <w:t>the answers to these questions will not be provided</w:t>
            </w:r>
            <w:r w:rsidRPr="00AC4B0C">
              <w:rPr>
                <w:rFonts w:ascii="Times New Roman" w:hAnsi="Times New Roman" w:cs="Times New Roman"/>
                <w:sz w:val="24"/>
                <w:szCs w:val="24"/>
              </w:rPr>
              <w:t>.</w:t>
            </w:r>
          </w:p>
        </w:tc>
      </w:tr>
      <w:tr w:rsidR="00AC4B0C" w:rsidRPr="00AC4B0C" w14:paraId="2C7EEAED" w14:textId="77777777" w:rsidTr="00A92E6F">
        <w:trPr>
          <w:trHeight w:val="528"/>
        </w:trPr>
        <w:tc>
          <w:tcPr>
            <w:tcW w:w="1169" w:type="dxa"/>
            <w:tcBorders>
              <w:top w:val="nil"/>
              <w:left w:val="single" w:sz="4" w:space="0" w:color="auto"/>
              <w:bottom w:val="single" w:sz="4" w:space="0" w:color="auto"/>
              <w:right w:val="single" w:sz="4" w:space="0" w:color="auto"/>
            </w:tcBorders>
            <w:shd w:val="clear" w:color="000000" w:fill="FFFFFF"/>
            <w:vAlign w:val="center"/>
          </w:tcPr>
          <w:p w14:paraId="2C7EEAE9" w14:textId="77777777" w:rsidR="00AC4B0C" w:rsidRPr="00AC4B0C" w:rsidRDefault="00AC4B0C" w:rsidP="00AC4B0C">
            <w:pPr>
              <w:spacing w:after="0"/>
              <w:jc w:val="center"/>
              <w:rPr>
                <w:rFonts w:ascii="Times New Roman" w:hAnsi="Times New Roman" w:cs="Times New Roman"/>
                <w:sz w:val="24"/>
                <w:szCs w:val="24"/>
              </w:rPr>
            </w:pPr>
            <w:r w:rsidRPr="00AC4B0C">
              <w:rPr>
                <w:rFonts w:ascii="Times New Roman" w:hAnsi="Times New Roman" w:cs="Times New Roman"/>
                <w:sz w:val="24"/>
                <w:szCs w:val="24"/>
              </w:rPr>
              <w:t>8</w:t>
            </w:r>
          </w:p>
        </w:tc>
        <w:tc>
          <w:tcPr>
            <w:tcW w:w="1430" w:type="dxa"/>
            <w:tcBorders>
              <w:top w:val="nil"/>
              <w:left w:val="single" w:sz="4" w:space="0" w:color="auto"/>
              <w:bottom w:val="single" w:sz="4" w:space="0" w:color="auto"/>
              <w:right w:val="single" w:sz="4" w:space="0" w:color="auto"/>
            </w:tcBorders>
            <w:shd w:val="clear" w:color="000000" w:fill="FFFFFF"/>
            <w:noWrap/>
            <w:vAlign w:val="center"/>
          </w:tcPr>
          <w:p w14:paraId="2C7EEAEA"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Section 5.2, page 25, 26, 28, 29, 31 of 88, revenue operations workflow functionality and cloud computing</w:t>
            </w:r>
          </w:p>
        </w:tc>
        <w:tc>
          <w:tcPr>
            <w:tcW w:w="3251" w:type="dxa"/>
            <w:tcBorders>
              <w:top w:val="nil"/>
              <w:left w:val="nil"/>
              <w:bottom w:val="single" w:sz="4" w:space="0" w:color="auto"/>
              <w:right w:val="single" w:sz="4" w:space="0" w:color="auto"/>
            </w:tcBorders>
            <w:shd w:val="clear" w:color="000000" w:fill="FFFFFF"/>
            <w:vAlign w:val="center"/>
          </w:tcPr>
          <w:p w14:paraId="2C7EEAEB"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Can the government please clarify if this procurement is planned to be solicited under T4NG? Historically, VA11816F10150005, was solicited as FAR 16.505(b)1 Fair Opportunity, later, FAR 16.505(b)2ii One Source was used for procurements T4NG-0476 and T4NG-0648. What vehicle will be used for this procurement, and will it be fair and open?</w:t>
            </w:r>
          </w:p>
        </w:tc>
        <w:tc>
          <w:tcPr>
            <w:tcW w:w="5580" w:type="dxa"/>
            <w:tcBorders>
              <w:top w:val="nil"/>
              <w:left w:val="nil"/>
              <w:bottom w:val="single" w:sz="4" w:space="0" w:color="auto"/>
              <w:right w:val="single" w:sz="4" w:space="0" w:color="auto"/>
            </w:tcBorders>
            <w:shd w:val="clear" w:color="000000" w:fill="FFFFFF"/>
            <w:vAlign w:val="center"/>
          </w:tcPr>
          <w:p w14:paraId="2C7EEAEC" w14:textId="77777777" w:rsidR="00AC4B0C" w:rsidRPr="00AC4B0C" w:rsidRDefault="00AC4B0C" w:rsidP="00AC4B0C">
            <w:pPr>
              <w:spacing w:after="0"/>
              <w:rPr>
                <w:rFonts w:ascii="Times New Roman" w:hAnsi="Times New Roman" w:cs="Times New Roman"/>
                <w:sz w:val="24"/>
                <w:szCs w:val="24"/>
              </w:rPr>
            </w:pPr>
            <w:r w:rsidRPr="00AC4B0C">
              <w:rPr>
                <w:rFonts w:ascii="Times New Roman" w:hAnsi="Times New Roman" w:cs="Times New Roman"/>
                <w:sz w:val="24"/>
                <w:szCs w:val="24"/>
              </w:rPr>
              <w:t xml:space="preserve">The ordering period for T4NG has ended and will not be used </w:t>
            </w:r>
            <w:r w:rsidRPr="00AC4B0C">
              <w:rPr>
                <w:rFonts w:ascii="Times New Roman" w:hAnsi="Times New Roman" w:cs="Times New Roman"/>
                <w:sz w:val="24"/>
                <w:szCs w:val="24"/>
              </w:rPr>
              <w:t xml:space="preserve">for this acquisition.  The Government is conducting market research </w:t>
            </w:r>
            <w:r w:rsidRPr="00AC4B0C">
              <w:rPr>
                <w:rFonts w:ascii="Times New Roman" w:hAnsi="Times New Roman" w:cs="Times New Roman"/>
                <w:sz w:val="24"/>
                <w:szCs w:val="24"/>
              </w:rPr>
              <w:t>to</w:t>
            </w:r>
            <w:r w:rsidRPr="00AC4B0C">
              <w:rPr>
                <w:rFonts w:ascii="Times New Roman" w:hAnsi="Times New Roman" w:cs="Times New Roman"/>
                <w:sz w:val="24"/>
                <w:szCs w:val="24"/>
              </w:rPr>
              <w:t xml:space="preserve"> determine the best acquisition strategy to include any other potential contract vehicles.</w:t>
            </w:r>
          </w:p>
        </w:tc>
      </w:tr>
    </w:tbl>
    <w:p w14:paraId="2C7EEAEE" w14:textId="77777777" w:rsidR="00AC4B0C" w:rsidRPr="00AC4B0C" w:rsidRDefault="00AC4B0C" w:rsidP="00AC4B0C">
      <w:pPr>
        <w:spacing w:after="0"/>
        <w:rPr>
          <w:rFonts w:ascii="Times New Roman" w:hAnsi="Times New Roman" w:cs="Times New Roman"/>
          <w:sz w:val="24"/>
          <w:szCs w:val="24"/>
        </w:rPr>
      </w:pPr>
    </w:p>
    <w:sectPr w:rsidR="00320AD1" w:rsidRPr="00AC4B0C">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7EEAFF" w14:textId="77777777" w:rsidR="00AC4B0C" w:rsidRDefault="00AC4B0C">
      <w:pPr>
        <w:spacing w:after="0" w:line="240" w:lineRule="auto"/>
      </w:pPr>
      <w:r>
        <w:separator/>
      </w:r>
    </w:p>
  </w:endnote>
  <w:endnote w:type="continuationSeparator" w:id="0">
    <w:p w14:paraId="2C7EEB01" w14:textId="77777777" w:rsidR="00AC4B0C" w:rsidRDefault="00AC4B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F5228" w14:paraId="2C7EEAF2" w14:textId="77777777" w:rsidTr="00D936C0">
      <w:tc>
        <w:tcPr>
          <w:tcW w:w="4788" w:type="dxa"/>
        </w:tcPr>
        <w:p w14:paraId="2C7EEAF0" w14:textId="77777777" w:rsidR="00AC4B0C" w:rsidRDefault="00AC4B0C" w:rsidP="00D936C0">
          <w:pPr>
            <w:pStyle w:val="Footer"/>
          </w:pPr>
        </w:p>
      </w:tc>
      <w:tc>
        <w:tcPr>
          <w:tcW w:w="4788" w:type="dxa"/>
        </w:tcPr>
        <w:p w14:paraId="2C7EEAF1" w14:textId="77777777" w:rsidR="00AC4B0C" w:rsidRDefault="00AC4B0C" w:rsidP="00D936C0">
          <w:pPr>
            <w:pStyle w:val="Footer"/>
            <w:jc w:val="right"/>
          </w:pPr>
          <w:r>
            <w:t>Modification to a Previous Notice</w:t>
          </w:r>
        </w:p>
      </w:tc>
    </w:tr>
  </w:tbl>
  <w:p w14:paraId="2C7EEAF3" w14:textId="77777777" w:rsidR="00AC4B0C" w:rsidRDefault="00AC4B0C" w:rsidP="00D936C0">
    <w:pPr>
      <w:pStyle w:val="Footer"/>
    </w:pPr>
  </w:p>
  <w:p w14:paraId="2C7EEAF4" w14:textId="77777777" w:rsidR="00EF5228" w:rsidRDefault="00AC4B0C">
    <w:pPr>
      <w:pStyle w:val="Header"/>
      <w:jc w:val="right"/>
    </w:pPr>
    <w:r>
      <w:t xml:space="preserve">Page </w:t>
    </w:r>
    <w:r>
      <w:fldChar w:fldCharType="begin"/>
    </w:r>
    <w:r>
      <w:instrText xml:space="preserve"> PAGE   \* MERGEFORMAT </w:instrText>
    </w:r>
    <w:r>
      <w:fldChar w:fldCharType="separate"/>
    </w:r>
    <w:r>
      <w:t>7</w:t>
    </w:r>
    <w:r>
      <w:fldChar w:fldCharType="end"/>
    </w:r>
    <w:r>
      <w:t xml:space="preserve"> of </w:t>
    </w:r>
    <w:r>
      <w:fldChar w:fldCharType="begin"/>
    </w:r>
    <w:r>
      <w:instrText xml:space="preserve"> NUMPAGES   \* MERGEFORMAT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EF5228" w14:paraId="2C7EEAF8" w14:textId="77777777" w:rsidTr="00D936C0">
      <w:tc>
        <w:tcPr>
          <w:tcW w:w="4788" w:type="dxa"/>
        </w:tcPr>
        <w:p w14:paraId="2C7EEAF6" w14:textId="77777777" w:rsidR="00AC4B0C" w:rsidRDefault="00AC4B0C">
          <w:pPr>
            <w:pStyle w:val="Footer"/>
          </w:pPr>
          <w:r w:rsidRPr="00D936C0">
            <w:t>*= Required Field</w:t>
          </w:r>
        </w:p>
      </w:tc>
      <w:tc>
        <w:tcPr>
          <w:tcW w:w="4788" w:type="dxa"/>
        </w:tcPr>
        <w:p w14:paraId="2C7EEAF7" w14:textId="77777777" w:rsidR="00AC4B0C" w:rsidRDefault="00AC4B0C" w:rsidP="00D936C0">
          <w:pPr>
            <w:pStyle w:val="Footer"/>
            <w:jc w:val="right"/>
          </w:pPr>
          <w:r>
            <w:t>Modification to a Previous Notice</w:t>
          </w:r>
        </w:p>
      </w:tc>
    </w:tr>
  </w:tbl>
  <w:p w14:paraId="2C7EEAF9" w14:textId="77777777" w:rsidR="00AC4B0C" w:rsidRDefault="00AC4B0C">
    <w:pPr>
      <w:pStyle w:val="Footer"/>
    </w:pPr>
  </w:p>
  <w:p w14:paraId="2C7EEAFA" w14:textId="77777777" w:rsidR="00EF5228" w:rsidRDefault="00AC4B0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7</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7EEAFB" w14:textId="77777777" w:rsidR="00AC4B0C" w:rsidRDefault="00AC4B0C">
      <w:pPr>
        <w:spacing w:after="0" w:line="240" w:lineRule="auto"/>
      </w:pPr>
      <w:r>
        <w:separator/>
      </w:r>
    </w:p>
  </w:footnote>
  <w:footnote w:type="continuationSeparator" w:id="0">
    <w:p w14:paraId="2C7EEAFD" w14:textId="77777777" w:rsidR="00AC4B0C" w:rsidRDefault="00AC4B0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EAEF" w14:textId="77777777" w:rsidR="00AC4B0C" w:rsidRPr="009B187F" w:rsidRDefault="00AC4B0C" w:rsidP="009B187F">
    <w:pPr>
      <w:pStyle w:val="Heading1"/>
      <w:jc w:val="center"/>
      <w:rPr>
        <w:rFonts w:eastAsia="Times New Roman"/>
        <w:sz w:val="36"/>
      </w:rPr>
    </w:pPr>
    <w:r w:rsidRPr="003A2EE7">
      <w:rPr>
        <w:rFonts w:eastAsia="Times New Roman"/>
        <w:sz w:val="36"/>
      </w:rPr>
      <w:t>Modification to a Previous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7EEAF5" w14:textId="77777777" w:rsidR="00AC4B0C" w:rsidRPr="001016DD" w:rsidRDefault="00AC4B0C" w:rsidP="001016DD">
    <w:pPr>
      <w:pStyle w:val="Heading1"/>
      <w:jc w:val="center"/>
      <w:rPr>
        <w:rFonts w:eastAsia="Times New Roman"/>
        <w:sz w:val="36"/>
      </w:rPr>
    </w:pPr>
    <w:r w:rsidRPr="003A2EE7">
      <w:rPr>
        <w:rFonts w:eastAsia="Times New Roman"/>
        <w:sz w:val="36"/>
      </w:rPr>
      <w:t>Modification to a Previous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5228"/>
    <w:rsid w:val="001A6C78"/>
    <w:rsid w:val="00AC4B0C"/>
    <w:rsid w:val="00EF52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7EEA4F"/>
  <w15:docId w15:val="{B0E91C87-6942-4D01-B70C-F88B75268515}"/>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1F4EB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4EB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4EB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4EB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link w:val="NoSpacingChar"/>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9A37C8"/>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D936C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1F4E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4E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4E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4EB6"/>
    <w:rPr>
      <w:rFonts w:eastAsiaTheme="majorEastAsia" w:cstheme="majorBidi"/>
      <w:color w:val="272727" w:themeColor="text1" w:themeTint="D8"/>
    </w:rPr>
  </w:style>
  <w:style w:type="paragraph" w:styleId="Quote">
    <w:name w:val="Quote"/>
    <w:basedOn w:val="Normal"/>
    <w:next w:val="Normal"/>
    <w:link w:val="QuoteChar"/>
    <w:uiPriority w:val="29"/>
    <w:qFormat/>
    <w:rsid w:val="001F4EB6"/>
    <w:pPr>
      <w:spacing w:before="160"/>
      <w:jc w:val="center"/>
    </w:pPr>
    <w:rPr>
      <w:i/>
      <w:iCs/>
      <w:color w:val="404040" w:themeColor="text1" w:themeTint="BF"/>
    </w:rPr>
  </w:style>
  <w:style w:type="character" w:customStyle="1" w:styleId="QuoteChar">
    <w:name w:val="Quote Char"/>
    <w:basedOn w:val="DefaultParagraphFont"/>
    <w:link w:val="Quote"/>
    <w:uiPriority w:val="29"/>
    <w:rsid w:val="001F4EB6"/>
    <w:rPr>
      <w:i/>
      <w:iCs/>
      <w:color w:val="404040" w:themeColor="text1" w:themeTint="BF"/>
    </w:rPr>
  </w:style>
  <w:style w:type="paragraph" w:styleId="IntenseQuote">
    <w:name w:val="Intense Quote"/>
    <w:basedOn w:val="Normal"/>
    <w:next w:val="Normal"/>
    <w:link w:val="IntenseQuoteChar"/>
    <w:uiPriority w:val="30"/>
    <w:qFormat/>
    <w:rsid w:val="001F4EB6"/>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1F4EB6"/>
    <w:rPr>
      <w:i/>
      <w:iCs/>
      <w:color w:val="365F91" w:themeColor="accent1" w:themeShade="BF"/>
    </w:rPr>
  </w:style>
  <w:style w:type="character" w:styleId="IntenseReference">
    <w:name w:val="Intense Reference"/>
    <w:basedOn w:val="DefaultParagraphFont"/>
    <w:uiPriority w:val="32"/>
    <w:qFormat/>
    <w:rsid w:val="001F4EB6"/>
    <w:rPr>
      <w:b/>
      <w:bCs/>
      <w:smallCaps/>
      <w:color w:val="365F91" w:themeColor="accent1" w:themeShade="BF"/>
      <w:spacing w:val="5"/>
    </w:rPr>
  </w:style>
  <w:style w:type="character" w:styleId="Emphasis">
    <w:name w:val="Emphasis"/>
    <w:basedOn w:val="DefaultParagraphFont"/>
    <w:uiPriority w:val="20"/>
    <w:qFormat/>
    <w:rsid w:val="00A92E6F"/>
    <w:rPr>
      <w:rFonts w:ascii="Arial" w:hAnsi="Arial" w:cs="Times New Roman"/>
      <w:b/>
      <w:i/>
      <w:iCs/>
      <w:color w:val="0070C0"/>
    </w:rPr>
  </w:style>
  <w:style w:type="character" w:customStyle="1" w:styleId="NoSpacingChar">
    <w:name w:val="No Spacing Char"/>
    <w:basedOn w:val="DefaultParagraphFont"/>
    <w:link w:val="NoSpacing"/>
    <w:uiPriority w:val="1"/>
    <w:locked/>
    <w:rsid w:val="00A92E6F"/>
    <w:rPr>
      <w:rFonts w:ascii="Arial" w:eastAsia="Times New Roman" w:hAnsi="Arial" w:cs="Times New Roman"/>
      <w:kern w:val="0"/>
      <w14:ligatures w14:val="none"/>
    </w:rPr>
  </w:style>
  <w:style w:type="paragraph" w:styleId="Revision">
    <w:name w:val="Revision"/>
    <w:hidden/>
    <w:uiPriority w:val="99"/>
    <w:semiHidden/>
    <w:rsid w:val="008C0FE2"/>
    <w:pPr>
      <w:spacing w:after="0" w:line="240" w:lineRule="auto"/>
    </w:pPr>
    <w:rPr>
      <w:rFonts w:ascii="Times New Roman" w:eastAsia="Times New Roman" w:hAnsi="Times New Roman" w:cs="Times New Roman"/>
      <w:lang w:bidi="en-US"/>
    </w:rPr>
  </w:style>
  <w:style w:type="character" w:styleId="CommentReference">
    <w:name w:val="annotation reference"/>
    <w:basedOn w:val="DefaultParagraphFont"/>
    <w:uiPriority w:val="99"/>
    <w:semiHidden/>
    <w:unhideWhenUsed/>
    <w:rsid w:val="001A34C4"/>
    <w:rPr>
      <w:sz w:val="16"/>
      <w:szCs w:val="16"/>
    </w:rPr>
  </w:style>
  <w:style w:type="paragraph" w:styleId="CommentSubject">
    <w:name w:val="annotation subject"/>
    <w:basedOn w:val="CommentText"/>
    <w:next w:val="CommentText"/>
    <w:link w:val="CommentSubjectChar"/>
    <w:uiPriority w:val="99"/>
    <w:semiHidden/>
    <w:unhideWhenUsed/>
    <w:rsid w:val="001A34C4"/>
    <w:rPr>
      <w:b/>
      <w:bCs/>
    </w:rPr>
  </w:style>
  <w:style w:type="character" w:customStyle="1" w:styleId="CommentSubjectChar">
    <w:name w:val="Comment Subject Char"/>
    <w:basedOn w:val="CommentTextChar"/>
    <w:link w:val="CommentSubject"/>
    <w:uiPriority w:val="99"/>
    <w:semiHidden/>
    <w:rsid w:val="001A34C4"/>
    <w:rPr>
      <w:rFonts w:ascii="Times New Roman" w:eastAsia="Times New Roman" w:hAnsi="Times New Roman" w:cs="Times New Roman"/>
      <w:b/>
      <w:bCs/>
      <w:i/>
      <w:color w:val="808080" w:themeColor="background1" w:themeShade="80"/>
      <w:kern w:val="0"/>
      <w:sz w:val="20"/>
      <w:szCs w:val="20"/>
      <w:lang w:bidi="en-US"/>
      <w14:ligatures w14:val="none"/>
    </w:rPr>
  </w:style>
  <w:style w:type="character" w:customStyle="1" w:styleId="cf01">
    <w:name w:val="cf01"/>
    <w:basedOn w:val="DefaultParagraphFont"/>
    <w:rsid w:val="00740EEA"/>
    <w:rPr>
      <w:rFonts w:ascii="Segoe UI" w:hAnsi="Segoe UI" w:cs="Segoe UI" w:hint="defaul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6</Pages>
  <Words>1026</Words>
  <Characters>6035</Characters>
  <Application>Microsoft Office Word</Application>
  <DocSecurity>0</DocSecurity>
  <Lines>377</Lines>
  <Paragraphs>95</Paragraphs>
  <ScaleCrop>false</ScaleCrop>
  <Company/>
  <LinksUpToDate>false</LinksUpToDate>
  <CharactersWithSpaces>6966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Throckmorton, Gary</cp:lastModifiedBy>
  <cp:revision>2</cp:revision>
  <dcterms:created xsi:type="dcterms:W3CDTF">2026-04-07T19:10:00Z</dcterms:created>
  <dcterms:modified xsi:type="dcterms:W3CDTF">2026-04-07T19:13:00Z</dcterms:modified>
</cp:coreProperties>
</file>