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Facility Pressure Washing</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33744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36C24826Q0441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03-19-2026</w:t>
            </w:r>
            <w:r w:rsidRPr="004C7C18">
              <w:rPr>
                <w:rStyle w:val="AAMSKBFill-InHighlight"/>
                <w:rFonts w:asciiTheme="minorHAnsi" w:hAnsiTheme="minorHAnsi" w:cstheme="minorHAnsi"/>
              </w:rPr>
              <w:t xml:space="preserve"> </w:t>
            </w:r>
            <w:r>
              <w:rPr>
                <w:rFonts w:asciiTheme="minorHAnsi" w:hAnsiTheme="minorHAnsi" w:cstheme="minorHAnsi"/>
                <w:szCs w:val="20"/>
              </w:rPr>
              <w:t>2:00PM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J079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561790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Bay Pines FL  33744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 Penhallegon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william.penhallegon@va.gov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C.W. Bill Young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33744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A4A81" w:rsidP="00FA4A81">
      <w:pPr>
        <w:spacing w:before="200"/>
        <w:ind w:left="140"/>
        <w:rPr>
          <w:b/>
          <w:sz w:val="24"/>
        </w:rPr>
      </w:pPr>
      <w:r>
        <w:rPr>
          <w:b/>
          <w:sz w:val="24"/>
        </w:rPr>
        <w:t>Good</w:t>
      </w:r>
      <w:r>
        <w:rPr>
          <w:b/>
          <w:spacing w:val="-5"/>
          <w:sz w:val="24"/>
        </w:rPr>
        <w:t xml:space="preserve"> </w:t>
      </w:r>
      <w:r>
        <w:rPr>
          <w:b/>
          <w:sz w:val="24"/>
        </w:rPr>
        <w:t>day,</w:t>
      </w:r>
      <w:r>
        <w:rPr>
          <w:b/>
          <w:spacing w:val="-5"/>
          <w:sz w:val="24"/>
        </w:rPr>
        <w:t xml:space="preserve"> </w:t>
      </w:r>
      <w:r>
        <w:rPr>
          <w:b/>
          <w:sz w:val="24"/>
        </w:rPr>
        <w:t>SDVOSB’s,</w:t>
      </w:r>
      <w:r>
        <w:rPr>
          <w:b/>
          <w:spacing w:val="-4"/>
          <w:sz w:val="24"/>
        </w:rPr>
        <w:t xml:space="preserve"> </w:t>
      </w:r>
      <w:r>
        <w:rPr>
          <w:b/>
          <w:sz w:val="24"/>
        </w:rPr>
        <w:t>VOSB’s,</w:t>
      </w:r>
      <w:r>
        <w:rPr>
          <w:b/>
          <w:spacing w:val="-4"/>
          <w:sz w:val="24"/>
        </w:rPr>
        <w:t xml:space="preserve"> SB’s</w:t>
      </w:r>
    </w:p>
    <w:p w:rsidR="00FA4A81" w:rsidP="00FA4A81">
      <w:pPr>
        <w:spacing w:before="41"/>
        <w:ind w:left="139" w:right="264"/>
        <w:rPr>
          <w:b/>
          <w:sz w:val="24"/>
        </w:rPr>
      </w:pPr>
      <w:r>
        <w:rPr>
          <w:b/>
          <w:sz w:val="24"/>
          <w:u w:val="single"/>
        </w:rPr>
        <w:t>This Sources Sought is issued solely for informational and planning purposes</w:t>
      </w:r>
      <w:r>
        <w:rPr>
          <w:b/>
          <w:sz w:val="24"/>
        </w:rPr>
        <w:t xml:space="preserve"> </w:t>
      </w:r>
      <w:r>
        <w:rPr>
          <w:b/>
          <w:sz w:val="24"/>
          <w:u w:val="single"/>
        </w:rPr>
        <w:t>only.</w:t>
      </w:r>
      <w:r>
        <w:rPr>
          <w:b/>
          <w:spacing w:val="40"/>
          <w:sz w:val="24"/>
          <w:u w:val="single"/>
        </w:rPr>
        <w:t xml:space="preserve"> </w:t>
      </w:r>
      <w:r>
        <w:rPr>
          <w:b/>
          <w:sz w:val="24"/>
          <w:u w:val="single"/>
        </w:rPr>
        <w:t>It does not constitute the issuance of a solicitation or a promise to issue a</w:t>
      </w:r>
      <w:r>
        <w:rPr>
          <w:b/>
          <w:sz w:val="24"/>
        </w:rPr>
        <w:t xml:space="preserve"> </w:t>
      </w:r>
      <w:r>
        <w:rPr>
          <w:b/>
          <w:sz w:val="24"/>
          <w:u w:val="single"/>
        </w:rPr>
        <w:t>solicitation</w:t>
      </w:r>
      <w:r>
        <w:rPr>
          <w:b/>
          <w:spacing w:val="-2"/>
          <w:sz w:val="24"/>
          <w:u w:val="single"/>
        </w:rPr>
        <w:t xml:space="preserve"> </w:t>
      </w:r>
      <w:r>
        <w:rPr>
          <w:b/>
          <w:sz w:val="24"/>
          <w:u w:val="single"/>
        </w:rPr>
        <w:t>in</w:t>
      </w:r>
      <w:r>
        <w:rPr>
          <w:b/>
          <w:spacing w:val="-4"/>
          <w:sz w:val="24"/>
          <w:u w:val="single"/>
        </w:rPr>
        <w:t xml:space="preserve"> </w:t>
      </w:r>
      <w:r>
        <w:rPr>
          <w:b/>
          <w:sz w:val="24"/>
          <w:u w:val="single"/>
        </w:rPr>
        <w:t>the</w:t>
      </w:r>
      <w:r>
        <w:rPr>
          <w:b/>
          <w:spacing w:val="-4"/>
          <w:sz w:val="24"/>
          <w:u w:val="single"/>
        </w:rPr>
        <w:t xml:space="preserve"> </w:t>
      </w:r>
      <w:r>
        <w:rPr>
          <w:b/>
          <w:sz w:val="24"/>
          <w:u w:val="single"/>
        </w:rPr>
        <w:t>future.</w:t>
      </w:r>
      <w:r>
        <w:rPr>
          <w:b/>
          <w:spacing w:val="-3"/>
          <w:sz w:val="24"/>
        </w:rPr>
        <w:t xml:space="preserve"> </w:t>
      </w:r>
      <w:r>
        <w:rPr>
          <w:b/>
          <w:sz w:val="24"/>
        </w:rPr>
        <w:t>The</w:t>
      </w:r>
      <w:r>
        <w:rPr>
          <w:b/>
          <w:spacing w:val="-4"/>
          <w:sz w:val="24"/>
        </w:rPr>
        <w:t xml:space="preserve"> </w:t>
      </w:r>
      <w:r>
        <w:rPr>
          <w:b/>
          <w:sz w:val="24"/>
        </w:rPr>
        <w:t>purpose</w:t>
      </w:r>
      <w:r>
        <w:rPr>
          <w:b/>
          <w:spacing w:val="-4"/>
          <w:sz w:val="24"/>
        </w:rPr>
        <w:t xml:space="preserve"> </w:t>
      </w:r>
      <w:r>
        <w:rPr>
          <w:b/>
          <w:sz w:val="24"/>
        </w:rPr>
        <w:t>of</w:t>
      </w:r>
      <w:r>
        <w:rPr>
          <w:b/>
          <w:spacing w:val="-4"/>
          <w:sz w:val="24"/>
        </w:rPr>
        <w:t xml:space="preserve"> </w:t>
      </w:r>
      <w:r>
        <w:rPr>
          <w:b/>
          <w:sz w:val="24"/>
        </w:rPr>
        <w:t>this</w:t>
      </w:r>
      <w:r>
        <w:rPr>
          <w:b/>
          <w:spacing w:val="-4"/>
          <w:sz w:val="24"/>
        </w:rPr>
        <w:t xml:space="preserve"> </w:t>
      </w:r>
      <w:r>
        <w:rPr>
          <w:b/>
          <w:sz w:val="24"/>
        </w:rPr>
        <w:t>notice</w:t>
      </w:r>
      <w:r>
        <w:rPr>
          <w:b/>
          <w:spacing w:val="-4"/>
          <w:sz w:val="24"/>
        </w:rPr>
        <w:t xml:space="preserve"> </w:t>
      </w:r>
      <w:r>
        <w:rPr>
          <w:b/>
          <w:sz w:val="24"/>
        </w:rPr>
        <w:t>is</w:t>
      </w:r>
      <w:r>
        <w:rPr>
          <w:b/>
          <w:spacing w:val="-5"/>
          <w:sz w:val="24"/>
        </w:rPr>
        <w:t xml:space="preserve"> </w:t>
      </w:r>
      <w:r>
        <w:rPr>
          <w:b/>
          <w:sz w:val="24"/>
        </w:rPr>
        <w:t>to</w:t>
      </w:r>
      <w:r>
        <w:rPr>
          <w:b/>
          <w:spacing w:val="-4"/>
          <w:sz w:val="24"/>
        </w:rPr>
        <w:t xml:space="preserve"> </w:t>
      </w:r>
      <w:r>
        <w:rPr>
          <w:b/>
          <w:sz w:val="24"/>
        </w:rPr>
        <w:t>conduct</w:t>
      </w:r>
      <w:r>
        <w:rPr>
          <w:b/>
          <w:spacing w:val="-4"/>
          <w:sz w:val="24"/>
        </w:rPr>
        <w:t xml:space="preserve"> </w:t>
      </w:r>
      <w:r>
        <w:rPr>
          <w:b/>
          <w:sz w:val="24"/>
        </w:rPr>
        <w:t>market</w:t>
      </w:r>
      <w:r>
        <w:rPr>
          <w:b/>
          <w:spacing w:val="-5"/>
          <w:sz w:val="24"/>
        </w:rPr>
        <w:t xml:space="preserve"> </w:t>
      </w:r>
      <w:r>
        <w:rPr>
          <w:b/>
          <w:sz w:val="24"/>
        </w:rPr>
        <w:t>research and obtain information from qualified SDVOSB businesses. This is not a request for bids, quotes, offers, or proposals. The responses to this announcement will assist in determining the socio-economic status such as a SDVOSB set-aside if feasible.</w:t>
      </w:r>
      <w:r>
        <w:rPr>
          <w:b/>
          <w:spacing w:val="40"/>
          <w:sz w:val="24"/>
        </w:rPr>
        <w:t xml:space="preserve"> </w:t>
      </w:r>
      <w:r>
        <w:rPr>
          <w:b/>
          <w:sz w:val="24"/>
        </w:rPr>
        <w:t>If</w:t>
      </w:r>
      <w:r>
        <w:rPr>
          <w:b/>
          <w:spacing w:val="-1"/>
          <w:sz w:val="24"/>
        </w:rPr>
        <w:t xml:space="preserve"> </w:t>
      </w:r>
      <w:r>
        <w:rPr>
          <w:b/>
          <w:sz w:val="24"/>
        </w:rPr>
        <w:t>insufficient</w:t>
      </w:r>
      <w:r>
        <w:rPr>
          <w:b/>
          <w:spacing w:val="-1"/>
          <w:sz w:val="24"/>
        </w:rPr>
        <w:t xml:space="preserve"> </w:t>
      </w:r>
      <w:r>
        <w:rPr>
          <w:b/>
          <w:sz w:val="24"/>
        </w:rPr>
        <w:t>SDVOSB</w:t>
      </w:r>
      <w:r>
        <w:rPr>
          <w:b/>
          <w:spacing w:val="-1"/>
          <w:sz w:val="24"/>
        </w:rPr>
        <w:t xml:space="preserve"> </w:t>
      </w:r>
      <w:r>
        <w:rPr>
          <w:b/>
          <w:sz w:val="24"/>
        </w:rPr>
        <w:t>responses</w:t>
      </w:r>
      <w:r>
        <w:rPr>
          <w:b/>
          <w:spacing w:val="-1"/>
          <w:sz w:val="24"/>
        </w:rPr>
        <w:t xml:space="preserve"> </w:t>
      </w:r>
      <w:r>
        <w:rPr>
          <w:b/>
          <w:sz w:val="24"/>
        </w:rPr>
        <w:t>are</w:t>
      </w:r>
      <w:r>
        <w:rPr>
          <w:b/>
          <w:spacing w:val="-2"/>
          <w:sz w:val="24"/>
        </w:rPr>
        <w:t xml:space="preserve"> </w:t>
      </w:r>
      <w:r>
        <w:rPr>
          <w:b/>
          <w:sz w:val="24"/>
        </w:rPr>
        <w:t>received</w:t>
      </w:r>
      <w:r>
        <w:rPr>
          <w:b/>
          <w:spacing w:val="-2"/>
          <w:sz w:val="24"/>
        </w:rPr>
        <w:t xml:space="preserve"> </w:t>
      </w:r>
      <w:r>
        <w:rPr>
          <w:b/>
          <w:sz w:val="24"/>
        </w:rPr>
        <w:t>to establish the</w:t>
      </w:r>
      <w:r>
        <w:rPr>
          <w:b/>
          <w:spacing w:val="-1"/>
          <w:sz w:val="24"/>
        </w:rPr>
        <w:t xml:space="preserve"> </w:t>
      </w:r>
      <w:r>
        <w:rPr>
          <w:b/>
          <w:sz w:val="24"/>
        </w:rPr>
        <w:t>basis</w:t>
      </w:r>
      <w:r>
        <w:rPr>
          <w:b/>
          <w:spacing w:val="-2"/>
          <w:sz w:val="24"/>
        </w:rPr>
        <w:t xml:space="preserve"> </w:t>
      </w:r>
      <w:r>
        <w:rPr>
          <w:b/>
          <w:sz w:val="24"/>
        </w:rPr>
        <w:t>for setting this</w:t>
      </w:r>
      <w:r>
        <w:rPr>
          <w:b/>
          <w:spacing w:val="-1"/>
          <w:sz w:val="24"/>
        </w:rPr>
        <w:t xml:space="preserve"> </w:t>
      </w:r>
      <w:r>
        <w:rPr>
          <w:b/>
          <w:sz w:val="24"/>
        </w:rPr>
        <w:t>requirement</w:t>
      </w:r>
      <w:r>
        <w:rPr>
          <w:b/>
          <w:spacing w:val="-1"/>
          <w:sz w:val="24"/>
        </w:rPr>
        <w:t xml:space="preserve"> </w:t>
      </w:r>
      <w:r>
        <w:rPr>
          <w:b/>
          <w:sz w:val="24"/>
        </w:rPr>
        <w:t>aside</w:t>
      </w:r>
      <w:r>
        <w:rPr>
          <w:b/>
          <w:spacing w:val="-1"/>
          <w:sz w:val="24"/>
        </w:rPr>
        <w:t xml:space="preserve"> </w:t>
      </w:r>
      <w:r>
        <w:rPr>
          <w:b/>
          <w:sz w:val="24"/>
        </w:rPr>
        <w:t>for</w:t>
      </w:r>
      <w:r>
        <w:rPr>
          <w:b/>
          <w:spacing w:val="-1"/>
          <w:sz w:val="24"/>
        </w:rPr>
        <w:t xml:space="preserve"> </w:t>
      </w:r>
      <w:r>
        <w:rPr>
          <w:b/>
          <w:sz w:val="24"/>
        </w:rPr>
        <w:t>SDVOSB’s, the</w:t>
      </w:r>
      <w:r>
        <w:rPr>
          <w:b/>
          <w:spacing w:val="-2"/>
          <w:sz w:val="24"/>
        </w:rPr>
        <w:t xml:space="preserve"> </w:t>
      </w:r>
      <w:r>
        <w:rPr>
          <w:b/>
          <w:sz w:val="24"/>
        </w:rPr>
        <w:t>requirement</w:t>
      </w:r>
      <w:r>
        <w:rPr>
          <w:b/>
          <w:spacing w:val="-1"/>
          <w:sz w:val="24"/>
        </w:rPr>
        <w:t xml:space="preserve"> </w:t>
      </w:r>
      <w:r>
        <w:rPr>
          <w:b/>
          <w:sz w:val="24"/>
        </w:rPr>
        <w:t>may</w:t>
      </w:r>
      <w:r>
        <w:rPr>
          <w:b/>
          <w:spacing w:val="-2"/>
          <w:sz w:val="24"/>
        </w:rPr>
        <w:t xml:space="preserve"> </w:t>
      </w:r>
      <w:r>
        <w:rPr>
          <w:b/>
          <w:sz w:val="24"/>
        </w:rPr>
        <w:t>be</w:t>
      </w:r>
      <w:r>
        <w:rPr>
          <w:b/>
          <w:spacing w:val="-1"/>
          <w:sz w:val="24"/>
        </w:rPr>
        <w:t xml:space="preserve"> </w:t>
      </w:r>
      <w:r>
        <w:rPr>
          <w:b/>
          <w:sz w:val="24"/>
        </w:rPr>
        <w:t>solicited as a VOSB or a SB set aside in which case all interested parties responding shall be eligible to compete.</w:t>
      </w:r>
    </w:p>
    <w:p w:rsidR="00FA4A81" w:rsidP="00FA4A81">
      <w:pPr>
        <w:pStyle w:val="BodyText"/>
        <w:spacing w:before="41"/>
        <w:rPr>
          <w:b/>
          <w:sz w:val="24"/>
        </w:rPr>
      </w:pPr>
    </w:p>
    <w:p w:rsidR="00FA4A81" w:rsidP="00FA4A81">
      <w:pPr>
        <w:ind w:left="139" w:right="264"/>
        <w:rPr>
          <w:b/>
          <w:sz w:val="24"/>
        </w:rPr>
      </w:pPr>
      <w:r>
        <w:rPr>
          <w:b/>
          <w:sz w:val="24"/>
        </w:rPr>
        <w:t>Please direct reply in the affirmative via email if you are interested and can provide the required service/product for this requirement. Please provide your capability</w:t>
      </w:r>
      <w:r>
        <w:rPr>
          <w:b/>
          <w:spacing w:val="-3"/>
          <w:sz w:val="24"/>
        </w:rPr>
        <w:t xml:space="preserve"> </w:t>
      </w:r>
      <w:r>
        <w:rPr>
          <w:b/>
          <w:sz w:val="24"/>
        </w:rPr>
        <w:t>statement,</w:t>
      </w:r>
      <w:r>
        <w:rPr>
          <w:b/>
          <w:spacing w:val="40"/>
          <w:sz w:val="24"/>
        </w:rPr>
        <w:t xml:space="preserve"> </w:t>
      </w:r>
      <w:r>
        <w:rPr>
          <w:b/>
          <w:sz w:val="24"/>
        </w:rPr>
        <w:t>I</w:t>
      </w:r>
      <w:r>
        <w:rPr>
          <w:b/>
          <w:spacing w:val="-3"/>
          <w:sz w:val="24"/>
        </w:rPr>
        <w:t xml:space="preserve"> </w:t>
      </w:r>
      <w:r>
        <w:rPr>
          <w:b/>
          <w:sz w:val="24"/>
        </w:rPr>
        <w:t>will</w:t>
      </w:r>
      <w:r>
        <w:rPr>
          <w:b/>
          <w:spacing w:val="-3"/>
          <w:sz w:val="24"/>
        </w:rPr>
        <w:t xml:space="preserve"> </w:t>
      </w:r>
      <w:r>
        <w:rPr>
          <w:b/>
          <w:sz w:val="24"/>
        </w:rPr>
        <w:t>accept</w:t>
      </w:r>
      <w:r>
        <w:rPr>
          <w:b/>
          <w:spacing w:val="-3"/>
          <w:sz w:val="24"/>
        </w:rPr>
        <w:t xml:space="preserve"> </w:t>
      </w:r>
      <w:r>
        <w:rPr>
          <w:b/>
          <w:sz w:val="24"/>
        </w:rPr>
        <w:t>responses</w:t>
      </w:r>
      <w:r>
        <w:rPr>
          <w:b/>
          <w:spacing w:val="-4"/>
          <w:sz w:val="24"/>
        </w:rPr>
        <w:t xml:space="preserve"> </w:t>
      </w:r>
      <w:r>
        <w:rPr>
          <w:b/>
          <w:sz w:val="24"/>
        </w:rPr>
        <w:t>for</w:t>
      </w:r>
      <w:r>
        <w:rPr>
          <w:b/>
          <w:spacing w:val="-3"/>
          <w:sz w:val="24"/>
        </w:rPr>
        <w:t xml:space="preserve"> </w:t>
      </w:r>
      <w:r>
        <w:rPr>
          <w:b/>
          <w:sz w:val="24"/>
        </w:rPr>
        <w:t>this</w:t>
      </w:r>
      <w:r>
        <w:rPr>
          <w:b/>
          <w:spacing w:val="-3"/>
          <w:sz w:val="24"/>
        </w:rPr>
        <w:t xml:space="preserve"> </w:t>
      </w:r>
      <w:r>
        <w:rPr>
          <w:b/>
          <w:sz w:val="24"/>
        </w:rPr>
        <w:t>Sources</w:t>
      </w:r>
      <w:r>
        <w:rPr>
          <w:b/>
          <w:spacing w:val="-3"/>
          <w:sz w:val="24"/>
        </w:rPr>
        <w:t xml:space="preserve"> </w:t>
      </w:r>
      <w:r>
        <w:rPr>
          <w:b/>
          <w:sz w:val="24"/>
        </w:rPr>
        <w:t>Sought</w:t>
      </w:r>
      <w:r>
        <w:rPr>
          <w:b/>
          <w:spacing w:val="-4"/>
          <w:sz w:val="24"/>
        </w:rPr>
        <w:t xml:space="preserve"> </w:t>
      </w:r>
      <w:r>
        <w:rPr>
          <w:b/>
          <w:sz w:val="24"/>
        </w:rPr>
        <w:t>until</w:t>
      </w:r>
      <w:r>
        <w:rPr>
          <w:b/>
          <w:spacing w:val="-4"/>
          <w:sz w:val="24"/>
        </w:rPr>
        <w:t xml:space="preserve"> </w:t>
      </w:r>
      <w:r>
        <w:rPr>
          <w:b/>
          <w:sz w:val="24"/>
        </w:rPr>
        <w:t>the</w:t>
      </w:r>
      <w:r>
        <w:rPr>
          <w:b/>
          <w:spacing w:val="-2"/>
          <w:sz w:val="24"/>
        </w:rPr>
        <w:t xml:space="preserve"> 19</w:t>
      </w:r>
      <w:r>
        <w:rPr>
          <w:b/>
          <w:sz w:val="24"/>
        </w:rPr>
        <w:t>th of March, 2026 at 14:00 EST, thanks.</w:t>
      </w:r>
    </w:p>
    <w:p w:rsidR="004E2C88"/>
    <w:p w:rsidR="00937494" w:rsidRPr="00B70302" w:rsidP="00937494">
      <w:pPr>
        <w:jc w:val="center"/>
        <w:rPr>
          <w:b/>
        </w:rPr>
      </w:pPr>
      <w:r>
        <w:rPr>
          <w:noProof/>
        </w:rPr>
        <w:pict>
          <v:shapetype id="_x0000_t202" coordsize="21600,21600" o:spt="202" path="m,l,21600r21600,l21600,xe">
            <v:stroke joinstyle="miter"/>
            <v:path gradientshapeok="t" o:connecttype="rect"/>
          </v:shapetype>
          <v:shape id="Text Box 2" o:spid="_x0000_s1025" type="#_x0000_t202" style="height:99.2pt;margin-left:494.05pt;margin-top:223.3pt;mso-height-percent:0;mso-height-relative:page;mso-width-percent:0;mso-width-relative:page;mso-wrap-distance-bottom:0;mso-wrap-distance-left:0;mso-wrap-distance-right:0;mso-wrap-distance-top:0;mso-wrap-style:square;position:absolute;v-text-anchor:top;visibility:visible;width:35pt;z-index:251658240" o:allowincell="f" filled="f" stroked="f">
            <v:textbox inset="0,0,0,0">
              <w:txbxContent>
                <w:p w:rsidR="00937494" w:rsidP="00937494">
                  <w:pPr>
                    <w:jc w:val="center"/>
                  </w:pPr>
                  <w:r w:rsidRPr="00097E20">
                    <w:rPr>
                      <w:noProof/>
                    </w:rPr>
                    <w:drawing>
                      <wp:inline distT="0" distB="0" distL="0" distR="0">
                        <wp:extent cx="447675" cy="1257300"/>
                        <wp:effectExtent l="0" t="0" r="0" b="0"/>
                        <wp:docPr id="1" name="Picture 2" descr="AR-M355N_20111214_125619_Pi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M355N_20111214_125619_Pic0"/>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47675" cy="1257300"/>
                                </a:xfrm>
                                <a:prstGeom prst="rect">
                                  <a:avLst/>
                                </a:prstGeom>
                                <a:noFill/>
                                <a:ln>
                                  <a:noFill/>
                                </a:ln>
                              </pic:spPr>
                            </pic:pic>
                          </a:graphicData>
                        </a:graphic>
                      </wp:inline>
                    </w:drawing>
                  </w:r>
                </w:p>
              </w:txbxContent>
            </v:textbox>
            <w10:wrap type="through"/>
          </v:shape>
        </w:pict>
      </w:r>
      <w:r w:rsidRPr="00B70302">
        <w:rPr>
          <w:b/>
          <w:noProof/>
        </w:rPr>
        <w:t>PERFORMANCE WORK STATEMENT</w:t>
      </w:r>
      <w:r w:rsidRPr="00B70302">
        <w:rPr>
          <w:b/>
        </w:rPr>
        <w:t xml:space="preserve"> </w:t>
      </w:r>
      <w:r w:rsidRPr="00B70302">
        <w:rPr>
          <w:b/>
        </w:rPr>
        <w:br/>
      </w:r>
      <w:r>
        <w:rPr>
          <w:b/>
        </w:rPr>
        <w:t>PRESSURE WASHING</w:t>
      </w:r>
      <w:r w:rsidRPr="00B70302">
        <w:rPr>
          <w:b/>
        </w:rPr>
        <w:t xml:space="preserve"> SERVICES</w:t>
      </w:r>
    </w:p>
    <w:p w:rsidR="00937494" w:rsidRPr="00B70302" w:rsidP="00937494">
      <w:pPr>
        <w:rPr>
          <w:b/>
          <w:u w:val="single"/>
        </w:rPr>
      </w:pPr>
    </w:p>
    <w:p w:rsidR="00937494" w:rsidRPr="00B70302" w:rsidP="00937494">
      <w:pPr>
        <w:pStyle w:val="ListParagraph"/>
        <w:numPr>
          <w:ilvl w:val="0"/>
          <w:numId w:val="1"/>
        </w:numPr>
        <w:spacing w:after="0" w:line="240" w:lineRule="auto"/>
        <w:contextualSpacing w:val="0"/>
        <w:jc w:val="both"/>
        <w:rPr>
          <w:rFonts w:ascii="Times New Roman" w:hAnsi="Times New Roman"/>
          <w:b/>
          <w:sz w:val="24"/>
          <w:szCs w:val="24"/>
          <w:u w:val="single"/>
        </w:rPr>
      </w:pPr>
      <w:r w:rsidRPr="00B70302">
        <w:rPr>
          <w:rFonts w:ascii="Times New Roman" w:hAnsi="Times New Roman"/>
          <w:b/>
          <w:sz w:val="24"/>
          <w:szCs w:val="24"/>
          <w:u w:val="single"/>
        </w:rPr>
        <w:t>Introduction</w:t>
      </w:r>
    </w:p>
    <w:p w:rsidR="00937494" w:rsidRPr="00B70302" w:rsidP="00937494">
      <w:pPr>
        <w:pStyle w:val="ListParagraph"/>
        <w:ind w:left="360"/>
        <w:jc w:val="both"/>
        <w:rPr>
          <w:rFonts w:ascii="Times New Roman" w:hAnsi="Times New Roman"/>
          <w:b/>
          <w:sz w:val="24"/>
          <w:szCs w:val="24"/>
        </w:rPr>
      </w:pPr>
      <w:r w:rsidRPr="00B70302">
        <w:rPr>
          <w:rFonts w:ascii="Times New Roman" w:hAnsi="Times New Roman"/>
          <w:b/>
          <w:sz w:val="24"/>
          <w:szCs w:val="24"/>
        </w:rPr>
        <w:tab/>
      </w:r>
      <w:r w:rsidRPr="00B70302">
        <w:rPr>
          <w:rFonts w:ascii="Times New Roman" w:hAnsi="Times New Roman"/>
          <w:b/>
          <w:sz w:val="24"/>
          <w:szCs w:val="24"/>
        </w:rPr>
        <w:tab/>
      </w:r>
      <w:r w:rsidRPr="00B70302">
        <w:rPr>
          <w:rFonts w:ascii="Times New Roman" w:hAnsi="Times New Roman"/>
          <w:b/>
          <w:sz w:val="24"/>
          <w:szCs w:val="24"/>
        </w:rPr>
        <w:tab/>
      </w:r>
      <w:r w:rsidRPr="00B70302">
        <w:rPr>
          <w:rFonts w:ascii="Times New Roman" w:hAnsi="Times New Roman"/>
          <w:b/>
          <w:sz w:val="24"/>
          <w:szCs w:val="24"/>
        </w:rPr>
        <w:tab/>
      </w:r>
      <w:r w:rsidRPr="00B70302">
        <w:rPr>
          <w:rFonts w:ascii="Times New Roman" w:hAnsi="Times New Roman"/>
          <w:b/>
          <w:sz w:val="24"/>
          <w:szCs w:val="24"/>
        </w:rPr>
        <w:tab/>
      </w:r>
      <w:r w:rsidRPr="00B70302">
        <w:rPr>
          <w:rFonts w:ascii="Times New Roman" w:hAnsi="Times New Roman"/>
          <w:b/>
          <w:sz w:val="24"/>
          <w:szCs w:val="24"/>
        </w:rPr>
        <w:tab/>
      </w:r>
    </w:p>
    <w:p w:rsidR="00937494" w:rsidRPr="00B70302" w:rsidP="00937494">
      <w:pPr>
        <w:pStyle w:val="ListParagraph"/>
        <w:ind w:left="360"/>
        <w:jc w:val="both"/>
        <w:rPr>
          <w:rFonts w:ascii="Times New Roman" w:hAnsi="Times New Roman"/>
          <w:sz w:val="24"/>
          <w:szCs w:val="24"/>
        </w:rPr>
      </w:pPr>
      <w:r w:rsidRPr="00B70302">
        <w:rPr>
          <w:rFonts w:ascii="Times New Roman" w:hAnsi="Times New Roman"/>
          <w:sz w:val="24"/>
          <w:szCs w:val="24"/>
        </w:rPr>
        <w:t xml:space="preserve">The Government requires </w:t>
      </w:r>
      <w:r>
        <w:rPr>
          <w:rFonts w:ascii="Times New Roman" w:hAnsi="Times New Roman"/>
          <w:sz w:val="24"/>
          <w:szCs w:val="24"/>
        </w:rPr>
        <w:t>the pressure washing services to main entrances including walkways of multiple buildings located on the C.W. Bill Young Medical Center, Bay Pines VA Healthcare System campus.</w:t>
      </w:r>
    </w:p>
    <w:p w:rsidR="00937494" w:rsidRPr="00B70302" w:rsidP="00937494">
      <w:pPr>
        <w:jc w:val="both"/>
      </w:pPr>
    </w:p>
    <w:p w:rsidR="00937494" w:rsidRPr="008C3625" w:rsidP="00937494">
      <w:pPr>
        <w:widowControl w:val="0"/>
        <w:numPr>
          <w:ilvl w:val="0"/>
          <w:numId w:val="1"/>
        </w:numPr>
        <w:autoSpaceDE w:val="0"/>
        <w:autoSpaceDN w:val="0"/>
        <w:spacing w:after="0" w:line="240" w:lineRule="auto"/>
        <w:jc w:val="both"/>
        <w:rPr>
          <w:b/>
          <w:u w:val="single"/>
        </w:rPr>
      </w:pPr>
      <w:r w:rsidRPr="008C3625">
        <w:rPr>
          <w:b/>
          <w:u w:val="single"/>
        </w:rPr>
        <w:t xml:space="preserve">Description/Scope/ Objective </w:t>
      </w:r>
    </w:p>
    <w:p w:rsidR="00937494" w:rsidRPr="00B70302" w:rsidP="00937494">
      <w:pPr>
        <w:tabs>
          <w:tab w:val="left" w:pos="1512"/>
        </w:tabs>
        <w:spacing w:before="108"/>
        <w:ind w:left="360"/>
        <w:jc w:val="both"/>
      </w:pPr>
      <w:r w:rsidRPr="00B70302">
        <w:t xml:space="preserve">The Contractor shall provide all labor, transportation, materials, equipment, and </w:t>
      </w:r>
      <w:r w:rsidRPr="00B70302">
        <w:rPr>
          <w:spacing w:val="-2"/>
        </w:rPr>
        <w:t xml:space="preserve">supervision </w:t>
      </w:r>
      <w:r w:rsidRPr="00422B30">
        <w:rPr>
          <w:spacing w:val="-2"/>
        </w:rPr>
        <w:t xml:space="preserve">required to perform complete cleanliness related services at the </w:t>
      </w:r>
      <w:r>
        <w:rPr>
          <w:spacing w:val="-2"/>
        </w:rPr>
        <w:t>Bay Pines VA Healthcare System</w:t>
      </w:r>
      <w:r>
        <w:t xml:space="preserve"> main entrances of buildings listed below for approximately 155,000 sq. ft</w:t>
      </w:r>
      <w:r w:rsidRPr="00B70302">
        <w:t xml:space="preserve">, </w:t>
      </w:r>
      <w:r>
        <w:t xml:space="preserve">in total combined areas </w:t>
      </w:r>
      <w:r w:rsidRPr="00B70302">
        <w:t xml:space="preserve">in a manner that will </w:t>
      </w:r>
      <w:r>
        <w:t>maintain</w:t>
      </w:r>
      <w:r w:rsidRPr="00B70302">
        <w:t xml:space="preserve"> a clean, neat, safe and professional appearance throughout the areas covered under the contract.</w:t>
      </w:r>
    </w:p>
    <w:p w:rsidR="00937494" w:rsidRPr="008C3625" w:rsidP="00937494">
      <w:pPr>
        <w:tabs>
          <w:tab w:val="left" w:pos="1512"/>
        </w:tabs>
        <w:spacing w:before="108"/>
        <w:jc w:val="both"/>
      </w:pPr>
    </w:p>
    <w:p w:rsidR="00937494" w:rsidRPr="008C3625" w:rsidP="00937494">
      <w:pPr>
        <w:numPr>
          <w:ilvl w:val="0"/>
          <w:numId w:val="1"/>
        </w:numPr>
        <w:autoSpaceDE w:val="0"/>
        <w:autoSpaceDN w:val="0"/>
        <w:adjustRightInd w:val="0"/>
        <w:spacing w:after="0" w:line="240" w:lineRule="auto"/>
        <w:jc w:val="both"/>
        <w:rPr>
          <w:rFonts w:eastAsia="Calibri"/>
          <w:i/>
        </w:rPr>
      </w:pPr>
      <w:r w:rsidRPr="008C3625">
        <w:rPr>
          <w:rFonts w:eastAsia="Calibri"/>
          <w:b/>
          <w:u w:val="single"/>
        </w:rPr>
        <w:t>Applicable Documents</w:t>
      </w:r>
      <w:r w:rsidRPr="008C3625">
        <w:rPr>
          <w:rFonts w:eastAsia="Calibri"/>
          <w:b/>
        </w:rPr>
        <w:t xml:space="preserve"> </w:t>
      </w:r>
    </w:p>
    <w:p w:rsidR="00937494" w:rsidRPr="008F018C" w:rsidP="00937494">
      <w:pPr>
        <w:adjustRightInd w:val="0"/>
        <w:rPr>
          <w:rFonts w:ascii="Arial" w:eastAsia="Calibri" w:hAnsi="Arial" w:cs="Arial"/>
          <w:i/>
        </w:rPr>
      </w:pPr>
    </w:p>
    <w:p w:rsidR="00937494" w:rsidRPr="008F018C" w:rsidP="00937494">
      <w:pPr>
        <w:adjustRightInd w:val="0"/>
        <w:ind w:left="360"/>
        <w:rPr>
          <w:rFonts w:ascii="Arial" w:eastAsia="Calibri" w:hAnsi="Arial" w:cs="Arial"/>
          <w:i/>
        </w:rPr>
      </w:pPr>
      <w:r>
        <w:rPr>
          <w:rFonts w:ascii="Arial" w:eastAsia="Calibri" w:hAnsi="Arial" w:cs="Arial"/>
          <w:i/>
        </w:rPr>
        <w:t xml:space="preserve">3.1.  </w:t>
      </w:r>
      <w:r w:rsidRPr="008F018C">
        <w:rPr>
          <w:rFonts w:ascii="Arial" w:eastAsia="Calibri" w:hAnsi="Arial" w:cs="Arial"/>
          <w:i/>
        </w:rPr>
        <w:t xml:space="preserve"> The following laws, regulations, policies, and procedures in effect on date of contract issuance and all subsequent changes or updates apply:</w:t>
      </w:r>
    </w:p>
    <w:tbl>
      <w:tblPr>
        <w:tblpPr w:leftFromText="180" w:rightFromText="180" w:vertAnchor="text" w:horzAnchor="margin" w:tblpXSpec="center" w:tblpY="219"/>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088"/>
        <w:gridCol w:w="6552"/>
      </w:tblGrid>
      <w:tr w:rsidTr="00E023CA">
        <w:tblPrEx>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Ex>
        <w:trPr>
          <w:trHeight w:val="202"/>
        </w:trPr>
        <w:tc>
          <w:tcPr>
            <w:tcW w:w="2088" w:type="dxa"/>
          </w:tcPr>
          <w:p w:rsidR="00937494" w:rsidRPr="008F018C" w:rsidP="00E023CA">
            <w:pPr>
              <w:rPr>
                <w:rFonts w:ascii="Arial" w:hAnsi="Arial" w:cs="Arial"/>
                <w:bCs/>
              </w:rPr>
            </w:pPr>
            <w:r w:rsidRPr="008F018C">
              <w:rPr>
                <w:rFonts w:ascii="Arial" w:hAnsi="Arial" w:cs="Arial"/>
                <w:bCs/>
              </w:rPr>
              <w:t>FAR</w:t>
            </w:r>
          </w:p>
        </w:tc>
        <w:tc>
          <w:tcPr>
            <w:tcW w:w="6552" w:type="dxa"/>
          </w:tcPr>
          <w:p w:rsidR="00937494" w:rsidRPr="008F018C" w:rsidP="00E023CA">
            <w:pPr>
              <w:rPr>
                <w:rFonts w:ascii="Arial" w:hAnsi="Arial" w:cs="Arial"/>
                <w:bCs/>
              </w:rPr>
            </w:pPr>
            <w:r w:rsidRPr="008F018C">
              <w:rPr>
                <w:rFonts w:ascii="Arial" w:hAnsi="Arial" w:cs="Arial"/>
                <w:bCs/>
              </w:rPr>
              <w:t>Federal Acquisition Regulation</w:t>
            </w:r>
          </w:p>
        </w:tc>
      </w:tr>
      <w:tr w:rsidTr="00E023CA">
        <w:tblPrEx>
          <w:tblW w:w="8640" w:type="dxa"/>
          <w:tblLook w:val="00A0"/>
        </w:tblPrEx>
        <w:trPr>
          <w:trHeight w:val="190"/>
        </w:trPr>
        <w:tc>
          <w:tcPr>
            <w:tcW w:w="2088" w:type="dxa"/>
          </w:tcPr>
          <w:p w:rsidR="00937494" w:rsidRPr="008F018C" w:rsidP="00E023CA">
            <w:pPr>
              <w:rPr>
                <w:rFonts w:ascii="Arial" w:hAnsi="Arial" w:cs="Arial"/>
                <w:bCs/>
              </w:rPr>
            </w:pPr>
            <w:r w:rsidRPr="008F018C">
              <w:rPr>
                <w:rFonts w:ascii="Arial" w:hAnsi="Arial" w:cs="Arial"/>
                <w:bCs/>
              </w:rPr>
              <w:t>VAAR</w:t>
            </w:r>
          </w:p>
        </w:tc>
        <w:tc>
          <w:tcPr>
            <w:tcW w:w="6552" w:type="dxa"/>
          </w:tcPr>
          <w:p w:rsidR="00937494" w:rsidRPr="008F018C" w:rsidP="00E023CA">
            <w:pPr>
              <w:rPr>
                <w:rFonts w:ascii="Arial" w:hAnsi="Arial" w:cs="Arial"/>
                <w:bCs/>
              </w:rPr>
            </w:pPr>
            <w:r w:rsidRPr="008F018C">
              <w:rPr>
                <w:rFonts w:ascii="Arial" w:hAnsi="Arial" w:cs="Arial"/>
                <w:bCs/>
              </w:rPr>
              <w:t>Veterans Administration Acquisition Regulation</w:t>
            </w:r>
          </w:p>
        </w:tc>
      </w:tr>
      <w:tr w:rsidTr="00E023CA">
        <w:tblPrEx>
          <w:tblW w:w="8640" w:type="dxa"/>
          <w:tblLook w:val="00A0"/>
        </w:tblPrEx>
        <w:trPr>
          <w:trHeight w:val="393"/>
        </w:trPr>
        <w:tc>
          <w:tcPr>
            <w:tcW w:w="2088" w:type="dxa"/>
          </w:tcPr>
          <w:p w:rsidR="00937494" w:rsidRPr="008F018C" w:rsidP="00E023CA">
            <w:pPr>
              <w:rPr>
                <w:rFonts w:ascii="Arial" w:hAnsi="Arial" w:cs="Arial"/>
                <w:bCs/>
              </w:rPr>
            </w:pPr>
            <w:r w:rsidRPr="008F018C">
              <w:rPr>
                <w:rFonts w:ascii="Arial" w:hAnsi="Arial" w:cs="Arial"/>
                <w:bCs/>
              </w:rPr>
              <w:t>SCA DOL Website</w:t>
            </w:r>
          </w:p>
        </w:tc>
        <w:tc>
          <w:tcPr>
            <w:tcW w:w="6552" w:type="dxa"/>
          </w:tcPr>
          <w:p w:rsidR="00937494" w:rsidRPr="008F018C" w:rsidP="00E023CA">
            <w:pPr>
              <w:rPr>
                <w:rFonts w:ascii="Arial" w:hAnsi="Arial" w:cs="Arial"/>
                <w:bCs/>
              </w:rPr>
            </w:pPr>
            <w:r w:rsidRPr="008F018C">
              <w:rPr>
                <w:rFonts w:ascii="Arial" w:hAnsi="Arial" w:cs="Arial"/>
                <w:bCs/>
              </w:rPr>
              <w:t xml:space="preserve">Service Contract Act (SCA) Directory of Occupations (Fifth Edition) </w:t>
            </w:r>
            <w:r>
              <w:fldChar w:fldCharType="begin"/>
            </w:r>
            <w:r>
              <w:instrText xml:space="preserve"> HYPERLINK "http://www.dol.gov/whd/contracts/sca.htm" </w:instrText>
            </w:r>
            <w:r>
              <w:fldChar w:fldCharType="separate"/>
            </w:r>
            <w:r w:rsidRPr="008F018C">
              <w:rPr>
                <w:rFonts w:ascii="Arial" w:hAnsi="Arial" w:cs="Arial"/>
                <w:bCs/>
                <w:color w:val="0000FF"/>
                <w:u w:val="single"/>
              </w:rPr>
              <w:t>http://www.dol.gov/whd/contracts/sca.htm</w:t>
            </w:r>
            <w:r>
              <w:fldChar w:fldCharType="end"/>
            </w:r>
            <w:r w:rsidRPr="008F018C">
              <w:rPr>
                <w:rFonts w:ascii="Arial" w:hAnsi="Arial" w:cs="Arial"/>
                <w:bCs/>
              </w:rPr>
              <w:t xml:space="preserve"> </w:t>
            </w:r>
          </w:p>
        </w:tc>
      </w:tr>
      <w:tr w:rsidTr="00E023CA">
        <w:tblPrEx>
          <w:tblW w:w="8640" w:type="dxa"/>
          <w:tblLook w:val="00A0"/>
        </w:tblPrEx>
        <w:trPr>
          <w:trHeight w:val="405"/>
        </w:trPr>
        <w:tc>
          <w:tcPr>
            <w:tcW w:w="2088" w:type="dxa"/>
          </w:tcPr>
          <w:p w:rsidR="00937494" w:rsidRPr="008F018C" w:rsidP="00E023CA">
            <w:pPr>
              <w:rPr>
                <w:rFonts w:ascii="Arial" w:hAnsi="Arial" w:cs="Arial"/>
                <w:bCs/>
              </w:rPr>
            </w:pPr>
            <w:r>
              <w:rPr>
                <w:rFonts w:ascii="Arial" w:hAnsi="Arial" w:cs="Arial"/>
                <w:bCs/>
              </w:rPr>
              <w:t>ANSI</w:t>
            </w:r>
          </w:p>
        </w:tc>
        <w:tc>
          <w:tcPr>
            <w:tcW w:w="6552" w:type="dxa"/>
          </w:tcPr>
          <w:p w:rsidR="00937494" w:rsidRPr="008F018C" w:rsidP="00E023CA">
            <w:pPr>
              <w:rPr>
                <w:rFonts w:ascii="Arial" w:hAnsi="Arial" w:cs="Arial"/>
                <w:bCs/>
              </w:rPr>
            </w:pPr>
            <w:r>
              <w:rPr>
                <w:rFonts w:ascii="Arial" w:hAnsi="Arial" w:cs="Arial"/>
                <w:bCs/>
              </w:rPr>
              <w:t>https://pdflakekxng.files.wordpress.com/2015/04/ansi-z133-safety-standard-pdf.pdf</w:t>
            </w:r>
          </w:p>
        </w:tc>
      </w:tr>
      <w:tr w:rsidTr="00E023CA">
        <w:tblPrEx>
          <w:tblW w:w="8640" w:type="dxa"/>
          <w:tblLook w:val="00A0"/>
        </w:tblPrEx>
        <w:trPr>
          <w:trHeight w:val="190"/>
        </w:trPr>
        <w:tc>
          <w:tcPr>
            <w:tcW w:w="2088" w:type="dxa"/>
          </w:tcPr>
          <w:p w:rsidR="00937494" w:rsidRPr="008F018C" w:rsidP="00E023CA">
            <w:pPr>
              <w:rPr>
                <w:rFonts w:ascii="Arial" w:hAnsi="Arial" w:cs="Arial"/>
                <w:bCs/>
              </w:rPr>
            </w:pPr>
            <w:r>
              <w:rPr>
                <w:rFonts w:ascii="Arial" w:hAnsi="Arial" w:cs="Arial"/>
                <w:bCs/>
              </w:rPr>
              <w:t>VA Directive 0057</w:t>
            </w:r>
          </w:p>
        </w:tc>
        <w:tc>
          <w:tcPr>
            <w:tcW w:w="6552" w:type="dxa"/>
          </w:tcPr>
          <w:p w:rsidR="00937494" w:rsidP="00E023CA">
            <w:pPr>
              <w:rPr>
                <w:rFonts w:ascii="Arial" w:hAnsi="Arial" w:cs="Arial"/>
                <w:bCs/>
              </w:rPr>
            </w:pPr>
            <w:r>
              <w:rPr>
                <w:rFonts w:ascii="Arial" w:hAnsi="Arial" w:cs="Arial"/>
                <w:bCs/>
              </w:rPr>
              <w:t>VA Environmental Program</w:t>
            </w:r>
          </w:p>
          <w:p w:rsidR="00937494" w:rsidRPr="008F018C" w:rsidP="00E023CA">
            <w:pPr>
              <w:rPr>
                <w:rFonts w:ascii="Arial" w:hAnsi="Arial" w:cs="Arial"/>
                <w:bCs/>
              </w:rPr>
            </w:pPr>
            <w:r>
              <w:fldChar w:fldCharType="begin"/>
            </w:r>
            <w:r>
              <w:instrText xml:space="preserve"> HYPERLINK "https://www.va.gov/vapubs/Search_action.cfm" </w:instrText>
            </w:r>
            <w:r>
              <w:fldChar w:fldCharType="separate"/>
            </w:r>
            <w:r w:rsidRPr="00466EF1">
              <w:rPr>
                <w:rStyle w:val="Hyperlink"/>
                <w:rFonts w:ascii="Arial" w:hAnsi="Arial" w:cs="Arial"/>
              </w:rPr>
              <w:t>https://www.va.gov/vapubs/Search_action.cfm</w:t>
            </w:r>
            <w:r>
              <w:fldChar w:fldCharType="end"/>
            </w:r>
          </w:p>
        </w:tc>
      </w:tr>
      <w:tr w:rsidTr="00E023CA">
        <w:tblPrEx>
          <w:tblW w:w="8640" w:type="dxa"/>
          <w:tblLook w:val="00A0"/>
        </w:tblPrEx>
        <w:trPr>
          <w:trHeight w:val="202"/>
        </w:trPr>
        <w:tc>
          <w:tcPr>
            <w:tcW w:w="2088" w:type="dxa"/>
          </w:tcPr>
          <w:p w:rsidR="00937494" w:rsidRPr="008F018C" w:rsidP="00E023CA">
            <w:pPr>
              <w:rPr>
                <w:rFonts w:ascii="Arial" w:hAnsi="Arial" w:cs="Arial"/>
                <w:bCs/>
              </w:rPr>
            </w:pPr>
            <w:r>
              <w:rPr>
                <w:rFonts w:ascii="Arial" w:hAnsi="Arial" w:cs="Arial"/>
                <w:bCs/>
              </w:rPr>
              <w:t>VA Directive 0058</w:t>
            </w:r>
          </w:p>
        </w:tc>
        <w:tc>
          <w:tcPr>
            <w:tcW w:w="6552" w:type="dxa"/>
          </w:tcPr>
          <w:p w:rsidR="00937494" w:rsidP="00E023CA">
            <w:pPr>
              <w:rPr>
                <w:rFonts w:ascii="Arial" w:hAnsi="Arial" w:cs="Arial"/>
                <w:bCs/>
              </w:rPr>
            </w:pPr>
            <w:r>
              <w:rPr>
                <w:rFonts w:ascii="Arial" w:hAnsi="Arial" w:cs="Arial"/>
                <w:bCs/>
              </w:rPr>
              <w:t>VA Green Purchasing Program</w:t>
            </w:r>
          </w:p>
          <w:p w:rsidR="00937494" w:rsidRPr="008F018C" w:rsidP="00E023CA">
            <w:pPr>
              <w:rPr>
                <w:rFonts w:ascii="Arial" w:hAnsi="Arial" w:cs="Arial"/>
                <w:bCs/>
              </w:rPr>
            </w:pPr>
            <w:r>
              <w:fldChar w:fldCharType="begin"/>
            </w:r>
            <w:r>
              <w:instrText xml:space="preserve"> HYPERLINK "https://www.va.gov/vapubs/Search_action.cfm" </w:instrText>
            </w:r>
            <w:r>
              <w:fldChar w:fldCharType="separate"/>
            </w:r>
            <w:r w:rsidRPr="00466EF1">
              <w:rPr>
                <w:rStyle w:val="Hyperlink"/>
                <w:rFonts w:ascii="Arial" w:hAnsi="Arial" w:cs="Arial"/>
              </w:rPr>
              <w:t>https://www.va.gov/vapubs/Search_action.cfm</w:t>
            </w:r>
            <w:r>
              <w:fldChar w:fldCharType="end"/>
            </w:r>
          </w:p>
        </w:tc>
      </w:tr>
    </w:tbl>
    <w:p w:rsidR="00937494" w:rsidRPr="008F018C" w:rsidP="00937494">
      <w:pPr>
        <w:adjustRightInd w:val="0"/>
        <w:rPr>
          <w:rFonts w:ascii="Arial" w:eastAsia="Calibri" w:hAnsi="Arial" w:cs="Arial"/>
          <w:i/>
        </w:rPr>
      </w:pPr>
    </w:p>
    <w:p w:rsidR="00937494" w:rsidRPr="008F018C" w:rsidP="00937494">
      <w:pPr>
        <w:adjustRightInd w:val="0"/>
        <w:ind w:left="360"/>
        <w:rPr>
          <w:rFonts w:ascii="Arial" w:hAnsi="Arial" w:cs="Arial"/>
          <w:i/>
        </w:rPr>
      </w:pPr>
      <w:r>
        <w:rPr>
          <w:rFonts w:ascii="Arial" w:hAnsi="Arial" w:cs="Arial"/>
          <w:i/>
        </w:rPr>
        <w:t>3.2. Glossary:</w:t>
      </w:r>
      <w:r w:rsidRPr="008F018C">
        <w:rPr>
          <w:rFonts w:ascii="Arial" w:hAnsi="Arial" w:cs="Arial"/>
          <w:i/>
        </w:rPr>
        <w:t xml:space="preserve">  Acronyms used in this PWS are listed below for easy reference:</w:t>
      </w:r>
    </w:p>
    <w:p w:rsidR="00937494" w:rsidRPr="008F018C" w:rsidP="00937494">
      <w:pPr>
        <w:adjustRightInd w:val="0"/>
        <w:ind w:left="360"/>
        <w:rPr>
          <w:rFonts w:ascii="Arial" w:hAnsi="Arial" w:cs="Arial"/>
          <w:i/>
        </w:rPr>
      </w:pPr>
      <w:r w:rsidRPr="008F018C">
        <w:rPr>
          <w:rFonts w:ascii="Arial" w:hAnsi="Arial" w:cs="Arial"/>
          <w:i/>
        </w:rPr>
        <w:tab/>
      </w:r>
    </w:p>
    <w:p w:rsidR="00937494" w:rsidP="00937494">
      <w:pPr>
        <w:adjustRightInd w:val="0"/>
        <w:ind w:left="360" w:firstLine="360"/>
        <w:rPr>
          <w:rFonts w:ascii="Arial" w:hAnsi="Arial" w:cs="Arial"/>
          <w:i/>
        </w:rPr>
      </w:pPr>
      <w:r>
        <w:rPr>
          <w:rFonts w:ascii="Arial" w:hAnsi="Arial" w:cs="Arial"/>
          <w:i/>
        </w:rPr>
        <w:t>CO</w:t>
      </w:r>
      <w:r>
        <w:rPr>
          <w:rFonts w:ascii="Arial" w:hAnsi="Arial" w:cs="Arial"/>
          <w:i/>
        </w:rPr>
        <w:tab/>
      </w:r>
      <w:r>
        <w:rPr>
          <w:rFonts w:ascii="Arial" w:hAnsi="Arial" w:cs="Arial"/>
          <w:i/>
        </w:rPr>
        <w:tab/>
        <w:t>Contracting Officer</w:t>
      </w:r>
    </w:p>
    <w:p w:rsidR="00937494" w:rsidRPr="008F018C" w:rsidP="00937494">
      <w:pPr>
        <w:adjustRightInd w:val="0"/>
        <w:ind w:left="360" w:firstLine="360"/>
        <w:rPr>
          <w:rFonts w:ascii="Arial" w:hAnsi="Arial" w:cs="Arial"/>
          <w:i/>
        </w:rPr>
      </w:pPr>
      <w:r w:rsidRPr="008F018C">
        <w:rPr>
          <w:rFonts w:ascii="Arial" w:hAnsi="Arial" w:cs="Arial"/>
          <w:i/>
        </w:rPr>
        <w:t>COR</w:t>
      </w:r>
      <w:r w:rsidRPr="008F018C">
        <w:rPr>
          <w:rFonts w:ascii="Arial" w:hAnsi="Arial" w:cs="Arial"/>
          <w:i/>
        </w:rPr>
        <w:tab/>
      </w:r>
      <w:r w:rsidRPr="008F018C">
        <w:rPr>
          <w:rFonts w:ascii="Arial" w:hAnsi="Arial" w:cs="Arial"/>
          <w:i/>
        </w:rPr>
        <w:tab/>
        <w:t>Contracting Officer’s Representative</w:t>
      </w:r>
    </w:p>
    <w:p w:rsidR="00937494" w:rsidP="00937494">
      <w:pPr>
        <w:adjustRightInd w:val="0"/>
        <w:ind w:left="360" w:firstLine="360"/>
        <w:rPr>
          <w:rFonts w:ascii="Arial" w:hAnsi="Arial" w:cs="Arial"/>
          <w:i/>
        </w:rPr>
      </w:pPr>
      <w:r>
        <w:rPr>
          <w:rFonts w:ascii="Arial" w:hAnsi="Arial" w:cs="Arial"/>
          <w:i/>
        </w:rPr>
        <w:t xml:space="preserve">POC </w:t>
      </w:r>
      <w:r>
        <w:rPr>
          <w:rFonts w:ascii="Arial" w:hAnsi="Arial" w:cs="Arial"/>
          <w:i/>
        </w:rPr>
        <w:tab/>
      </w:r>
      <w:r>
        <w:rPr>
          <w:rFonts w:ascii="Arial" w:hAnsi="Arial" w:cs="Arial"/>
          <w:i/>
        </w:rPr>
        <w:tab/>
        <w:t>Point of Contact</w:t>
      </w:r>
    </w:p>
    <w:p w:rsidR="00937494" w:rsidP="00937494">
      <w:pPr>
        <w:adjustRightInd w:val="0"/>
        <w:ind w:left="360" w:firstLine="360"/>
        <w:rPr>
          <w:rFonts w:ascii="Arial" w:hAnsi="Arial" w:cs="Arial"/>
          <w:i/>
        </w:rPr>
      </w:pPr>
      <w:r w:rsidRPr="008F018C">
        <w:rPr>
          <w:rFonts w:ascii="Arial" w:hAnsi="Arial" w:cs="Arial"/>
          <w:i/>
        </w:rPr>
        <w:t>FAR</w:t>
      </w:r>
      <w:r w:rsidRPr="008F018C">
        <w:rPr>
          <w:rFonts w:ascii="Arial" w:hAnsi="Arial" w:cs="Arial"/>
          <w:i/>
        </w:rPr>
        <w:tab/>
      </w:r>
      <w:r w:rsidRPr="008F018C">
        <w:rPr>
          <w:rFonts w:ascii="Arial" w:hAnsi="Arial" w:cs="Arial"/>
          <w:i/>
        </w:rPr>
        <w:tab/>
        <w:t>Federal Acquisition Regulation</w:t>
      </w:r>
    </w:p>
    <w:p w:rsidR="00937494" w:rsidP="00937494">
      <w:pPr>
        <w:adjustRightInd w:val="0"/>
        <w:ind w:left="360"/>
        <w:rPr>
          <w:rFonts w:ascii="Arial" w:hAnsi="Arial" w:cs="Arial"/>
          <w:i/>
        </w:rPr>
      </w:pPr>
      <w:r>
        <w:rPr>
          <w:rFonts w:ascii="Arial" w:hAnsi="Arial" w:cs="Arial"/>
          <w:i/>
        </w:rPr>
        <w:tab/>
        <w:t>UF</w:t>
      </w:r>
      <w:r>
        <w:rPr>
          <w:rFonts w:ascii="Arial" w:hAnsi="Arial" w:cs="Arial"/>
          <w:i/>
        </w:rPr>
        <w:tab/>
      </w:r>
      <w:r>
        <w:rPr>
          <w:rFonts w:ascii="Arial" w:hAnsi="Arial" w:cs="Arial"/>
          <w:i/>
        </w:rPr>
        <w:tab/>
        <w:t>University of Florida</w:t>
      </w:r>
    </w:p>
    <w:p w:rsidR="00937494" w:rsidRPr="008F018C" w:rsidP="00937494">
      <w:pPr>
        <w:adjustRightInd w:val="0"/>
        <w:ind w:left="360"/>
        <w:rPr>
          <w:rFonts w:ascii="Arial" w:hAnsi="Arial" w:cs="Arial"/>
          <w:i/>
        </w:rPr>
      </w:pPr>
      <w:r>
        <w:rPr>
          <w:rFonts w:ascii="Arial" w:hAnsi="Arial" w:cs="Arial"/>
          <w:i/>
        </w:rPr>
        <w:tab/>
        <w:t>IPM</w:t>
      </w:r>
      <w:r>
        <w:rPr>
          <w:rFonts w:ascii="Arial" w:hAnsi="Arial" w:cs="Arial"/>
          <w:i/>
        </w:rPr>
        <w:tab/>
      </w:r>
      <w:r>
        <w:rPr>
          <w:rFonts w:ascii="Arial" w:hAnsi="Arial" w:cs="Arial"/>
          <w:i/>
        </w:rPr>
        <w:tab/>
        <w:t>Integrated Pest Management Plan</w:t>
      </w:r>
      <w:r>
        <w:rPr>
          <w:rFonts w:ascii="Arial" w:hAnsi="Arial" w:cs="Arial"/>
          <w:i/>
        </w:rPr>
        <w:tab/>
      </w:r>
    </w:p>
    <w:p w:rsidR="00937494" w:rsidRPr="008F018C" w:rsidP="00937494">
      <w:pPr>
        <w:tabs>
          <w:tab w:val="left" w:pos="1512"/>
        </w:tabs>
        <w:spacing w:before="108"/>
        <w:ind w:left="360"/>
        <w:jc w:val="both"/>
        <w:rPr>
          <w:b/>
          <w:u w:val="single"/>
        </w:rPr>
      </w:pPr>
    </w:p>
    <w:p w:rsidR="00937494" w:rsidP="00937494">
      <w:pPr>
        <w:numPr>
          <w:ilvl w:val="0"/>
          <w:numId w:val="1"/>
        </w:numPr>
        <w:autoSpaceDE w:val="0"/>
        <w:autoSpaceDN w:val="0"/>
        <w:spacing w:after="0" w:line="240" w:lineRule="auto"/>
        <w:jc w:val="both"/>
        <w:rPr>
          <w:b/>
          <w:u w:val="single"/>
        </w:rPr>
      </w:pPr>
      <w:r w:rsidRPr="008F018C">
        <w:rPr>
          <w:b/>
          <w:u w:val="single"/>
        </w:rPr>
        <w:t>Performance Requirements</w:t>
      </w:r>
    </w:p>
    <w:p w:rsidR="00937494" w:rsidP="00937494">
      <w:pPr>
        <w:ind w:left="1080"/>
        <w:jc w:val="both"/>
        <w:rPr>
          <w:b/>
          <w:u w:val="single"/>
        </w:rPr>
      </w:pPr>
    </w:p>
    <w:p w:rsidR="00937494" w:rsidP="00937494">
      <w:pPr>
        <w:numPr>
          <w:ilvl w:val="1"/>
          <w:numId w:val="1"/>
        </w:numPr>
        <w:autoSpaceDE w:val="0"/>
        <w:autoSpaceDN w:val="0"/>
        <w:spacing w:after="0" w:line="240" w:lineRule="auto"/>
        <w:jc w:val="both"/>
        <w:rPr>
          <w:b/>
          <w:u w:val="single"/>
        </w:rPr>
      </w:pPr>
      <w:r>
        <w:t>Upon award of contract, the Contractor shall pressure wash the main entrances, walkways, and any sitting area within, for the duration of the contract twice annually (2 times a year).</w:t>
      </w:r>
      <w:r w:rsidRPr="009D2413">
        <w:t xml:space="preserve"> </w:t>
      </w:r>
      <w:r>
        <w:t xml:space="preserve">The Contractor shall ensure that the entryway has been cleared of dirt, </w:t>
      </w:r>
      <w:r>
        <w:t xml:space="preserve">stains, moss and algae that has accumulated on the tiles. The Contractor shall clear out any dirt and debris that’s collected in the drains after the area has been thoroughly rinsed off.  The Contractor will replace any tiles, signs, and any other item broken due to pressure washing. The Contractor shall inform the </w:t>
      </w:r>
      <w:r>
        <w:t>POC</w:t>
      </w:r>
      <w:r>
        <w:t xml:space="preserve"> of any damages that is present in the area. </w:t>
      </w:r>
    </w:p>
    <w:p w:rsidR="00937494" w:rsidP="00937494">
      <w:pPr>
        <w:ind w:left="1080"/>
        <w:jc w:val="both"/>
        <w:rPr>
          <w:b/>
          <w:u w:val="single"/>
        </w:rPr>
      </w:pPr>
    </w:p>
    <w:p w:rsidR="00937494" w:rsidP="00937494">
      <w:pPr>
        <w:numPr>
          <w:ilvl w:val="1"/>
          <w:numId w:val="1"/>
        </w:numPr>
        <w:autoSpaceDE w:val="0"/>
        <w:autoSpaceDN w:val="0"/>
        <w:spacing w:after="0" w:line="240" w:lineRule="auto"/>
        <w:jc w:val="both"/>
      </w:pPr>
      <w:r>
        <w:t xml:space="preserve">The </w:t>
      </w:r>
      <w:r w:rsidRPr="00F0085B">
        <w:t xml:space="preserve">Contractor </w:t>
      </w:r>
      <w:r>
        <w:t>will</w:t>
      </w:r>
      <w:r w:rsidRPr="00F0085B">
        <w:t xml:space="preserve"> pressure wash the </w:t>
      </w:r>
      <w:r>
        <w:t>entrances</w:t>
      </w:r>
      <w:r w:rsidRPr="00F0085B">
        <w:t xml:space="preserve"> </w:t>
      </w:r>
      <w:r>
        <w:t>every 6 months.</w:t>
      </w:r>
      <w:r w:rsidRPr="00F0085B">
        <w:t xml:space="preserve">   The Contractors shall perform the work </w:t>
      </w:r>
      <w:r>
        <w:t xml:space="preserve">after the hours of operations </w:t>
      </w:r>
      <w:r w:rsidRPr="00F0085B">
        <w:t xml:space="preserve">to prevent the disruption of patient care.  The Contractor shall seal off the </w:t>
      </w:r>
      <w:r>
        <w:t>areas</w:t>
      </w:r>
      <w:r w:rsidRPr="00F0085B">
        <w:t xml:space="preserve"> during the cleaning process with a barrier to prevent bystanders from interfering with the work.  The Contractor shall insure to use strong commercial chemical cleaners to remove the grease</w:t>
      </w:r>
      <w:r>
        <w:t>, stains</w:t>
      </w:r>
      <w:r w:rsidRPr="00F0085B">
        <w:t xml:space="preserve"> from </w:t>
      </w:r>
      <w:r>
        <w:t>walks</w:t>
      </w:r>
      <w:r w:rsidRPr="00F0085B">
        <w:t xml:space="preserve">, </w:t>
      </w:r>
      <w:r>
        <w:t>walls, and entryways</w:t>
      </w:r>
      <w:r w:rsidRPr="00F0085B">
        <w:t xml:space="preserve"> The Contractor shall rinse off the chemicals with hot water.  The Contractor shall insure the proper disposal of the water mix with chemicals.  The Contractor shall insure that the </w:t>
      </w:r>
      <w:r>
        <w:t xml:space="preserve">areas </w:t>
      </w:r>
      <w:r w:rsidRPr="00F0085B">
        <w:t>are properly degreased</w:t>
      </w:r>
      <w:r>
        <w:t xml:space="preserve"> and free of stains</w:t>
      </w:r>
      <w:r w:rsidRPr="00F0085B">
        <w:t xml:space="preserve"> before determining the job has been completed.</w:t>
      </w:r>
      <w:r>
        <w:t xml:space="preserve"> </w:t>
      </w:r>
    </w:p>
    <w:p w:rsidR="00937494" w:rsidP="00937494">
      <w:pPr>
        <w:pStyle w:val="ListParagraph"/>
      </w:pPr>
    </w:p>
    <w:p w:rsidR="00937494" w:rsidP="00937494">
      <w:pPr>
        <w:numPr>
          <w:ilvl w:val="1"/>
          <w:numId w:val="1"/>
        </w:numPr>
        <w:autoSpaceDE w:val="0"/>
        <w:autoSpaceDN w:val="0"/>
        <w:spacing w:after="0" w:line="240" w:lineRule="auto"/>
        <w:jc w:val="both"/>
      </w:pPr>
      <w:r>
        <w:t xml:space="preserve">The following building entrances and walkways are to be cleaned twice per year </w:t>
      </w:r>
    </w:p>
    <w:p w:rsidR="00937494" w:rsidP="00937494">
      <w:pPr>
        <w:pStyle w:val="ListParagraph"/>
      </w:pPr>
    </w:p>
    <w:p w:rsidR="00937494" w:rsidP="00937494">
      <w:pPr>
        <w:ind w:firstLine="720"/>
        <w:jc w:val="both"/>
        <w:rPr>
          <w:b/>
          <w:bCs/>
        </w:rPr>
      </w:pPr>
      <w:r w:rsidRPr="008F5803">
        <w:rPr>
          <w:b/>
          <w:bCs/>
        </w:rPr>
        <w:t>Building Entrances to be cleaned twice a year:</w:t>
      </w:r>
    </w:p>
    <w:p w:rsidR="00937494" w:rsidRPr="008F5803" w:rsidP="00937494">
      <w:pPr>
        <w:ind w:firstLine="720"/>
        <w:jc w:val="both"/>
        <w:rPr>
          <w:b/>
          <w:bCs/>
        </w:rPr>
      </w:pPr>
    </w:p>
    <w:tbl>
      <w:tblPr>
        <w:tblW w:w="8880" w:type="dxa"/>
        <w:tblInd w:w="113" w:type="dxa"/>
        <w:tblLook w:val="04A0"/>
      </w:tblPr>
      <w:tblGrid>
        <w:gridCol w:w="3720"/>
        <w:gridCol w:w="5160"/>
      </w:tblGrid>
      <w:tr w:rsidTr="00E023CA">
        <w:tblPrEx>
          <w:tblW w:w="8880" w:type="dxa"/>
          <w:tblInd w:w="113" w:type="dxa"/>
          <w:tblLook w:val="04A0"/>
        </w:tblPrEx>
        <w:trPr>
          <w:trHeight w:val="600"/>
        </w:trPr>
        <w:tc>
          <w:tcPr>
            <w:tcW w:w="3720" w:type="dxa"/>
            <w:tcBorders>
              <w:top w:val="single" w:sz="4" w:space="0" w:color="auto"/>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1 - Canteen Entrance</w:t>
            </w:r>
          </w:p>
        </w:tc>
        <w:tc>
          <w:tcPr>
            <w:tcW w:w="5160" w:type="dxa"/>
            <w:tcBorders>
              <w:top w:val="single" w:sz="4" w:space="0" w:color="auto"/>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Doors, Walls, Lights, Stairs, Curbs, Tables, Benches, Trashcans, Walkways, Picnic Pads, and Patio</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1 - Dockside Entrance</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Doors, </w:t>
            </w:r>
            <w:r>
              <w:rPr>
                <w:rFonts w:ascii="Aptos Narrow" w:hAnsi="Aptos Narrow"/>
                <w:color w:val="000000"/>
              </w:rPr>
              <w:t>Overhang</w:t>
            </w:r>
            <w:r w:rsidRPr="00604949">
              <w:rPr>
                <w:rFonts w:ascii="Aptos Narrow" w:hAnsi="Aptos Narrow"/>
                <w:color w:val="000000"/>
              </w:rPr>
              <w:t>, Walls, Curbing, Railing, and Ramp to Parking Lot</w:t>
            </w:r>
          </w:p>
        </w:tc>
      </w:tr>
      <w:tr w:rsidTr="00E023CA">
        <w:tblPrEx>
          <w:tblW w:w="8880" w:type="dxa"/>
          <w:tblInd w:w="113" w:type="dxa"/>
          <w:tblLook w:val="04A0"/>
        </w:tblPrEx>
        <w:trPr>
          <w:trHeight w:val="3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1 - Main Waterside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Doors, Walls, Lights, Walkways, and Stairs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2 - North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Doors, Lights, Walls, Trashcan, Ceiling, Walkways, Stairs, Ramp to Parking, and Railing</w:t>
            </w:r>
          </w:p>
        </w:tc>
      </w:tr>
      <w:tr w:rsidTr="00E023CA">
        <w:tblPrEx>
          <w:tblW w:w="8880" w:type="dxa"/>
          <w:tblInd w:w="113" w:type="dxa"/>
          <w:tblLook w:val="04A0"/>
        </w:tblPrEx>
        <w:trPr>
          <w:trHeight w:val="3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2 - East Main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Doors, Walls, Stairs, Lights, Railing, and Walkways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2 - South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Doors, Walls, Lights, Ceiling, Railing, Walkway, Ramp to Parking, and Stairs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2 - West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Doors, Walls, Lights, Ceiling, Railing, Walkway, Ramp, and Stairs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11 - VA Police Main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 xml:space="preserve">Doors, </w:t>
            </w:r>
            <w:r>
              <w:rPr>
                <w:rFonts w:ascii="Calibri" w:hAnsi="Calibri" w:cs="Calibri"/>
                <w:color w:val="000000"/>
              </w:rPr>
              <w:t>Overhang</w:t>
            </w:r>
            <w:r w:rsidRPr="00604949">
              <w:rPr>
                <w:rFonts w:ascii="Calibri" w:hAnsi="Calibri" w:cs="Calibri"/>
                <w:color w:val="000000"/>
              </w:rPr>
              <w:t>, Walls, Railing, Stairs, and Concrete Landing</w:t>
            </w:r>
          </w:p>
        </w:tc>
      </w:tr>
      <w:tr w:rsidTr="00E023CA">
        <w:tblPrEx>
          <w:tblW w:w="8880" w:type="dxa"/>
          <w:tblInd w:w="113" w:type="dxa"/>
          <w:tblLook w:val="04A0"/>
        </w:tblPrEx>
        <w:trPr>
          <w:trHeight w:val="3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20 - Post Office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Doors, Walls, Lights, Railings, Stairs, and Walkway</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1-22 - Admin East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Doors, Walkway, Stairs, Railings, Bench, Lights, and Trashcan</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1-22 - West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Doors, Walkway, Stairs, Railings, Walls, Lights, and Trashcan</w:t>
            </w:r>
          </w:p>
        </w:tc>
      </w:tr>
      <w:tr w:rsidTr="00E023CA">
        <w:tblPrEx>
          <w:tblW w:w="8880" w:type="dxa"/>
          <w:tblInd w:w="113" w:type="dxa"/>
          <w:tblLook w:val="04A0"/>
        </w:tblPrEx>
        <w:trPr>
          <w:trHeight w:val="3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22 - Bus Stop</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Bench</w:t>
            </w:r>
            <w:r>
              <w:rPr>
                <w:rFonts w:ascii="Calibri" w:hAnsi="Calibri" w:cs="Calibri"/>
                <w:color w:val="000000"/>
              </w:rPr>
              <w:t>e</w:t>
            </w:r>
            <w:r w:rsidRPr="00604949">
              <w:rPr>
                <w:rFonts w:ascii="Calibri" w:hAnsi="Calibri" w:cs="Calibri"/>
                <w:color w:val="000000"/>
              </w:rPr>
              <w:t>s, Bus Shelters, Trashcans, Walkways, and Curb</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22 - North Entrance</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Doors, Walls, Lights, </w:t>
            </w:r>
            <w:r>
              <w:rPr>
                <w:rFonts w:ascii="Aptos Narrow" w:hAnsi="Aptos Narrow"/>
                <w:color w:val="000000"/>
              </w:rPr>
              <w:t>Overhang</w:t>
            </w:r>
            <w:r w:rsidRPr="00604949">
              <w:rPr>
                <w:rFonts w:ascii="Aptos Narrow" w:hAnsi="Aptos Narrow"/>
                <w:color w:val="000000"/>
              </w:rPr>
              <w:t>, Stairs, Walkway, Railing, Curb, Ramp, and Trashcan</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23 - East Entrance</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Doors, Walls, Lights, Benches, Trashcans, </w:t>
            </w:r>
            <w:r>
              <w:rPr>
                <w:rFonts w:ascii="Aptos Narrow" w:hAnsi="Aptos Narrow"/>
                <w:color w:val="000000"/>
              </w:rPr>
              <w:t>Overhang</w:t>
            </w:r>
            <w:r w:rsidRPr="00604949">
              <w:rPr>
                <w:rFonts w:ascii="Aptos Narrow" w:hAnsi="Aptos Narrow"/>
                <w:color w:val="000000"/>
              </w:rPr>
              <w:t>, Pillars, and Walkway</w:t>
            </w:r>
          </w:p>
        </w:tc>
      </w:tr>
      <w:tr w:rsidTr="00E023CA">
        <w:tblPrEx>
          <w:tblW w:w="8880" w:type="dxa"/>
          <w:tblInd w:w="113" w:type="dxa"/>
          <w:tblLook w:val="04A0"/>
        </w:tblPrEx>
        <w:trPr>
          <w:trHeight w:val="3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 xml:space="preserve">Building 24 - South </w:t>
            </w:r>
            <w:r>
              <w:rPr>
                <w:rFonts w:ascii="Calibri" w:hAnsi="Calibri" w:cs="Calibri"/>
                <w:color w:val="000000"/>
              </w:rPr>
              <w:t>E</w:t>
            </w:r>
            <w:r w:rsidRPr="00604949">
              <w:rPr>
                <w:rFonts w:ascii="Calibri" w:hAnsi="Calibri" w:cs="Calibri"/>
                <w:color w:val="000000"/>
              </w:rPr>
              <w:t>ntrance</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Walkway, Ramp, Walls, Railing, Curb, and </w:t>
            </w:r>
            <w:r>
              <w:rPr>
                <w:rFonts w:ascii="Aptos Narrow" w:hAnsi="Aptos Narrow"/>
                <w:color w:val="000000"/>
              </w:rPr>
              <w:t>Overhang</w:t>
            </w:r>
          </w:p>
        </w:tc>
      </w:tr>
      <w:tr w:rsidTr="00E023CA">
        <w:tblPrEx>
          <w:tblW w:w="8880" w:type="dxa"/>
          <w:tblInd w:w="113" w:type="dxa"/>
          <w:tblLook w:val="04A0"/>
        </w:tblPrEx>
        <w:trPr>
          <w:trHeight w:val="3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36 - Veterans Courtyard</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Walkway, Planters, Tables, Benches, and Trashcans</w:t>
            </w:r>
          </w:p>
        </w:tc>
      </w:tr>
      <w:tr w:rsidTr="00E023CA">
        <w:tblPrEx>
          <w:tblW w:w="8880" w:type="dxa"/>
          <w:tblInd w:w="113" w:type="dxa"/>
          <w:tblLook w:val="04A0"/>
        </w:tblPrEx>
        <w:trPr>
          <w:trHeight w:val="305"/>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37 - Courtyard Entrance</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Doors, Walls, Lights, Ceiling, Rails, Walkway, and Stairs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37 - Loading Dock</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Doors, Walls, Lights, </w:t>
            </w:r>
            <w:r>
              <w:rPr>
                <w:rFonts w:ascii="Aptos Narrow" w:hAnsi="Aptos Narrow"/>
                <w:color w:val="000000"/>
              </w:rPr>
              <w:t>Overhang</w:t>
            </w:r>
            <w:r w:rsidRPr="00604949">
              <w:rPr>
                <w:rFonts w:ascii="Aptos Narrow" w:hAnsi="Aptos Narrow"/>
                <w:color w:val="000000"/>
              </w:rPr>
              <w:t>, Railing, Walkways, and Ramps to Parking Lot</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 xml:space="preserve">Building 71 &amp; 101 - Main Entrance </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Doors, Sidewalks, Walls, Benches, </w:t>
            </w:r>
            <w:r>
              <w:rPr>
                <w:rFonts w:ascii="Aptos Narrow" w:hAnsi="Aptos Narrow"/>
                <w:color w:val="000000"/>
              </w:rPr>
              <w:t>Overhang</w:t>
            </w:r>
            <w:r w:rsidRPr="00604949">
              <w:rPr>
                <w:rFonts w:ascii="Aptos Narrow" w:hAnsi="Aptos Narrow"/>
                <w:color w:val="000000"/>
              </w:rPr>
              <w:t>, Lights, and Pillars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100 - East Entrance</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Doors, Walls, Walkways, </w:t>
            </w:r>
            <w:r>
              <w:rPr>
                <w:rFonts w:ascii="Aptos Narrow" w:hAnsi="Aptos Narrow"/>
                <w:color w:val="000000"/>
              </w:rPr>
              <w:t>Overhang</w:t>
            </w:r>
            <w:r w:rsidRPr="00604949">
              <w:rPr>
                <w:rFonts w:ascii="Aptos Narrow" w:hAnsi="Aptos Narrow"/>
                <w:color w:val="000000"/>
              </w:rPr>
              <w:t>, Lights, Benches, and Pillars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100 - Emergency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 xml:space="preserve">Doors, Walls, Walkways, </w:t>
            </w:r>
            <w:r>
              <w:rPr>
                <w:rFonts w:ascii="Calibri" w:hAnsi="Calibri" w:cs="Calibri"/>
                <w:color w:val="000000"/>
              </w:rPr>
              <w:t>Overhang</w:t>
            </w:r>
            <w:r w:rsidRPr="00604949">
              <w:rPr>
                <w:rFonts w:ascii="Calibri" w:hAnsi="Calibri" w:cs="Calibri"/>
                <w:color w:val="000000"/>
              </w:rPr>
              <w:t>, Railings, Curb, Benches, Trashcans, Lights, and Parking Spaces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100 - Main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 xml:space="preserve">Doors, Walls, </w:t>
            </w:r>
            <w:r>
              <w:rPr>
                <w:rFonts w:ascii="Calibri" w:hAnsi="Calibri" w:cs="Calibri"/>
                <w:color w:val="000000"/>
              </w:rPr>
              <w:t>Overhang</w:t>
            </w:r>
            <w:r w:rsidRPr="00604949">
              <w:rPr>
                <w:rFonts w:ascii="Calibri" w:hAnsi="Calibri" w:cs="Calibri"/>
                <w:color w:val="000000"/>
              </w:rPr>
              <w:t>, Benches, Trashcans, Bollards, Lights, Curbs, Planter Walls, and Walkways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 xml:space="preserve">Building 100 </w:t>
            </w:r>
            <w:r>
              <w:rPr>
                <w:rFonts w:ascii="Calibri" w:hAnsi="Calibri" w:cs="Calibri"/>
                <w:color w:val="000000"/>
              </w:rPr>
              <w:t>-</w:t>
            </w:r>
            <w:r w:rsidRPr="00604949">
              <w:rPr>
                <w:rFonts w:ascii="Calibri" w:hAnsi="Calibri" w:cs="Calibri"/>
                <w:color w:val="000000"/>
              </w:rPr>
              <w:t xml:space="preserve"> Outpatient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 xml:space="preserve">Doors, Walls, Trashcans, Benches, Walkways, Railings, </w:t>
            </w:r>
            <w:r>
              <w:rPr>
                <w:rFonts w:ascii="Calibri" w:hAnsi="Calibri" w:cs="Calibri"/>
                <w:color w:val="000000"/>
              </w:rPr>
              <w:t>Overhang</w:t>
            </w:r>
            <w:r w:rsidRPr="00604949">
              <w:rPr>
                <w:rFonts w:ascii="Calibri" w:hAnsi="Calibri" w:cs="Calibri"/>
                <w:color w:val="000000"/>
              </w:rPr>
              <w:t>, Lights, and Curbs</w:t>
            </w:r>
          </w:p>
        </w:tc>
      </w:tr>
      <w:tr w:rsidTr="00E023CA">
        <w:tblPrEx>
          <w:tblW w:w="8880" w:type="dxa"/>
          <w:tblInd w:w="113" w:type="dxa"/>
          <w:tblLook w:val="04A0"/>
        </w:tblPrEx>
        <w:trPr>
          <w:trHeight w:val="9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100 - Plaza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 xml:space="preserve">Doors, Walkways, Concrete Patio Areas, Walls, </w:t>
            </w:r>
            <w:r>
              <w:rPr>
                <w:rFonts w:ascii="Calibri" w:hAnsi="Calibri" w:cs="Calibri"/>
                <w:color w:val="000000"/>
              </w:rPr>
              <w:t>Overhang</w:t>
            </w:r>
            <w:r w:rsidRPr="00604949">
              <w:rPr>
                <w:rFonts w:ascii="Calibri" w:hAnsi="Calibri" w:cs="Calibri"/>
                <w:color w:val="000000"/>
              </w:rPr>
              <w:t>, Pillars, Lights, Trashcans, Benches, Picnic Tables, Sides of Water Fountain, and Lighted Bollards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101 - Entrance</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Doors, Walkway, </w:t>
            </w:r>
            <w:r>
              <w:rPr>
                <w:rFonts w:ascii="Aptos Narrow" w:hAnsi="Aptos Narrow"/>
                <w:color w:val="000000"/>
              </w:rPr>
              <w:t>Overhang</w:t>
            </w:r>
            <w:r w:rsidRPr="00604949">
              <w:rPr>
                <w:rFonts w:ascii="Aptos Narrow" w:hAnsi="Aptos Narrow"/>
                <w:color w:val="000000"/>
              </w:rPr>
              <w:t>, Lights, Railing, Picnic Tables, Walls, and Trashcans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102 - Entrances ABCD (4)</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Doors, </w:t>
            </w:r>
            <w:r>
              <w:rPr>
                <w:rFonts w:ascii="Aptos Narrow" w:hAnsi="Aptos Narrow"/>
                <w:color w:val="000000"/>
              </w:rPr>
              <w:t>Overhang</w:t>
            </w:r>
            <w:r w:rsidRPr="00604949">
              <w:rPr>
                <w:rFonts w:ascii="Aptos Narrow" w:hAnsi="Aptos Narrow"/>
                <w:color w:val="000000"/>
              </w:rPr>
              <w:t>, Lights, Sidewalk, Walls, Benches, Picnic Tables, Bike Racks, and Trashcans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102 - Service Entrance</w:t>
            </w:r>
          </w:p>
        </w:tc>
        <w:tc>
          <w:tcPr>
            <w:tcW w:w="5160" w:type="dxa"/>
            <w:tcBorders>
              <w:top w:val="nil"/>
              <w:left w:val="nil"/>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 xml:space="preserve">Doors, Walkways, Walls, </w:t>
            </w:r>
            <w:r>
              <w:rPr>
                <w:rFonts w:ascii="Calibri" w:hAnsi="Calibri" w:cs="Calibri"/>
                <w:color w:val="000000"/>
              </w:rPr>
              <w:t>Overhang</w:t>
            </w:r>
            <w:r w:rsidRPr="00604949">
              <w:rPr>
                <w:rFonts w:ascii="Calibri" w:hAnsi="Calibri" w:cs="Calibri"/>
                <w:color w:val="000000"/>
              </w:rPr>
              <w:t>, Lights, Curbs, Railing, Bollard, and Concrete Parking Area</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106 - Eye Clinic Entrance</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Doors, Glass, Benches, Walkways, Trashcans, </w:t>
            </w:r>
            <w:r>
              <w:rPr>
                <w:rFonts w:ascii="Aptos Narrow" w:hAnsi="Aptos Narrow"/>
                <w:color w:val="000000"/>
              </w:rPr>
              <w:t>Overhang</w:t>
            </w:r>
            <w:r w:rsidRPr="00604949">
              <w:rPr>
                <w:rFonts w:ascii="Aptos Narrow" w:hAnsi="Aptos Narrow"/>
                <w:color w:val="000000"/>
              </w:rPr>
              <w:t>, Walls, and Lights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106 - Parking Garage Entrance</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Doors, Walkways, </w:t>
            </w:r>
            <w:r>
              <w:rPr>
                <w:rFonts w:ascii="Aptos Narrow" w:hAnsi="Aptos Narrow"/>
                <w:color w:val="000000"/>
              </w:rPr>
              <w:t>Overhang</w:t>
            </w:r>
            <w:r w:rsidRPr="00604949">
              <w:rPr>
                <w:rFonts w:ascii="Aptos Narrow" w:hAnsi="Aptos Narrow"/>
                <w:color w:val="000000"/>
              </w:rPr>
              <w:t>, Walls, Awning Posts, and Lights</w:t>
            </w:r>
          </w:p>
        </w:tc>
      </w:tr>
      <w:tr w:rsidTr="00E023CA">
        <w:tblPrEx>
          <w:tblW w:w="8880" w:type="dxa"/>
          <w:tblInd w:w="113" w:type="dxa"/>
          <w:tblLook w:val="04A0"/>
        </w:tblPrEx>
        <w:trPr>
          <w:trHeight w:val="6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107 - ROC Entrance</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Doors, Lights, </w:t>
            </w:r>
            <w:r>
              <w:rPr>
                <w:rFonts w:ascii="Aptos Narrow" w:hAnsi="Aptos Narrow"/>
                <w:color w:val="000000"/>
              </w:rPr>
              <w:t>Overhang</w:t>
            </w:r>
            <w:r w:rsidRPr="00604949">
              <w:rPr>
                <w:rFonts w:ascii="Aptos Narrow" w:hAnsi="Aptos Narrow"/>
                <w:color w:val="000000"/>
              </w:rPr>
              <w:t>, Bollards, Walkways, and Trashcan</w:t>
            </w:r>
          </w:p>
        </w:tc>
      </w:tr>
      <w:tr w:rsidTr="00E023CA">
        <w:tblPrEx>
          <w:tblW w:w="8880" w:type="dxa"/>
          <w:tblInd w:w="113" w:type="dxa"/>
          <w:tblLook w:val="04A0"/>
        </w:tblPrEx>
        <w:trPr>
          <w:trHeight w:val="9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111 - Main Entrance</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000000"/>
              </w:rPr>
            </w:pPr>
            <w:r w:rsidRPr="00604949">
              <w:rPr>
                <w:rFonts w:ascii="Aptos Narrow" w:hAnsi="Aptos Narrow"/>
                <w:color w:val="000000"/>
              </w:rPr>
              <w:t xml:space="preserve">Doors, Walkways, Concrete Pillars, </w:t>
            </w:r>
            <w:r>
              <w:rPr>
                <w:rFonts w:ascii="Aptos Narrow" w:hAnsi="Aptos Narrow"/>
                <w:color w:val="000000"/>
              </w:rPr>
              <w:t>Overhang</w:t>
            </w:r>
            <w:r w:rsidRPr="00604949">
              <w:rPr>
                <w:rFonts w:ascii="Aptos Narrow" w:hAnsi="Aptos Narrow"/>
                <w:color w:val="000000"/>
              </w:rPr>
              <w:t>, Walls, Benches, Trashcans, Planters, Bollards, Bike Racks, and Tables.</w:t>
            </w:r>
          </w:p>
        </w:tc>
      </w:tr>
      <w:tr w:rsidTr="00E023CA">
        <w:tblPrEx>
          <w:tblW w:w="8880" w:type="dxa"/>
          <w:tblInd w:w="113" w:type="dxa"/>
          <w:tblLook w:val="04A0"/>
        </w:tblPrEx>
        <w:trPr>
          <w:trHeight w:val="300"/>
        </w:trPr>
        <w:tc>
          <w:tcPr>
            <w:tcW w:w="3720" w:type="dxa"/>
            <w:tcBorders>
              <w:top w:val="nil"/>
              <w:left w:val="single" w:sz="4" w:space="0" w:color="auto"/>
              <w:bottom w:val="single" w:sz="4" w:space="0" w:color="auto"/>
              <w:right w:val="single" w:sz="4" w:space="0" w:color="auto"/>
            </w:tcBorders>
            <w:vAlign w:val="center"/>
            <w:hideMark/>
          </w:tcPr>
          <w:p w:rsidR="00937494" w:rsidRPr="00604949" w:rsidP="00E023CA">
            <w:pPr>
              <w:rPr>
                <w:rFonts w:ascii="Calibri" w:hAnsi="Calibri" w:cs="Calibri"/>
                <w:color w:val="000000"/>
              </w:rPr>
            </w:pPr>
            <w:r w:rsidRPr="00604949">
              <w:rPr>
                <w:rFonts w:ascii="Calibri" w:hAnsi="Calibri" w:cs="Calibri"/>
                <w:color w:val="000000"/>
              </w:rPr>
              <w:t>Building 111 - Patio Entrance</w:t>
            </w:r>
          </w:p>
        </w:tc>
        <w:tc>
          <w:tcPr>
            <w:tcW w:w="5160" w:type="dxa"/>
            <w:tcBorders>
              <w:top w:val="nil"/>
              <w:left w:val="nil"/>
              <w:bottom w:val="single" w:sz="4" w:space="0" w:color="auto"/>
              <w:right w:val="single" w:sz="4" w:space="0" w:color="auto"/>
            </w:tcBorders>
            <w:vAlign w:val="bottom"/>
            <w:hideMark/>
          </w:tcPr>
          <w:p w:rsidR="00937494" w:rsidRPr="00604949" w:rsidP="00E023CA">
            <w:pPr>
              <w:rPr>
                <w:rFonts w:ascii="Aptos Narrow" w:hAnsi="Aptos Narrow"/>
                <w:color w:val="FF0000"/>
              </w:rPr>
            </w:pPr>
            <w:r w:rsidRPr="002B2359">
              <w:rPr>
                <w:rFonts w:ascii="Aptos Narrow" w:hAnsi="Aptos Narrow"/>
              </w:rPr>
              <w:t xml:space="preserve">Doors, Walkways, Walls, Lights, </w:t>
            </w:r>
            <w:r>
              <w:rPr>
                <w:rFonts w:ascii="Aptos Narrow" w:hAnsi="Aptos Narrow"/>
              </w:rPr>
              <w:t xml:space="preserve">and </w:t>
            </w:r>
            <w:r w:rsidRPr="002B2359">
              <w:rPr>
                <w:rFonts w:ascii="Aptos Narrow" w:hAnsi="Aptos Narrow"/>
              </w:rPr>
              <w:t>Planters</w:t>
            </w:r>
          </w:p>
        </w:tc>
      </w:tr>
    </w:tbl>
    <w:p w:rsidR="00937494" w:rsidP="00937494">
      <w:pPr>
        <w:pStyle w:val="ListParagraph"/>
      </w:pPr>
    </w:p>
    <w:p w:rsidR="00937494" w:rsidP="00937494">
      <w:pPr>
        <w:ind w:left="1080"/>
        <w:jc w:val="both"/>
      </w:pPr>
      <w:r w:rsidRPr="009650CC">
        <w:t xml:space="preserve">Complete </w:t>
      </w:r>
      <w:r>
        <w:t>pressure</w:t>
      </w:r>
      <w:r w:rsidRPr="009650CC">
        <w:t xml:space="preserve"> </w:t>
      </w:r>
      <w:r>
        <w:t>w</w:t>
      </w:r>
      <w:r w:rsidRPr="009650CC">
        <w:t xml:space="preserve">ashing </w:t>
      </w:r>
      <w:r>
        <w:t>e</w:t>
      </w:r>
      <w:r w:rsidRPr="009650CC">
        <w:t xml:space="preserve">ntry </w:t>
      </w:r>
      <w:r>
        <w:t>a</w:t>
      </w:r>
      <w:r w:rsidRPr="009650CC">
        <w:t>reas</w:t>
      </w:r>
      <w:r>
        <w:t xml:space="preserve"> including walkways and any sitting areas measuring approximately</w:t>
      </w:r>
      <w:r w:rsidRPr="009650CC">
        <w:t xml:space="preserve"> 15</w:t>
      </w:r>
      <w:r>
        <w:t>5,000</w:t>
      </w:r>
      <w:r w:rsidRPr="009650CC">
        <w:t xml:space="preserve"> SF </w:t>
      </w:r>
      <w:r>
        <w:t xml:space="preserve">in total to be </w:t>
      </w:r>
      <w:r w:rsidRPr="009650CC">
        <w:t xml:space="preserve">completed 2 times per year. </w:t>
      </w:r>
      <w:r>
        <w:t>(every 6 months).</w:t>
      </w:r>
    </w:p>
    <w:p w:rsidR="00937494" w:rsidRPr="00FF4658" w:rsidP="00937494">
      <w:pPr>
        <w:tabs>
          <w:tab w:val="left" w:pos="1512"/>
        </w:tabs>
        <w:spacing w:before="108"/>
        <w:ind w:left="360"/>
        <w:jc w:val="both"/>
      </w:pPr>
    </w:p>
    <w:p w:rsidR="00937494" w:rsidP="00937494">
      <w:pPr>
        <w:widowControl w:val="0"/>
        <w:numPr>
          <w:ilvl w:val="0"/>
          <w:numId w:val="1"/>
        </w:numPr>
        <w:autoSpaceDE w:val="0"/>
        <w:autoSpaceDN w:val="0"/>
        <w:spacing w:after="0" w:line="240" w:lineRule="auto"/>
        <w:jc w:val="both"/>
      </w:pPr>
      <w:r>
        <w:rPr>
          <w:b/>
          <w:u w:val="single"/>
        </w:rPr>
        <w:t>Period of Performance</w:t>
      </w:r>
      <w:r w:rsidRPr="00FF4658">
        <w:rPr>
          <w:b/>
          <w:u w:val="single"/>
        </w:rPr>
        <w:t xml:space="preserve"> Location and Hou</w:t>
      </w:r>
      <w:r>
        <w:rPr>
          <w:b/>
          <w:u w:val="single"/>
        </w:rPr>
        <w:t>rs</w:t>
      </w:r>
      <w:r>
        <w:t xml:space="preserve"> </w:t>
      </w:r>
    </w:p>
    <w:p w:rsidR="00937494" w:rsidP="00937494">
      <w:pPr>
        <w:pStyle w:val="NoSpacing"/>
        <w:widowControl/>
        <w:numPr>
          <w:ilvl w:val="1"/>
          <w:numId w:val="2"/>
        </w:numPr>
        <w:autoSpaceDE/>
        <w:autoSpaceDN/>
      </w:pPr>
      <w:r>
        <w:t xml:space="preserve">Contract period of performance dates: </w:t>
      </w:r>
    </w:p>
    <w:p w:rsidR="00937494" w:rsidP="00937494">
      <w:pPr>
        <w:pStyle w:val="NoSpacing"/>
        <w:widowControl/>
        <w:numPr>
          <w:ilvl w:val="2"/>
          <w:numId w:val="2"/>
        </w:numPr>
        <w:autoSpaceDE/>
        <w:autoSpaceDN/>
      </w:pPr>
      <w:r>
        <w:t>Base Period: 8/1/2026 to 7/31/2027</w:t>
      </w:r>
    </w:p>
    <w:p w:rsidR="00937494" w:rsidP="00937494">
      <w:pPr>
        <w:pStyle w:val="NoSpacing"/>
        <w:widowControl/>
        <w:numPr>
          <w:ilvl w:val="2"/>
          <w:numId w:val="2"/>
        </w:numPr>
        <w:autoSpaceDE/>
        <w:autoSpaceDN/>
      </w:pPr>
      <w:r>
        <w:t>Option Period I: 8/1/2027 to 7/31/2028</w:t>
      </w:r>
    </w:p>
    <w:p w:rsidR="00937494" w:rsidP="00937494">
      <w:pPr>
        <w:pStyle w:val="NoSpacing"/>
        <w:widowControl/>
        <w:numPr>
          <w:ilvl w:val="2"/>
          <w:numId w:val="2"/>
        </w:numPr>
        <w:autoSpaceDE/>
        <w:autoSpaceDN/>
      </w:pPr>
      <w:r>
        <w:t>Option Period II: 8/1/2028 to 7/31/2029</w:t>
      </w:r>
    </w:p>
    <w:p w:rsidR="00937494" w:rsidRPr="00161697" w:rsidP="00937494">
      <w:pPr>
        <w:pStyle w:val="NoSpacing"/>
        <w:widowControl/>
        <w:numPr>
          <w:ilvl w:val="2"/>
          <w:numId w:val="2"/>
        </w:numPr>
        <w:autoSpaceDE/>
        <w:autoSpaceDN/>
      </w:pPr>
      <w:r>
        <w:t>Option Period III: 8/1/2029 to 7/31/2030</w:t>
      </w:r>
    </w:p>
    <w:p w:rsidR="00937494" w:rsidP="00937494">
      <w:pPr>
        <w:pStyle w:val="NoSpacing"/>
        <w:widowControl/>
        <w:numPr>
          <w:ilvl w:val="2"/>
          <w:numId w:val="2"/>
        </w:numPr>
        <w:autoSpaceDE/>
        <w:autoSpaceDN/>
      </w:pPr>
      <w:r>
        <w:t>Option Period IV: 8/1/2030 to 7/31/2031</w:t>
      </w:r>
      <w:r w:rsidRPr="00182F53">
        <w:t xml:space="preserve"> </w:t>
      </w:r>
    </w:p>
    <w:p w:rsidR="00937494" w:rsidRPr="00D70205" w:rsidP="00937494">
      <w:pPr>
        <w:ind w:left="360"/>
        <w:jc w:val="both"/>
      </w:pPr>
    </w:p>
    <w:p w:rsidR="00937494" w:rsidRPr="00FF4658" w:rsidP="00937494">
      <w:pPr>
        <w:tabs>
          <w:tab w:val="left" w:pos="1512"/>
        </w:tabs>
        <w:spacing w:before="108"/>
        <w:ind w:left="360"/>
        <w:jc w:val="both"/>
      </w:pPr>
      <w:r>
        <w:t xml:space="preserve">5.1 </w:t>
      </w:r>
      <w:r w:rsidRPr="00FF4658">
        <w:t>The</w:t>
      </w:r>
      <w:r>
        <w:t xml:space="preserve"> Bay Pines VA Healthcare System, C.W. Bill Young Medical Center, 10000 Bay Pines Blvd., Bay Pines, FL 33744</w:t>
      </w:r>
    </w:p>
    <w:p w:rsidR="00937494" w:rsidP="00937494">
      <w:pPr>
        <w:tabs>
          <w:tab w:val="left" w:pos="1512"/>
        </w:tabs>
        <w:spacing w:before="108"/>
        <w:ind w:left="360"/>
        <w:jc w:val="both"/>
      </w:pPr>
      <w:r>
        <w:t xml:space="preserve">5.2 </w:t>
      </w:r>
      <w:r w:rsidRPr="00FF4658">
        <w:t xml:space="preserve">Work is to be </w:t>
      </w:r>
      <w:r>
        <w:t xml:space="preserve">coordinated with Contracting Office Representative to avoid interrupting patient or visitor services. </w:t>
      </w:r>
      <w:r w:rsidRPr="00FF4658">
        <w:t xml:space="preserve"> </w:t>
      </w:r>
    </w:p>
    <w:p w:rsidR="00937494" w:rsidP="00937494">
      <w:pPr>
        <w:tabs>
          <w:tab w:val="left" w:pos="1512"/>
        </w:tabs>
        <w:spacing w:before="108"/>
        <w:ind w:left="360"/>
        <w:jc w:val="both"/>
      </w:pPr>
      <w:r>
        <w:t>5.3 Work must be done after hours between 6:00 pm and 12:00 midnight Monday - Friday. Weekends 7:00 am – 6:00 pm</w:t>
      </w:r>
    </w:p>
    <w:p w:rsidR="00937494" w:rsidRPr="00FF4658" w:rsidP="00937494">
      <w:pPr>
        <w:tabs>
          <w:tab w:val="left" w:pos="1512"/>
        </w:tabs>
        <w:spacing w:before="108"/>
        <w:ind w:left="720"/>
        <w:jc w:val="both"/>
      </w:pPr>
    </w:p>
    <w:p w:rsidR="00937494" w:rsidRPr="008C3625" w:rsidP="00937494">
      <w:pPr>
        <w:widowControl w:val="0"/>
        <w:numPr>
          <w:ilvl w:val="0"/>
          <w:numId w:val="1"/>
        </w:numPr>
        <w:autoSpaceDE w:val="0"/>
        <w:autoSpaceDN w:val="0"/>
        <w:spacing w:after="0" w:line="240" w:lineRule="auto"/>
        <w:jc w:val="both"/>
      </w:pPr>
      <w:r w:rsidRPr="000220E3">
        <w:rPr>
          <w:b/>
          <w:u w:val="single"/>
        </w:rPr>
        <w:t>Deliverables</w:t>
      </w:r>
    </w:p>
    <w:p w:rsidR="00937494" w:rsidP="00937494">
      <w:pPr>
        <w:spacing w:before="108"/>
        <w:ind w:left="360"/>
        <w:jc w:val="both"/>
      </w:pPr>
      <w:r>
        <w:t>6.1 Field Report each time service is rendered</w:t>
      </w:r>
    </w:p>
    <w:p w:rsidR="00937494" w:rsidP="00937494">
      <w:pPr>
        <w:spacing w:before="108"/>
        <w:ind w:left="360"/>
        <w:jc w:val="both"/>
      </w:pPr>
      <w:r>
        <w:t>6.2 Material Data Sheets for each task</w:t>
      </w:r>
    </w:p>
    <w:p w:rsidR="00937494" w:rsidP="00937494">
      <w:pPr>
        <w:spacing w:before="108"/>
        <w:ind w:left="360"/>
        <w:jc w:val="both"/>
      </w:pPr>
      <w:r>
        <w:t>6.3 Type of Personal Protection Equipment for each task</w:t>
      </w:r>
    </w:p>
    <w:p w:rsidR="00937494" w:rsidRPr="000220E3" w:rsidP="00937494">
      <w:pPr>
        <w:tabs>
          <w:tab w:val="left" w:pos="1512"/>
        </w:tabs>
        <w:spacing w:before="108"/>
        <w:jc w:val="both"/>
      </w:pPr>
    </w:p>
    <w:p w:rsidR="00937494" w:rsidP="00937494">
      <w:pPr>
        <w:widowControl w:val="0"/>
        <w:numPr>
          <w:ilvl w:val="0"/>
          <w:numId w:val="1"/>
        </w:numPr>
        <w:autoSpaceDE w:val="0"/>
        <w:autoSpaceDN w:val="0"/>
        <w:spacing w:after="0" w:line="240" w:lineRule="auto"/>
        <w:jc w:val="both"/>
        <w:rPr>
          <w:b/>
          <w:u w:val="single"/>
        </w:rPr>
      </w:pPr>
      <w:r w:rsidRPr="000220E3">
        <w:rPr>
          <w:b/>
          <w:u w:val="single"/>
        </w:rPr>
        <w:t>Key Personnel Replacement and Substitution</w:t>
      </w:r>
    </w:p>
    <w:p w:rsidR="00937494" w:rsidRPr="00203EDF" w:rsidP="00937494">
      <w:pPr>
        <w:spacing w:before="108"/>
        <w:ind w:left="360"/>
        <w:jc w:val="both"/>
      </w:pPr>
      <w:r w:rsidRPr="00203EDF">
        <w:t>7.1 Requests for approval of substitutions shall be in writing and shall provide a detailed explanation of the circumstances necessitating the proposed substitutions. The request shall contain a complete resume for the proposed substitute, and any other information requested or required by the Contracting Officer to approve or disapprove the request. Proposed substitutes shall have qualifications that are equal to or higher than the personnel being augmented. The Contracting Officer or his/her authorized representative shall evaluate such requests and promptly notify the Contractor in writing whether the proposed substitution is acceptable.</w:t>
      </w:r>
    </w:p>
    <w:p w:rsidR="00937494" w:rsidRPr="00203EDF" w:rsidP="00937494">
      <w:pPr>
        <w:spacing w:before="108"/>
        <w:ind w:left="360"/>
        <w:jc w:val="both"/>
      </w:pPr>
      <w:r w:rsidRPr="00203EDF">
        <w:t>7.2 If the Contracting Officer determines that, (1) suitable and timely replacement of personnel who have been reassigned, terminated or have otherwise become unavailable for the contract work is not reasonably forthcoming, or (2) the resultant substitution would be so substantial as to impair the successful completion of the contract or the delivery order in accordance with the proposal accepted by the Government at time of contract award, the Contracting Officer may, (1) terminate the contract for default or for the convenience of the Government, as appropriate, or (2) at his discretion, if he finds the Contractor at fault for the condition, equitably adjust the contract price downward to compensate the Government for any resultant delay, loss or damage.</w:t>
      </w:r>
    </w:p>
    <w:p w:rsidR="00937494" w:rsidRPr="00203EDF" w:rsidP="00937494">
      <w:pPr>
        <w:tabs>
          <w:tab w:val="left" w:pos="1512"/>
        </w:tabs>
        <w:spacing w:before="108"/>
        <w:ind w:left="360"/>
        <w:jc w:val="both"/>
      </w:pPr>
    </w:p>
    <w:p w:rsidR="00937494" w:rsidRPr="00DB4396" w:rsidP="00937494">
      <w:pPr>
        <w:widowControl w:val="0"/>
        <w:numPr>
          <w:ilvl w:val="0"/>
          <w:numId w:val="1"/>
        </w:numPr>
        <w:autoSpaceDE w:val="0"/>
        <w:autoSpaceDN w:val="0"/>
        <w:spacing w:after="0" w:line="240" w:lineRule="auto"/>
        <w:jc w:val="both"/>
      </w:pPr>
      <w:r w:rsidRPr="000220E3">
        <w:rPr>
          <w:b/>
          <w:u w:val="single"/>
        </w:rPr>
        <w:t>Contractor P</w:t>
      </w:r>
      <w:r>
        <w:rPr>
          <w:b/>
          <w:u w:val="single"/>
        </w:rPr>
        <w:t>ersonnel and Management</w:t>
      </w:r>
    </w:p>
    <w:p w:rsidR="00937494" w:rsidRPr="002275F8" w:rsidP="00937494">
      <w:pPr>
        <w:adjustRightInd w:val="0"/>
        <w:spacing w:before="108"/>
        <w:ind w:left="360"/>
        <w:jc w:val="both"/>
        <w:rPr>
          <w:rFonts w:eastAsia="Calibri"/>
        </w:rPr>
      </w:pPr>
      <w:r>
        <w:rPr>
          <w:rFonts w:eastAsia="Calibri"/>
        </w:rPr>
        <w:t>8.1</w:t>
      </w:r>
      <w:r w:rsidRPr="002275F8">
        <w:rPr>
          <w:rFonts w:eastAsia="Calibri"/>
        </w:rPr>
        <w:t xml:space="preserve"> Contractor Personnel. The Contractor shall be respon</w:t>
      </w:r>
      <w:r>
        <w:rPr>
          <w:rFonts w:eastAsia="Calibri"/>
        </w:rPr>
        <w:t xml:space="preserve">sible for employing </w:t>
      </w:r>
      <w:r w:rsidRPr="002275F8">
        <w:rPr>
          <w:rFonts w:eastAsia="Calibri"/>
        </w:rPr>
        <w:t>qualified personnel to perform the work specified in this PWS. The Contractor shall maintain the personnel, organization and administrative control necessary to ensure that the work delivered meets the contract specifications and requirements.</w:t>
      </w:r>
      <w:r>
        <w:rPr>
          <w:rFonts w:eastAsia="Calibri"/>
        </w:rPr>
        <w:t xml:space="preserve"> </w:t>
      </w:r>
    </w:p>
    <w:p w:rsidR="00937494" w:rsidP="00937494">
      <w:pPr>
        <w:adjustRightInd w:val="0"/>
        <w:spacing w:before="108"/>
        <w:ind w:left="360"/>
        <w:jc w:val="both"/>
        <w:rPr>
          <w:rFonts w:eastAsia="Calibri"/>
        </w:rPr>
      </w:pPr>
      <w:r>
        <w:rPr>
          <w:rFonts w:eastAsia="Calibri"/>
        </w:rPr>
        <w:t>8.2</w:t>
      </w:r>
      <w:r w:rsidRPr="002275F8">
        <w:rPr>
          <w:rFonts w:eastAsia="Calibri"/>
        </w:rPr>
        <w:t xml:space="preserve"> Contractor Badges. Notwithstanding the requirement to wear a Government furnished badge, Contractor personnel shall also wear a laminated contractor identification badge at all times when performing services under </w:t>
      </w:r>
      <w:r>
        <w:rPr>
          <w:rFonts w:eastAsia="Calibri"/>
        </w:rPr>
        <w:t xml:space="preserve">this Contract. </w:t>
      </w:r>
      <w:r w:rsidRPr="002275F8">
        <w:rPr>
          <w:rFonts w:eastAsia="Calibri"/>
        </w:rPr>
        <w:t>The badge will contain a personal picture, name of employee, and Contractor's name. Badges shall be worn on the outer garment attached to the outer shirt or jacket pocket by a button or clip or worn around the neck secured by an appropriate identification card lanyard</w:t>
      </w:r>
      <w:r>
        <w:rPr>
          <w:rFonts w:eastAsia="Calibri"/>
        </w:rPr>
        <w:t xml:space="preserve"> above the waist</w:t>
      </w:r>
      <w:r w:rsidRPr="002275F8">
        <w:rPr>
          <w:rFonts w:eastAsia="Calibri"/>
        </w:rPr>
        <w:t>.</w:t>
      </w:r>
    </w:p>
    <w:p w:rsidR="00937494" w:rsidP="00937494">
      <w:pPr>
        <w:adjustRightInd w:val="0"/>
        <w:spacing w:before="108"/>
        <w:ind w:left="720"/>
        <w:jc w:val="both"/>
        <w:rPr>
          <w:rFonts w:eastAsia="Calibri"/>
        </w:rPr>
      </w:pPr>
      <w:r>
        <w:rPr>
          <w:rFonts w:eastAsia="Calibri"/>
        </w:rPr>
        <w:t>8.2</w:t>
      </w:r>
      <w:r w:rsidRPr="000220E3">
        <w:rPr>
          <w:rFonts w:eastAsia="Calibri"/>
        </w:rPr>
        <w:t>.1. Government issued identification badge remains the property of the Government and shall be returned to the issuing office or other designated Government personnel upon transfer of Contractor employees from the contract.</w:t>
      </w:r>
    </w:p>
    <w:p w:rsidR="00937494" w:rsidRPr="002275F8" w:rsidP="00937494">
      <w:pPr>
        <w:adjustRightInd w:val="0"/>
        <w:spacing w:before="108"/>
        <w:ind w:left="360"/>
        <w:jc w:val="both"/>
        <w:rPr>
          <w:rFonts w:eastAsia="Calibri"/>
        </w:rPr>
      </w:pPr>
      <w:r>
        <w:rPr>
          <w:rFonts w:eastAsia="Calibri"/>
        </w:rPr>
        <w:t>8.3</w:t>
      </w:r>
      <w:r w:rsidRPr="000220E3">
        <w:rPr>
          <w:rFonts w:eastAsia="Calibri"/>
        </w:rPr>
        <w:t xml:space="preserve"> Contractor Badges. Notwithstanding the requirement to wear a Government furnished badge, Contractor personnel shall also always wear a laminated contractor identification badge when performing services under this Contract, including when on Government directed travel </w:t>
      </w:r>
      <w:r>
        <w:rPr>
          <w:rFonts w:eastAsia="Calibri"/>
        </w:rPr>
        <w:t>t</w:t>
      </w:r>
      <w:r w:rsidRPr="000220E3">
        <w:rPr>
          <w:rFonts w:eastAsia="Calibri"/>
        </w:rPr>
        <w:t>he badge will contain a personal picture, name of employee, and Contractor's name. Badges shall be worn on the outer garment attached to the outer shirt or jacket pocket by a button or clip or worn around the neck secured by an appropriate identification card lanyard</w:t>
      </w:r>
      <w:r>
        <w:rPr>
          <w:rFonts w:eastAsia="Calibri"/>
        </w:rPr>
        <w:t xml:space="preserve"> above the waist</w:t>
      </w:r>
      <w:r w:rsidRPr="000220E3">
        <w:rPr>
          <w:rFonts w:eastAsia="Calibri"/>
        </w:rPr>
        <w:t>.</w:t>
      </w:r>
    </w:p>
    <w:p w:rsidR="00937494" w:rsidP="00937494">
      <w:pPr>
        <w:adjustRightInd w:val="0"/>
        <w:spacing w:before="108"/>
        <w:ind w:left="360"/>
        <w:jc w:val="both"/>
        <w:rPr>
          <w:rFonts w:eastAsia="Calibri"/>
        </w:rPr>
      </w:pPr>
      <w:r>
        <w:rPr>
          <w:rFonts w:eastAsia="Calibri"/>
        </w:rPr>
        <w:t>8.3</w:t>
      </w:r>
      <w:r w:rsidRPr="000220E3">
        <w:rPr>
          <w:rFonts w:eastAsia="Calibri"/>
        </w:rPr>
        <w:t xml:space="preserve"> Safety/Security Requirements. The Contractor shall comply with all applicable federal, state</w:t>
      </w:r>
      <w:r>
        <w:rPr>
          <w:rFonts w:eastAsia="Calibri"/>
        </w:rPr>
        <w:t>,</w:t>
      </w:r>
      <w:r w:rsidRPr="000220E3">
        <w:rPr>
          <w:rFonts w:eastAsia="Calibri"/>
        </w:rPr>
        <w:t xml:space="preserve"> and local laws and ensure performance is secure while protecting material, equipment, and supplies from damage and loss. Government security personnel shall have the express right to inspect for security violations at any time during the term of the contract.</w:t>
      </w:r>
    </w:p>
    <w:p w:rsidR="00937494" w:rsidRPr="000220E3" w:rsidP="00937494">
      <w:pPr>
        <w:adjustRightInd w:val="0"/>
        <w:spacing w:before="108"/>
        <w:ind w:left="360"/>
        <w:jc w:val="both"/>
        <w:rPr>
          <w:rFonts w:eastAsia="Calibri"/>
        </w:rPr>
      </w:pPr>
      <w:r>
        <w:rPr>
          <w:rFonts w:eastAsia="Calibri"/>
        </w:rPr>
        <w:t>8.4</w:t>
      </w:r>
      <w:r w:rsidRPr="000220E3">
        <w:rPr>
          <w:rFonts w:eastAsia="Calibri"/>
        </w:rPr>
        <w:t xml:space="preserve"> All information generated in performance of this contract becomes property of the Government and must be surrendered upon request and/or completion of the contract. The Contractor must protect against the destruction and/or misplacement of all information produced under this contract, unless directed under local policy to destroy. This includes both hard and soft copies of data.</w:t>
      </w:r>
    </w:p>
    <w:p w:rsidR="00937494" w:rsidRPr="000220E3" w:rsidP="00937494">
      <w:pPr>
        <w:adjustRightInd w:val="0"/>
        <w:spacing w:before="108"/>
        <w:ind w:left="360"/>
        <w:jc w:val="both"/>
        <w:rPr>
          <w:rFonts w:eastAsia="Calibri"/>
        </w:rPr>
      </w:pPr>
      <w:r w:rsidRPr="000220E3">
        <w:rPr>
          <w:rFonts w:eastAsia="Calibri"/>
        </w:rPr>
        <w:t>8.</w:t>
      </w:r>
      <w:r>
        <w:rPr>
          <w:rFonts w:eastAsia="Calibri"/>
        </w:rPr>
        <w:t>5</w:t>
      </w:r>
      <w:r w:rsidRPr="000220E3">
        <w:rPr>
          <w:rFonts w:eastAsia="Calibri"/>
        </w:rPr>
        <w:t xml:space="preserve">. The Contractor shall not release any information (including photographs, files, public announcements, statements, denials, or confirmations) on any part of the subject matter of this contract or any phase of any program hereunder without the prior written approval of the </w:t>
      </w:r>
      <w:r>
        <w:rPr>
          <w:rFonts w:eastAsia="Calibri"/>
        </w:rPr>
        <w:t>POC</w:t>
      </w:r>
      <w:r w:rsidRPr="000220E3">
        <w:rPr>
          <w:rFonts w:eastAsia="Calibri"/>
        </w:rPr>
        <w:t>.</w:t>
      </w:r>
    </w:p>
    <w:p w:rsidR="00937494" w:rsidRPr="000220E3" w:rsidP="00937494">
      <w:pPr>
        <w:adjustRightInd w:val="0"/>
        <w:spacing w:before="108"/>
        <w:ind w:left="360"/>
        <w:jc w:val="both"/>
        <w:rPr>
          <w:rFonts w:eastAsia="Calibri"/>
        </w:rPr>
      </w:pPr>
      <w:r>
        <w:rPr>
          <w:rFonts w:eastAsia="Calibri"/>
        </w:rPr>
        <w:t>8.6</w:t>
      </w:r>
      <w:r w:rsidRPr="000220E3">
        <w:rPr>
          <w:rFonts w:eastAsia="Calibri"/>
        </w:rPr>
        <w:t xml:space="preserve"> Standards of </w:t>
      </w:r>
      <w:r>
        <w:rPr>
          <w:rFonts w:eastAsia="Calibri"/>
        </w:rPr>
        <w:t>C</w:t>
      </w:r>
      <w:r w:rsidRPr="000220E3">
        <w:rPr>
          <w:rFonts w:eastAsia="Calibri"/>
        </w:rPr>
        <w:t>onduct</w:t>
      </w:r>
    </w:p>
    <w:p w:rsidR="00937494" w:rsidRPr="000220E3" w:rsidP="00937494">
      <w:pPr>
        <w:adjustRightInd w:val="0"/>
        <w:spacing w:before="108"/>
        <w:ind w:left="720"/>
        <w:jc w:val="both"/>
        <w:rPr>
          <w:rFonts w:eastAsia="Calibri"/>
        </w:rPr>
      </w:pPr>
      <w:r>
        <w:rPr>
          <w:rFonts w:eastAsia="Calibri"/>
        </w:rPr>
        <w:t>8.6.1</w:t>
      </w:r>
      <w:r w:rsidRPr="000220E3">
        <w:rPr>
          <w:rFonts w:eastAsia="Calibri"/>
        </w:rPr>
        <w:t xml:space="preserve"> Conduct of Personnel. Contractor personnel shall conduct themselves in a professional manner (i.e. timeliness, communication; spoken and written etc.). The Contracting Officer may require the Contractor to remove from the job site any employee working under this contract for reasons of suspected misconduct, a suspected security breach, or suspected to be under the influence of alcohol, drugs, or any other incapacitating agent. Contractor employees shall be subject to dismissal from the premises upon determination by the Contracting Officer that such action is necessary in the interests of the Government. The hospital director or designated representative has the authority to bar individuals from the Government facility. The removal from the job site or dismissal from the premises shall not relieve the Contractor of the requirement to provide sufficient personnel to perform the services as required by this performance work statement. The Government shall not reimburse the Contractor for travel and other expenses associated with the removal of personnel.</w:t>
      </w:r>
    </w:p>
    <w:p w:rsidR="00937494" w:rsidRPr="000220E3" w:rsidP="00937494">
      <w:pPr>
        <w:adjustRightInd w:val="0"/>
        <w:spacing w:before="108"/>
        <w:ind w:left="720"/>
        <w:jc w:val="both"/>
        <w:rPr>
          <w:rFonts w:eastAsia="Calibri"/>
        </w:rPr>
      </w:pPr>
      <w:r>
        <w:rPr>
          <w:rFonts w:eastAsia="Calibri"/>
        </w:rPr>
        <w:t>8.6</w:t>
      </w:r>
      <w:r w:rsidRPr="000220E3">
        <w:rPr>
          <w:rFonts w:eastAsia="Calibri"/>
        </w:rPr>
        <w:t>.2 Contractor personnel are not authorized to carry or possess personal weapons to include, but not limited to, firearms and knives with a blade length more than three inches, while assigned under this contract.</w:t>
      </w:r>
    </w:p>
    <w:p w:rsidR="00937494" w:rsidP="00937494">
      <w:pPr>
        <w:adjustRightInd w:val="0"/>
        <w:spacing w:before="108"/>
        <w:ind w:left="720"/>
        <w:jc w:val="both"/>
        <w:rPr>
          <w:rFonts w:eastAsia="Calibri"/>
        </w:rPr>
      </w:pPr>
      <w:r>
        <w:rPr>
          <w:rFonts w:eastAsia="Calibri"/>
        </w:rPr>
        <w:t>8.6</w:t>
      </w:r>
      <w:r w:rsidRPr="000220E3">
        <w:rPr>
          <w:rFonts w:eastAsia="Calibri"/>
        </w:rPr>
        <w:t>.3 Working Attire and Appearance. Contractor personnel shall present a professional appearance commensurate with standards delineated for Government civilian personnel acting in similar capacities.</w:t>
      </w:r>
      <w:r>
        <w:rPr>
          <w:rFonts w:eastAsia="Calibri"/>
        </w:rPr>
        <w:t xml:space="preserve">  Appropriate personal protective devices must be worn.</w:t>
      </w:r>
    </w:p>
    <w:p w:rsidR="00937494" w:rsidP="00937494">
      <w:pPr>
        <w:spacing w:before="108"/>
        <w:ind w:left="720"/>
        <w:jc w:val="both"/>
        <w:rPr>
          <w:rFonts w:eastAsia="Calibri"/>
        </w:rPr>
      </w:pPr>
      <w:r w:rsidRPr="000220E3">
        <w:rPr>
          <w:rFonts w:eastAsia="Calibri"/>
        </w:rPr>
        <w:t>8.</w:t>
      </w:r>
      <w:r>
        <w:rPr>
          <w:rFonts w:eastAsia="Calibri"/>
        </w:rPr>
        <w:t>6</w:t>
      </w:r>
      <w:r w:rsidRPr="000220E3">
        <w:rPr>
          <w:rFonts w:eastAsia="Calibri"/>
        </w:rPr>
        <w:t xml:space="preserve">.4 The Government reserves the right to review Contractor personnel qualifications. Upon request, resumes shall be provided to the Contracting Officer prior to clearance approval, for review and acceptance by the </w:t>
      </w:r>
      <w:r>
        <w:rPr>
          <w:rFonts w:eastAsia="Calibri"/>
        </w:rPr>
        <w:t>POC</w:t>
      </w:r>
      <w:r w:rsidRPr="000220E3">
        <w:rPr>
          <w:rFonts w:eastAsia="Calibri"/>
        </w:rPr>
        <w:t>. The intent is verification purpose and not for the Government to become the hiring authority.</w:t>
      </w:r>
    </w:p>
    <w:p w:rsidR="00937494" w:rsidRPr="002275F8" w:rsidP="00937494">
      <w:pPr>
        <w:spacing w:before="108"/>
        <w:ind w:left="720"/>
        <w:jc w:val="both"/>
      </w:pPr>
      <w:r>
        <w:rPr>
          <w:rFonts w:eastAsia="Calibri"/>
        </w:rPr>
        <w:t>8.6</w:t>
      </w:r>
      <w:r w:rsidRPr="002275F8">
        <w:rPr>
          <w:rFonts w:eastAsia="Calibri"/>
        </w:rPr>
        <w:t xml:space="preserve">.5 </w:t>
      </w:r>
      <w:r w:rsidRPr="002275F8">
        <w:t>The Contractor shall have a minimum of THREE (3) years of specialized continuous experience as requir</w:t>
      </w:r>
      <w:r>
        <w:t>ed by this Performance Work Statement (P</w:t>
      </w:r>
      <w:r w:rsidRPr="002275F8">
        <w:t>W</w:t>
      </w:r>
      <w:r>
        <w:t>S</w:t>
      </w:r>
      <w:r w:rsidRPr="002275F8">
        <w:t>).</w:t>
      </w:r>
    </w:p>
    <w:p w:rsidR="00937494" w:rsidP="00937494">
      <w:pPr>
        <w:adjustRightInd w:val="0"/>
        <w:spacing w:before="108"/>
        <w:ind w:left="720"/>
        <w:jc w:val="both"/>
        <w:rPr>
          <w:rFonts w:eastAsia="Calibri"/>
        </w:rPr>
      </w:pPr>
      <w:r>
        <w:t>8.6</w:t>
      </w:r>
      <w:r w:rsidRPr="002275F8">
        <w:t xml:space="preserve">.6 General Contractor shall have the 30 hr </w:t>
      </w:r>
      <w:r>
        <w:t xml:space="preserve">OSHA </w:t>
      </w:r>
      <w:r w:rsidRPr="002275F8">
        <w:t>course. General</w:t>
      </w:r>
      <w:r>
        <w:t xml:space="preserve"> Contractor shall provide copy</w:t>
      </w:r>
      <w:r w:rsidRPr="002275F8">
        <w:t xml:space="preserve"> of certification to th</w:t>
      </w:r>
      <w:r>
        <w:t>e CO.</w:t>
      </w:r>
    </w:p>
    <w:p w:rsidR="00937494" w:rsidP="00937494">
      <w:pPr>
        <w:adjustRightInd w:val="0"/>
        <w:spacing w:before="108"/>
        <w:ind w:left="720"/>
        <w:jc w:val="both"/>
        <w:rPr>
          <w:rFonts w:eastAsia="Calibri"/>
        </w:rPr>
      </w:pPr>
      <w:r>
        <w:rPr>
          <w:rFonts w:eastAsia="Calibri"/>
        </w:rPr>
        <w:t xml:space="preserve">8.6.7 Contractors </w:t>
      </w:r>
      <w:r>
        <w:rPr>
          <w:rFonts w:eastAsia="Calibri"/>
          <w:u w:val="single"/>
        </w:rPr>
        <w:t>must</w:t>
      </w:r>
      <w:r>
        <w:rPr>
          <w:rFonts w:eastAsia="Calibri"/>
        </w:rPr>
        <w:t xml:space="preserve"> check in with the Contracting Office Representative before beginning work.</w:t>
      </w:r>
    </w:p>
    <w:p w:rsidR="00937494" w:rsidP="00937494">
      <w:pPr>
        <w:adjustRightInd w:val="0"/>
        <w:spacing w:before="108"/>
        <w:ind w:left="720"/>
        <w:jc w:val="both"/>
        <w:rPr>
          <w:rFonts w:eastAsia="Calibri"/>
        </w:rPr>
      </w:pPr>
      <w:r>
        <w:rPr>
          <w:rFonts w:eastAsia="Calibri"/>
        </w:rPr>
        <w:t xml:space="preserve">8.6.8 Contractor vehicles must be operated in accordance with all VA traffic regulations. Vehicles must be identified by Company name or logo. Contractors will be allowed two vehicles per visit. </w:t>
      </w:r>
    </w:p>
    <w:p w:rsidR="00937494" w:rsidRPr="009108EE" w:rsidP="00937494">
      <w:pPr>
        <w:adjustRightInd w:val="0"/>
        <w:spacing w:before="108"/>
        <w:ind w:left="360"/>
        <w:jc w:val="both"/>
        <w:rPr>
          <w:rFonts w:eastAsia="Calibri"/>
        </w:rPr>
      </w:pPr>
    </w:p>
    <w:p w:rsidR="00937494" w:rsidP="00937494">
      <w:pPr>
        <w:widowControl w:val="0"/>
        <w:numPr>
          <w:ilvl w:val="0"/>
          <w:numId w:val="1"/>
        </w:numPr>
        <w:autoSpaceDE w:val="0"/>
        <w:autoSpaceDN w:val="0"/>
        <w:spacing w:after="0" w:line="240" w:lineRule="auto"/>
        <w:jc w:val="both"/>
        <w:rPr>
          <w:b/>
          <w:u w:val="single"/>
        </w:rPr>
      </w:pPr>
      <w:r w:rsidRPr="00DF1092">
        <w:rPr>
          <w:b/>
          <w:u w:val="single"/>
        </w:rPr>
        <w:t>Travel N/</w:t>
      </w:r>
      <w:r>
        <w:rPr>
          <w:b/>
          <w:u w:val="single"/>
        </w:rPr>
        <w:t>A</w:t>
      </w:r>
    </w:p>
    <w:p w:rsidR="00937494" w:rsidP="00937494">
      <w:pPr>
        <w:jc w:val="both"/>
        <w:rPr>
          <w:b/>
          <w:u w:val="single"/>
        </w:rPr>
      </w:pPr>
    </w:p>
    <w:p w:rsidR="00937494" w:rsidP="00937494">
      <w:pPr>
        <w:jc w:val="both"/>
        <w:rPr>
          <w:b/>
          <w:u w:val="single"/>
        </w:rPr>
      </w:pPr>
    </w:p>
    <w:p w:rsidR="00937494" w:rsidP="00937494">
      <w:pPr>
        <w:widowControl w:val="0"/>
        <w:numPr>
          <w:ilvl w:val="0"/>
          <w:numId w:val="1"/>
        </w:numPr>
        <w:autoSpaceDE w:val="0"/>
        <w:autoSpaceDN w:val="0"/>
        <w:spacing w:after="0" w:line="240" w:lineRule="auto"/>
        <w:jc w:val="both"/>
        <w:rPr>
          <w:b/>
          <w:u w:val="single"/>
        </w:rPr>
      </w:pPr>
      <w:r w:rsidRPr="00DB4396">
        <w:rPr>
          <w:b/>
          <w:u w:val="single"/>
        </w:rPr>
        <w:t>Non-personal Service Statement</w:t>
      </w:r>
    </w:p>
    <w:p w:rsidR="00937494" w:rsidP="00937494">
      <w:pPr>
        <w:adjustRightInd w:val="0"/>
        <w:spacing w:before="108"/>
        <w:ind w:left="360"/>
        <w:jc w:val="both"/>
        <w:rPr>
          <w:rFonts w:eastAsia="Calibri"/>
        </w:rPr>
      </w:pPr>
      <w:r w:rsidRPr="002275F8">
        <w:rPr>
          <w:rFonts w:eastAsia="Calibri"/>
        </w:rPr>
        <w:t xml:space="preserve">10.1 Contractor employees performing services under this order will be controlled, directed, and always supervised by management personnel of the contractor. Contractor management will ensure that employees properly comply with the performance standards outlined in the PWS. Contractor employees will perform their duties independent of, and without the supervision of, any Government official. </w:t>
      </w:r>
      <w:r>
        <w:rPr>
          <w:rFonts w:eastAsia="Calibri"/>
        </w:rPr>
        <w:t xml:space="preserve">Contractor supervisor is always to remain on property when services are performed. </w:t>
      </w:r>
      <w:r w:rsidRPr="002275F8">
        <w:rPr>
          <w:rFonts w:eastAsia="Calibri"/>
        </w:rPr>
        <w:t xml:space="preserve">The tasks, duties, and responsibilities set forth in the contract may not be interpreted or implemented in any manner that results in any contractor employee creating or modifying Federal policy, obligating the appropriated funds of the United States Government, overseeing the work of Federal employees, providing direct personal services to any Federal employee, or otherwise violating the prohibitions set forth in Parts 7.5 and 37.1 of the Federal </w:t>
      </w:r>
      <w:r w:rsidRPr="002275F8">
        <w:rPr>
          <w:rFonts w:eastAsia="Calibri"/>
        </w:rPr>
        <w:t>Acquisition Regulation (FAR). The Government will control access to the facility and will perform the inspection and acceptance of the completed work.</w:t>
      </w:r>
    </w:p>
    <w:p w:rsidR="00937494" w:rsidP="00937494">
      <w:pPr>
        <w:spacing w:before="108"/>
        <w:ind w:left="360"/>
        <w:jc w:val="both"/>
        <w:rPr>
          <w:b/>
        </w:rPr>
      </w:pPr>
      <w:r>
        <w:rPr>
          <w:rFonts w:eastAsia="Calibri"/>
        </w:rPr>
        <w:t xml:space="preserve">10.2 </w:t>
      </w:r>
      <w:r w:rsidRPr="00B70302">
        <w:rPr>
          <w:spacing w:val="-2"/>
        </w:rPr>
        <w:t>The Contractor is liable for all damages to Government equipment, property; utilities, etc.,</w:t>
      </w:r>
      <w:r w:rsidRPr="00B70302">
        <w:t xml:space="preserve"> located at the site (e.g. sprinkler heads, manholes, fire hydrants, vehicles, windows, etc.) caused by the Contractor, its employees or it subcontractors.</w:t>
      </w:r>
      <w:r>
        <w:t xml:space="preserve"> </w:t>
      </w:r>
      <w:r w:rsidRPr="00B70302">
        <w:t xml:space="preserve">The Contractor shall immediately report all damages to the </w:t>
      </w:r>
      <w:r>
        <w:t>POC</w:t>
      </w:r>
      <w:r w:rsidRPr="00B70302">
        <w:t xml:space="preserve"> and shall provide the Contracting Officer (CO) and </w:t>
      </w:r>
      <w:r>
        <w:t>POC</w:t>
      </w:r>
      <w:r w:rsidRPr="00B70302">
        <w:t>, a written report, within 24 hrs. The report shall include</w:t>
      </w:r>
      <w:r>
        <w:t xml:space="preserve"> following</w:t>
      </w:r>
      <w:r w:rsidRPr="00B70302">
        <w:t xml:space="preserve">: </w:t>
      </w:r>
      <w:r w:rsidRPr="00B70302">
        <w:rPr>
          <w:b/>
        </w:rPr>
        <w:t>What occurred, how it occurred, date/time occurred, and the proposed means to repair or replace.</w:t>
      </w:r>
    </w:p>
    <w:p w:rsidR="00937494" w:rsidP="00937494">
      <w:pPr>
        <w:spacing w:before="108"/>
        <w:ind w:left="360" w:right="288"/>
        <w:jc w:val="both"/>
      </w:pPr>
      <w:r>
        <w:t xml:space="preserve">10.3 </w:t>
      </w:r>
      <w:r w:rsidRPr="00B70302">
        <w:t>Contractor warrants that at all times during the performance of this contract they shall maintain general liability insurance in an a</w:t>
      </w:r>
      <w:r>
        <w:t xml:space="preserve">mount not less than $500,000, a </w:t>
      </w:r>
      <w:r w:rsidRPr="00B70302">
        <w:t>comprehensive automobile liability insurance in the amount of $300,000</w:t>
      </w:r>
      <w:r>
        <w:t>,</w:t>
      </w:r>
      <w:r w:rsidRPr="00B70302">
        <w:t xml:space="preserve"> and workers compensation insurance of $ 1, 000,000.00 that must be presented with bid proposal.</w:t>
      </w:r>
    </w:p>
    <w:p w:rsidR="00937494" w:rsidRPr="00B70302" w:rsidP="00937494">
      <w:pPr>
        <w:spacing w:before="108"/>
        <w:ind w:left="360" w:right="288"/>
        <w:jc w:val="both"/>
      </w:pPr>
      <w:r>
        <w:t>10.4 Contractor is to maintain free and unobstructed access to facility emergency services and for fire, police and other emergency response forces in accordance with NFPA 241.</w:t>
      </w:r>
    </w:p>
    <w:p w:rsidR="00937494" w:rsidRPr="00B56A22" w:rsidP="00937494">
      <w:pPr>
        <w:spacing w:before="108"/>
        <w:ind w:left="360"/>
        <w:jc w:val="both"/>
      </w:pPr>
    </w:p>
    <w:p w:rsidR="00937494" w:rsidP="00937494">
      <w:pPr>
        <w:widowControl w:val="0"/>
        <w:numPr>
          <w:ilvl w:val="0"/>
          <w:numId w:val="1"/>
        </w:numPr>
        <w:autoSpaceDE w:val="0"/>
        <w:autoSpaceDN w:val="0"/>
        <w:spacing w:after="0" w:line="240" w:lineRule="auto"/>
        <w:jc w:val="both"/>
      </w:pPr>
      <w:r>
        <w:rPr>
          <w:b/>
          <w:u w:val="single"/>
        </w:rPr>
        <w:t>Personnel Qualifications</w:t>
      </w:r>
    </w:p>
    <w:p w:rsidR="00937494" w:rsidP="00937494">
      <w:pPr>
        <w:tabs>
          <w:tab w:val="left" w:pos="1512"/>
        </w:tabs>
        <w:spacing w:before="108"/>
        <w:ind w:left="360"/>
        <w:jc w:val="both"/>
      </w:pPr>
      <w:r>
        <w:t xml:space="preserve">11.1 The Contractor shall be responsible for employing qualified personnel to perform the work specified in this PWS. The Contractor shall maintain the personnel, organization, and administrative control necessary to ensure that the work delivered meets the contract specifications and requirements. </w:t>
      </w:r>
    </w:p>
    <w:p w:rsidR="00937494" w:rsidRPr="00F071DA" w:rsidP="00937494">
      <w:pPr>
        <w:tabs>
          <w:tab w:val="left" w:pos="1512"/>
        </w:tabs>
        <w:spacing w:before="108"/>
        <w:ind w:left="360"/>
        <w:jc w:val="both"/>
      </w:pPr>
      <w:r>
        <w:t>11.2 Contractor shall provide a supervisor who speaks English on site at all times.</w:t>
      </w:r>
    </w:p>
    <w:p w:rsidR="00937494" w:rsidP="00937494">
      <w:pPr>
        <w:tabs>
          <w:tab w:val="left" w:pos="1512"/>
        </w:tabs>
        <w:spacing w:before="108"/>
        <w:ind w:left="360"/>
        <w:jc w:val="both"/>
        <w:rPr>
          <w:rFonts w:eastAsia="Calibri"/>
        </w:rPr>
      </w:pPr>
      <w:r>
        <w:t xml:space="preserve">11.3 </w:t>
      </w:r>
      <w:r>
        <w:rPr>
          <w:rFonts w:eastAsia="Calibri"/>
        </w:rPr>
        <w:t>Personnel should be properly trained in safety and performance of their respective duties.</w:t>
      </w:r>
    </w:p>
    <w:p w:rsidR="00937494" w:rsidP="00937494">
      <w:pPr>
        <w:tabs>
          <w:tab w:val="left" w:pos="1512"/>
        </w:tabs>
        <w:spacing w:before="108"/>
        <w:ind w:left="360"/>
        <w:jc w:val="both"/>
        <w:rPr>
          <w:rFonts w:eastAsia="Calibri"/>
        </w:rPr>
      </w:pPr>
      <w:r>
        <w:rPr>
          <w:rFonts w:eastAsia="Calibri"/>
        </w:rPr>
        <w:t>11.4 Appropriate safety equipment shall be furnished by the Contractor-to-Contractor personnel and shall be used as prescribed by OSHA standards.</w:t>
      </w:r>
    </w:p>
    <w:p w:rsidR="00937494" w:rsidP="00937494">
      <w:pPr>
        <w:tabs>
          <w:tab w:val="left" w:pos="1512"/>
        </w:tabs>
        <w:spacing w:before="108"/>
        <w:ind w:left="360"/>
        <w:jc w:val="both"/>
        <w:rPr>
          <w:rFonts w:eastAsia="Calibri"/>
        </w:rPr>
      </w:pPr>
    </w:p>
    <w:p w:rsidR="00937494" w:rsidP="00937494">
      <w:pPr>
        <w:widowControl w:val="0"/>
        <w:numPr>
          <w:ilvl w:val="0"/>
          <w:numId w:val="1"/>
        </w:numPr>
        <w:autoSpaceDE w:val="0"/>
        <w:autoSpaceDN w:val="0"/>
        <w:spacing w:before="108" w:after="0" w:line="240" w:lineRule="auto"/>
        <w:jc w:val="both"/>
        <w:rPr>
          <w:rFonts w:eastAsia="Calibri"/>
          <w:b/>
          <w:u w:val="single"/>
        </w:rPr>
      </w:pPr>
      <w:r>
        <w:rPr>
          <w:rFonts w:eastAsia="Calibri"/>
          <w:b/>
          <w:u w:val="single"/>
        </w:rPr>
        <w:t>Performance Standards and Quality Measurement</w:t>
      </w:r>
    </w:p>
    <w:p w:rsidR="00937494" w:rsidRPr="002275F8" w:rsidP="00937494">
      <w:pPr>
        <w:adjustRightInd w:val="0"/>
        <w:spacing w:before="108"/>
        <w:ind w:left="360"/>
        <w:jc w:val="both"/>
        <w:rPr>
          <w:color w:val="000000"/>
        </w:rPr>
      </w:pPr>
      <w:r w:rsidRPr="002275F8">
        <w:t>12.1</w:t>
      </w:r>
      <w:r w:rsidRPr="002275F8">
        <w:rPr>
          <w:b/>
          <w:bCs/>
        </w:rPr>
        <w:t xml:space="preserve"> </w:t>
      </w:r>
      <w:r w:rsidRPr="002275F8">
        <w:rPr>
          <w:color w:val="000000"/>
        </w:rPr>
        <w:t>Performance standards define desired services.  The Government performs surveillance to determine if the Contractor exceeds, meets, or does not meet these standards.  The Government shall use these standards to determine Contractor performance and shall compare Contractor performance to the Acceptable Quality Level (AQL).  The Quality Assurance Surveillance Plan (QASP) method of surveillance will be by random inspection.</w:t>
      </w:r>
    </w:p>
    <w:p w:rsidR="00937494" w:rsidP="00937494">
      <w:pPr>
        <w:adjustRightInd w:val="0"/>
        <w:spacing w:before="108"/>
        <w:ind w:left="360"/>
        <w:jc w:val="both"/>
        <w:rPr>
          <w:color w:val="000000"/>
        </w:rPr>
      </w:pPr>
      <w:r w:rsidRPr="002275F8">
        <w:t>12.2</w:t>
      </w:r>
      <w:r w:rsidRPr="002275F8">
        <w:rPr>
          <w:color w:val="000000"/>
        </w:rPr>
        <w:t xml:space="preserve"> The QASP and its performa</w:t>
      </w:r>
      <w:r>
        <w:rPr>
          <w:color w:val="000000"/>
        </w:rPr>
        <w:t>nce objectives are as follows:</w:t>
      </w:r>
    </w:p>
    <w:p w:rsidR="00937494" w:rsidP="00937494">
      <w:pPr>
        <w:adjustRightInd w:val="0"/>
        <w:spacing w:before="108"/>
        <w:ind w:left="360"/>
        <w:jc w:val="both"/>
        <w:rPr>
          <w:color w:val="000000"/>
        </w:rPr>
      </w:pPr>
    </w:p>
    <w:tbl>
      <w:tblPr>
        <w:tblW w:w="1179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0"/>
        <w:gridCol w:w="1530"/>
        <w:gridCol w:w="1980"/>
        <w:gridCol w:w="1350"/>
        <w:gridCol w:w="1620"/>
        <w:gridCol w:w="4500"/>
      </w:tblGrid>
      <w:tr w:rsidTr="00E023CA">
        <w:tblPrEx>
          <w:tblW w:w="1179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c>
          <w:tcPr>
            <w:tcW w:w="810" w:type="dxa"/>
            <w:shd w:val="pct10" w:color="auto" w:fill="FFFFFF"/>
          </w:tcPr>
          <w:p w:rsidR="00937494" w:rsidRPr="002275F8" w:rsidP="00E023CA">
            <w:pPr>
              <w:adjustRightInd w:val="0"/>
              <w:rPr>
                <w:b/>
                <w:color w:val="000000"/>
              </w:rPr>
            </w:pPr>
            <w:r w:rsidRPr="002275F8">
              <w:rPr>
                <w:b/>
                <w:color w:val="000000"/>
              </w:rPr>
              <w:t>PWS Para.</w:t>
            </w:r>
          </w:p>
        </w:tc>
        <w:tc>
          <w:tcPr>
            <w:tcW w:w="1530" w:type="dxa"/>
            <w:shd w:val="pct10" w:color="auto" w:fill="FFFFFF"/>
          </w:tcPr>
          <w:p w:rsidR="00937494" w:rsidRPr="002275F8" w:rsidP="00E023CA">
            <w:pPr>
              <w:adjustRightInd w:val="0"/>
              <w:rPr>
                <w:b/>
                <w:color w:val="000000"/>
              </w:rPr>
            </w:pPr>
            <w:r w:rsidRPr="002275F8">
              <w:rPr>
                <w:b/>
                <w:color w:val="000000"/>
              </w:rPr>
              <w:t>Performance Objective</w:t>
            </w:r>
          </w:p>
        </w:tc>
        <w:tc>
          <w:tcPr>
            <w:tcW w:w="1980" w:type="dxa"/>
            <w:shd w:val="pct10" w:color="auto" w:fill="FFFFFF"/>
          </w:tcPr>
          <w:p w:rsidR="00937494" w:rsidRPr="002275F8" w:rsidP="00E023CA">
            <w:pPr>
              <w:adjustRightInd w:val="0"/>
              <w:rPr>
                <w:b/>
                <w:color w:val="000000"/>
              </w:rPr>
            </w:pPr>
            <w:r w:rsidRPr="002275F8">
              <w:rPr>
                <w:b/>
                <w:color w:val="000000"/>
              </w:rPr>
              <w:t xml:space="preserve">Performance </w:t>
            </w:r>
          </w:p>
          <w:p w:rsidR="00937494" w:rsidRPr="002275F8" w:rsidP="00E023CA">
            <w:pPr>
              <w:adjustRightInd w:val="0"/>
              <w:rPr>
                <w:b/>
                <w:color w:val="000000"/>
              </w:rPr>
            </w:pPr>
            <w:r w:rsidRPr="002275F8">
              <w:rPr>
                <w:b/>
                <w:color w:val="000000"/>
              </w:rPr>
              <w:t>Standard</w:t>
            </w:r>
          </w:p>
        </w:tc>
        <w:tc>
          <w:tcPr>
            <w:tcW w:w="1350" w:type="dxa"/>
            <w:shd w:val="pct10" w:color="auto" w:fill="FFFFFF"/>
          </w:tcPr>
          <w:p w:rsidR="00937494" w:rsidRPr="002275F8" w:rsidP="00E023CA">
            <w:pPr>
              <w:adjustRightInd w:val="0"/>
              <w:rPr>
                <w:b/>
                <w:color w:val="000000"/>
              </w:rPr>
            </w:pPr>
            <w:r w:rsidRPr="002275F8">
              <w:rPr>
                <w:b/>
                <w:color w:val="000000"/>
              </w:rPr>
              <w:t xml:space="preserve">Acceptable Quality Level </w:t>
            </w:r>
          </w:p>
        </w:tc>
        <w:tc>
          <w:tcPr>
            <w:tcW w:w="1620" w:type="dxa"/>
            <w:shd w:val="pct10" w:color="auto" w:fill="FFFFFF"/>
          </w:tcPr>
          <w:p w:rsidR="00937494" w:rsidRPr="002275F8" w:rsidP="00E023CA">
            <w:pPr>
              <w:adjustRightInd w:val="0"/>
              <w:rPr>
                <w:b/>
                <w:color w:val="000000"/>
              </w:rPr>
            </w:pPr>
            <w:r w:rsidRPr="002275F8">
              <w:rPr>
                <w:b/>
                <w:color w:val="000000"/>
              </w:rPr>
              <w:t>Surveillance Method</w:t>
            </w:r>
          </w:p>
        </w:tc>
        <w:tc>
          <w:tcPr>
            <w:tcW w:w="4500" w:type="dxa"/>
            <w:shd w:val="pct10" w:color="auto" w:fill="FFFFFF"/>
          </w:tcPr>
          <w:p w:rsidR="00937494" w:rsidRPr="002275F8" w:rsidP="00E023CA">
            <w:pPr>
              <w:adjustRightInd w:val="0"/>
              <w:rPr>
                <w:b/>
                <w:color w:val="000000"/>
              </w:rPr>
            </w:pPr>
            <w:r w:rsidRPr="002275F8">
              <w:rPr>
                <w:b/>
                <w:color w:val="000000"/>
              </w:rPr>
              <w:t>Compliance</w:t>
            </w:r>
          </w:p>
        </w:tc>
      </w:tr>
      <w:tr w:rsidTr="00E023CA">
        <w:tblPrEx>
          <w:tblW w:w="11790" w:type="dxa"/>
          <w:tblInd w:w="-1152" w:type="dxa"/>
          <w:tblLayout w:type="fixed"/>
          <w:tblLook w:val="0000"/>
        </w:tblPrEx>
        <w:tc>
          <w:tcPr>
            <w:tcW w:w="810" w:type="dxa"/>
          </w:tcPr>
          <w:p w:rsidR="00937494" w:rsidRPr="008D5BFF" w:rsidP="00E023CA">
            <w:pPr>
              <w:adjustRightInd w:val="0"/>
            </w:pPr>
            <w:r>
              <w:t>6.0</w:t>
            </w:r>
          </w:p>
        </w:tc>
        <w:tc>
          <w:tcPr>
            <w:tcW w:w="1530" w:type="dxa"/>
          </w:tcPr>
          <w:p w:rsidR="00937494" w:rsidRPr="002275F8" w:rsidP="00E023CA">
            <w:pPr>
              <w:adjustRightInd w:val="0"/>
              <w:rPr>
                <w:color w:val="000000"/>
              </w:rPr>
            </w:pPr>
            <w:r>
              <w:t>Field Report</w:t>
            </w:r>
          </w:p>
        </w:tc>
        <w:tc>
          <w:tcPr>
            <w:tcW w:w="1980" w:type="dxa"/>
          </w:tcPr>
          <w:p w:rsidR="00937494" w:rsidRPr="002275F8" w:rsidP="00E023CA">
            <w:pPr>
              <w:adjustRightInd w:val="0"/>
              <w:rPr>
                <w:color w:val="000000"/>
              </w:rPr>
            </w:pPr>
            <w:r>
              <w:rPr>
                <w:color w:val="000000"/>
              </w:rPr>
              <w:t>Deficiencies identified and work done</w:t>
            </w:r>
            <w:r w:rsidRPr="002275F8">
              <w:rPr>
                <w:color w:val="000000"/>
              </w:rPr>
              <w:t xml:space="preserve"> </w:t>
            </w:r>
          </w:p>
        </w:tc>
        <w:tc>
          <w:tcPr>
            <w:tcW w:w="1350" w:type="dxa"/>
          </w:tcPr>
          <w:p w:rsidR="00937494" w:rsidRPr="002275F8" w:rsidP="00E023CA">
            <w:pPr>
              <w:adjustRightInd w:val="0"/>
              <w:rPr>
                <w:color w:val="000000"/>
              </w:rPr>
            </w:pPr>
            <w:r>
              <w:rPr>
                <w:color w:val="000000"/>
              </w:rPr>
              <w:t>Provided each time service is performed.</w:t>
            </w:r>
          </w:p>
        </w:tc>
        <w:tc>
          <w:tcPr>
            <w:tcW w:w="1620" w:type="dxa"/>
          </w:tcPr>
          <w:p w:rsidR="00937494" w:rsidRPr="002275F8" w:rsidP="00E023CA">
            <w:pPr>
              <w:adjustRightInd w:val="0"/>
              <w:rPr>
                <w:color w:val="000000"/>
              </w:rPr>
            </w:pPr>
            <w:r>
              <w:rPr>
                <w:color w:val="000000"/>
              </w:rPr>
              <w:t xml:space="preserve">Inspection conducted by the </w:t>
            </w:r>
            <w:r>
              <w:rPr>
                <w:color w:val="000000"/>
              </w:rPr>
              <w:t>POC</w:t>
            </w:r>
            <w:r>
              <w:rPr>
                <w:color w:val="000000"/>
              </w:rPr>
              <w:t xml:space="preserve">, his representative </w:t>
            </w:r>
            <w:r w:rsidRPr="002275F8">
              <w:rPr>
                <w:color w:val="000000"/>
              </w:rPr>
              <w:t>and/or customer comment.</w:t>
            </w:r>
          </w:p>
        </w:tc>
        <w:tc>
          <w:tcPr>
            <w:tcW w:w="4500" w:type="dxa"/>
          </w:tcPr>
          <w:p w:rsidR="00937494" w:rsidRPr="002275F8" w:rsidP="00E023CA">
            <w:pPr>
              <w:adjustRightInd w:val="0"/>
            </w:pPr>
            <w:r w:rsidRPr="002275F8">
              <w:t>Below AQL, non-acceptance of services.  A Contract Discrepancy Report (CDR) will be issued for performance below the AQL. The Contractor will have five workdays to provide a response that includes an improvement strategy for addressing the issues. 30 days after issuing the CDR, the Contractor will be re-rated. If performance does not comply with PWS, the PCO will be notified, the performance record will be documented, and PCO may pursue contract action.</w:t>
            </w:r>
          </w:p>
        </w:tc>
      </w:tr>
      <w:tr w:rsidTr="00E023CA">
        <w:tblPrEx>
          <w:tblW w:w="11790" w:type="dxa"/>
          <w:tblInd w:w="-1152" w:type="dxa"/>
          <w:tblLayout w:type="fixed"/>
          <w:tblLook w:val="0000"/>
        </w:tblPrEx>
        <w:trPr>
          <w:trHeight w:val="5183"/>
        </w:trPr>
        <w:tc>
          <w:tcPr>
            <w:tcW w:w="810" w:type="dxa"/>
          </w:tcPr>
          <w:p w:rsidR="00937494" w:rsidRPr="002275F8" w:rsidP="00E023CA">
            <w:pPr>
              <w:adjustRightInd w:val="0"/>
            </w:pPr>
            <w:r>
              <w:t>4.1</w:t>
            </w:r>
          </w:p>
        </w:tc>
        <w:tc>
          <w:tcPr>
            <w:tcW w:w="1530" w:type="dxa"/>
          </w:tcPr>
          <w:p w:rsidR="00937494" w:rsidRPr="002275F8" w:rsidP="00E023CA">
            <w:pPr>
              <w:adjustRightInd w:val="0"/>
            </w:pPr>
            <w:r w:rsidRPr="00AE257D">
              <w:t xml:space="preserve">Pressure Wash </w:t>
            </w:r>
            <w:r>
              <w:t>Entrances</w:t>
            </w:r>
          </w:p>
        </w:tc>
        <w:tc>
          <w:tcPr>
            <w:tcW w:w="1980" w:type="dxa"/>
          </w:tcPr>
          <w:p w:rsidR="00937494" w:rsidRPr="002275F8" w:rsidP="00E023CA">
            <w:pPr>
              <w:adjustRightInd w:val="0"/>
              <w:rPr>
                <w:color w:val="000000"/>
              </w:rPr>
            </w:pPr>
            <w:r>
              <w:rPr>
                <w:color w:val="000000"/>
              </w:rPr>
              <w:t>Performed bi-annually. Ensure</w:t>
            </w:r>
            <w:r w:rsidRPr="00AE257D">
              <w:rPr>
                <w:color w:val="000000"/>
              </w:rPr>
              <w:t xml:space="preserve"> that the </w:t>
            </w:r>
            <w:r>
              <w:rPr>
                <w:color w:val="000000"/>
              </w:rPr>
              <w:t xml:space="preserve">area </w:t>
            </w:r>
            <w:r w:rsidRPr="00AE257D">
              <w:rPr>
                <w:color w:val="000000"/>
              </w:rPr>
              <w:t xml:space="preserve">has been cleared of dirt, stains, moss and algae that has accumulated on </w:t>
            </w:r>
            <w:r>
              <w:rPr>
                <w:color w:val="000000"/>
              </w:rPr>
              <w:t>walks and entrances. C</w:t>
            </w:r>
            <w:r w:rsidRPr="00AE257D">
              <w:rPr>
                <w:color w:val="000000"/>
              </w:rPr>
              <w:t>lear out any dirt and debris that’s collected in the</w:t>
            </w:r>
            <w:r>
              <w:rPr>
                <w:color w:val="000000"/>
              </w:rPr>
              <w:t xml:space="preserve"> drains</w:t>
            </w:r>
            <w:r w:rsidRPr="00AE257D">
              <w:rPr>
                <w:color w:val="000000"/>
              </w:rPr>
              <w:t xml:space="preserve"> after the </w:t>
            </w:r>
            <w:r>
              <w:rPr>
                <w:color w:val="000000"/>
              </w:rPr>
              <w:t>area</w:t>
            </w:r>
            <w:r w:rsidRPr="00AE257D">
              <w:rPr>
                <w:color w:val="000000"/>
              </w:rPr>
              <w:t xml:space="preserve"> has been thoroughly ri</w:t>
            </w:r>
            <w:r>
              <w:rPr>
                <w:color w:val="000000"/>
              </w:rPr>
              <w:t>nsed off.  R</w:t>
            </w:r>
            <w:r w:rsidRPr="00AE257D">
              <w:rPr>
                <w:color w:val="000000"/>
              </w:rPr>
              <w:t xml:space="preserve">eplace any broken tiles due to pressure washing. </w:t>
            </w:r>
          </w:p>
        </w:tc>
        <w:tc>
          <w:tcPr>
            <w:tcW w:w="1350" w:type="dxa"/>
          </w:tcPr>
          <w:p w:rsidR="00937494" w:rsidRPr="002275F8" w:rsidP="00E023CA">
            <w:pPr>
              <w:adjustRightInd w:val="0"/>
              <w:rPr>
                <w:color w:val="000000"/>
              </w:rPr>
            </w:pPr>
            <w:r>
              <w:rPr>
                <w:color w:val="000000"/>
              </w:rPr>
              <w:t>100%</w:t>
            </w:r>
          </w:p>
        </w:tc>
        <w:tc>
          <w:tcPr>
            <w:tcW w:w="1620" w:type="dxa"/>
          </w:tcPr>
          <w:p w:rsidR="00937494" w:rsidRPr="002275F8" w:rsidP="00E023CA">
            <w:pPr>
              <w:adjustRightInd w:val="0"/>
              <w:rPr>
                <w:color w:val="000000"/>
              </w:rPr>
            </w:pPr>
            <w:r>
              <w:rPr>
                <w:color w:val="000000"/>
              </w:rPr>
              <w:t xml:space="preserve">Inspection conducted by the </w:t>
            </w:r>
            <w:r>
              <w:rPr>
                <w:color w:val="000000"/>
              </w:rPr>
              <w:t>POC</w:t>
            </w:r>
            <w:r>
              <w:rPr>
                <w:color w:val="000000"/>
              </w:rPr>
              <w:t xml:space="preserve">, his representative </w:t>
            </w:r>
            <w:r w:rsidRPr="002275F8">
              <w:rPr>
                <w:color w:val="000000"/>
              </w:rPr>
              <w:t>and/or customer comment.</w:t>
            </w:r>
          </w:p>
        </w:tc>
        <w:tc>
          <w:tcPr>
            <w:tcW w:w="4500" w:type="dxa"/>
          </w:tcPr>
          <w:p w:rsidR="00937494" w:rsidRPr="002275F8" w:rsidP="00E023CA">
            <w:pPr>
              <w:adjustRightInd w:val="0"/>
            </w:pPr>
            <w:r w:rsidRPr="002275F8">
              <w:t>Below AQL, non-acceptance of services.  A Contract Discrepancy Report (CDR) will be issued for performance below the AQL. The Contractor will have five workdays to provide a response that includes an improvement strategy for addressing the issues. 30 days after issuing the CDR, the Contractor will be re-rated. If performance does not comply with PWS, the PCO will be notified, the performance record will be documented, and PCO may pursue contract action.</w:t>
            </w:r>
          </w:p>
        </w:tc>
      </w:tr>
    </w:tbl>
    <w:p w:rsidR="00937494" w:rsidRPr="00B70302" w:rsidP="00937494">
      <w:pPr>
        <w:jc w:val="both"/>
      </w:pPr>
    </w:p>
    <w:p w:rsidR="00FA4A81" w:rsidP="00937494">
      <w:pPr>
        <w:spacing w:after="0"/>
        <w:jc w:val="center"/>
      </w:pP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8CC652C"/>
    <w:multiLevelType w:val="multilevel"/>
    <w:tmpl w:val="C8643812"/>
    <w:lvl w:ilvl="0">
      <w:start w:val="1"/>
      <w:numFmt w:val="decimal"/>
      <w:lvlText w:val="%1.0"/>
      <w:lvlJc w:val="left"/>
      <w:pPr>
        <w:ind w:left="360" w:hanging="360"/>
      </w:pPr>
      <w:rPr>
        <w:rFonts w:hint="default"/>
        <w:b/>
        <w:i w:val="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655D7BD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C7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C7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D2A"/>
    <w:rPr>
      <w:rFonts w:eastAsiaTheme="majorEastAsia" w:cstheme="majorBidi"/>
      <w:color w:val="272727" w:themeColor="text1" w:themeTint="D8"/>
    </w:rPr>
  </w:style>
  <w:style w:type="paragraph" w:styleId="Quote">
    <w:name w:val="Quote"/>
    <w:basedOn w:val="Normal"/>
    <w:next w:val="Normal"/>
    <w:link w:val="QuoteChar"/>
    <w:uiPriority w:val="29"/>
    <w:qFormat/>
    <w:rsid w:val="003C7D2A"/>
    <w:pPr>
      <w:spacing w:before="160"/>
      <w:jc w:val="center"/>
    </w:pPr>
    <w:rPr>
      <w:i/>
      <w:iCs/>
      <w:color w:val="404040" w:themeColor="text1" w:themeTint="BF"/>
    </w:rPr>
  </w:style>
  <w:style w:type="character" w:customStyle="1" w:styleId="QuoteChar">
    <w:name w:val="Quote Char"/>
    <w:basedOn w:val="DefaultParagraphFont"/>
    <w:link w:val="Quote"/>
    <w:uiPriority w:val="29"/>
    <w:rsid w:val="003C7D2A"/>
    <w:rPr>
      <w:i/>
      <w:iCs/>
      <w:color w:val="404040" w:themeColor="text1" w:themeTint="BF"/>
    </w:rPr>
  </w:style>
  <w:style w:type="paragraph" w:styleId="IntenseQuote">
    <w:name w:val="Intense Quote"/>
    <w:basedOn w:val="Normal"/>
    <w:next w:val="Normal"/>
    <w:link w:val="IntenseQuoteChar"/>
    <w:uiPriority w:val="30"/>
    <w:qFormat/>
    <w:rsid w:val="003C7D2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C7D2A"/>
    <w:rPr>
      <w:i/>
      <w:iCs/>
      <w:color w:val="366092" w:themeColor="accent1" w:themeShade="BF"/>
    </w:rPr>
  </w:style>
  <w:style w:type="character" w:styleId="IntenseReference">
    <w:name w:val="Intense Reference"/>
    <w:basedOn w:val="DefaultParagraphFont"/>
    <w:uiPriority w:val="32"/>
    <w:qFormat/>
    <w:rsid w:val="003C7D2A"/>
    <w:rPr>
      <w:b/>
      <w:bCs/>
      <w:smallCaps/>
      <w:color w:val="366092" w:themeColor="accent1" w:themeShade="BF"/>
      <w:spacing w:val="5"/>
    </w:rPr>
  </w:style>
  <w:style w:type="paragraph" w:styleId="BodyText">
    <w:name w:val="Body Text"/>
    <w:basedOn w:val="Normal"/>
    <w:link w:val="BodyTextChar"/>
    <w:uiPriority w:val="1"/>
    <w:qFormat/>
    <w:rsid w:val="00FA4A81"/>
  </w:style>
  <w:style w:type="character" w:customStyle="1" w:styleId="BodyTextChar">
    <w:name w:val="Body Text Char"/>
    <w:basedOn w:val="DefaultParagraphFont"/>
    <w:link w:val="BodyText"/>
    <w:uiPriority w:val="1"/>
    <w:rsid w:val="00FA4A81"/>
    <w:rPr>
      <w:rFonts w:eastAsiaTheme="minorEastAsia"/>
      <w:kern w:val="0"/>
      <w:sz w:val="22"/>
      <w:szCs w:val="22"/>
      <w14:ligatures w14:val="none"/>
    </w:rPr>
  </w:style>
  <w:style w:type="character" w:styleId="Hyperlink">
    <w:name w:val="Hyperlink"/>
    <w:rsid w:val="009374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2026-03-12T19:59:11Z</dcterms:created>
  <dcterms:modified xsi:type="dcterms:W3CDTF">2026-03-12T19:59:11Z</dcterms:modified>
</cp:coreProperties>
</file>