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056A7" w14:textId="5EDF1013" w:rsidR="00106BBF" w:rsidRDefault="00106BBF" w:rsidP="5088CC09">
      <w:pPr>
        <w:keepNext/>
        <w:keepLines/>
        <w:tabs>
          <w:tab w:val="left" w:pos="360"/>
          <w:tab w:val="left" w:pos="720"/>
          <w:tab w:val="left" w:pos="1080"/>
          <w:tab w:val="left" w:pos="1440"/>
          <w:tab w:val="left" w:pos="1800"/>
          <w:tab w:val="left" w:pos="2160"/>
        </w:tabs>
        <w:spacing w:before="120" w:after="0" w:line="240" w:lineRule="auto"/>
        <w:jc w:val="both"/>
        <w:outlineLvl w:val="4"/>
        <w:rPr>
          <w:rFonts w:ascii="Times New Roman" w:eastAsia="Times New Roman" w:hAnsi="Times New Roman" w:cs="Times New Roman"/>
          <w:b/>
          <w:bCs/>
          <w:kern w:val="28"/>
          <w:sz w:val="26"/>
          <w:szCs w:val="26"/>
        </w:rPr>
      </w:pPr>
      <w:r w:rsidRPr="5088CC09">
        <w:rPr>
          <w:rFonts w:ascii="Times New Roman" w:eastAsia="Times New Roman" w:hAnsi="Times New Roman" w:cs="Times New Roman"/>
          <w:b/>
          <w:bCs/>
          <w:kern w:val="28"/>
          <w:sz w:val="26"/>
          <w:szCs w:val="26"/>
        </w:rPr>
        <w:t>System Security Assessment and Authorization Requirements</w:t>
      </w:r>
    </w:p>
    <w:p w14:paraId="600BA6E4" w14:textId="77777777" w:rsidR="00994163" w:rsidRPr="00BF72F5" w:rsidRDefault="00994163" w:rsidP="5088CC09">
      <w:pPr>
        <w:keepNext/>
        <w:keepLines/>
        <w:tabs>
          <w:tab w:val="left" w:pos="360"/>
          <w:tab w:val="left" w:pos="720"/>
          <w:tab w:val="left" w:pos="1080"/>
          <w:tab w:val="left" w:pos="1440"/>
          <w:tab w:val="left" w:pos="1800"/>
          <w:tab w:val="left" w:pos="2160"/>
        </w:tabs>
        <w:spacing w:before="120" w:after="0" w:line="240" w:lineRule="auto"/>
        <w:jc w:val="both"/>
        <w:outlineLvl w:val="4"/>
        <w:rPr>
          <w:rFonts w:ascii="Times New Roman" w:eastAsia="Times New Roman" w:hAnsi="Times New Roman" w:cs="Times New Roman"/>
          <w:b/>
          <w:bCs/>
          <w:kern w:val="28"/>
          <w:sz w:val="26"/>
          <w:szCs w:val="26"/>
        </w:rPr>
      </w:pPr>
    </w:p>
    <w:p w14:paraId="757E40DD" w14:textId="5734E5DD" w:rsidR="00106BBF" w:rsidRPr="00BF72F5" w:rsidRDefault="00106BBF" w:rsidP="5088CC09">
      <w:pPr>
        <w:keepNext/>
        <w:keepLines/>
        <w:tabs>
          <w:tab w:val="left" w:pos="360"/>
          <w:tab w:val="left" w:pos="720"/>
          <w:tab w:val="left" w:pos="1080"/>
          <w:tab w:val="left" w:pos="1440"/>
          <w:tab w:val="left" w:pos="1800"/>
          <w:tab w:val="left" w:pos="2160"/>
        </w:tabs>
        <w:spacing w:after="120" w:line="240" w:lineRule="auto"/>
        <w:jc w:val="both"/>
        <w:outlineLvl w:val="5"/>
        <w:rPr>
          <w:rFonts w:ascii="Times New Roman" w:eastAsia="Times New Roman" w:hAnsi="Times New Roman" w:cs="Times New Roman"/>
          <w:b/>
          <w:bCs/>
          <w:kern w:val="28"/>
          <w:sz w:val="26"/>
          <w:szCs w:val="26"/>
        </w:rPr>
      </w:pPr>
      <w:r w:rsidRPr="5088CC09">
        <w:rPr>
          <w:rFonts w:ascii="Times New Roman" w:eastAsia="Times New Roman" w:hAnsi="Times New Roman" w:cs="Times New Roman"/>
          <w:b/>
          <w:bCs/>
          <w:kern w:val="28"/>
          <w:sz w:val="26"/>
          <w:szCs w:val="26"/>
        </w:rPr>
        <w:t>Authority to Operate</w:t>
      </w:r>
    </w:p>
    <w:p w14:paraId="16459DE8" w14:textId="77777777" w:rsidR="00106BBF" w:rsidRPr="00BF72F5" w:rsidRDefault="00106BBF" w:rsidP="00106BBF">
      <w:pPr>
        <w:autoSpaceDE w:val="0"/>
        <w:autoSpaceDN w:val="0"/>
        <w:adjustRightInd w:val="0"/>
        <w:spacing w:after="0" w:line="240" w:lineRule="auto"/>
        <w:rPr>
          <w:rFonts w:ascii="Times New Roman" w:eastAsia="Times New Roman" w:hAnsi="Times New Roman" w:cs="Times New Roman"/>
          <w:color w:val="000000"/>
          <w:sz w:val="23"/>
          <w:szCs w:val="23"/>
        </w:rPr>
      </w:pPr>
      <w:r w:rsidRPr="00BF72F5">
        <w:rPr>
          <w:rFonts w:ascii="Times New Roman" w:eastAsia="Times New Roman" w:hAnsi="Times New Roman" w:cs="Times New Roman"/>
          <w:color w:val="000000"/>
          <w:sz w:val="23"/>
          <w:szCs w:val="23"/>
        </w:rPr>
        <w:t xml:space="preserve">The </w:t>
      </w:r>
      <w:r>
        <w:rPr>
          <w:rFonts w:ascii="Times New Roman" w:eastAsia="Times New Roman" w:hAnsi="Times New Roman" w:cs="Times New Roman"/>
          <w:color w:val="000000"/>
          <w:sz w:val="23"/>
          <w:szCs w:val="23"/>
        </w:rPr>
        <w:t>Contractor</w:t>
      </w:r>
      <w:r w:rsidRPr="00BF72F5">
        <w:rPr>
          <w:rFonts w:ascii="Times New Roman" w:eastAsia="Times New Roman" w:hAnsi="Times New Roman" w:cs="Times New Roman"/>
          <w:color w:val="000000"/>
          <w:sz w:val="23"/>
          <w:szCs w:val="23"/>
        </w:rPr>
        <w:t xml:space="preserve"> shall not input, store, process, output, and/or transmit FDIC data within a </w:t>
      </w:r>
      <w:r>
        <w:rPr>
          <w:rFonts w:ascii="Times New Roman" w:eastAsia="Times New Roman" w:hAnsi="Times New Roman" w:cs="Times New Roman"/>
          <w:color w:val="000000"/>
          <w:sz w:val="23"/>
          <w:szCs w:val="23"/>
        </w:rPr>
        <w:t>Contractor</w:t>
      </w:r>
      <w:r w:rsidRPr="00BF72F5">
        <w:rPr>
          <w:rFonts w:ascii="Times New Roman" w:eastAsia="Times New Roman" w:hAnsi="Times New Roman" w:cs="Times New Roman"/>
          <w:color w:val="000000"/>
          <w:sz w:val="23"/>
          <w:szCs w:val="23"/>
        </w:rPr>
        <w:t xml:space="preserve"> IT system without an Authority to Operate (ATO) signed by the FDIC Authorizing Official (AO)</w:t>
      </w:r>
      <w:r w:rsidRPr="008A026E">
        <w:rPr>
          <w:rFonts w:ascii="Times New Roman" w:eastAsia="Times New Roman" w:hAnsi="Times New Roman" w:cs="Times New Roman"/>
          <w:color w:val="000000"/>
          <w:sz w:val="23"/>
          <w:szCs w:val="23"/>
        </w:rPr>
        <w:t xml:space="preserve"> </w:t>
      </w:r>
      <w:r>
        <w:rPr>
          <w:rFonts w:ascii="Times New Roman" w:eastAsia="Times New Roman" w:hAnsi="Times New Roman" w:cs="Times New Roman"/>
          <w:color w:val="000000"/>
          <w:sz w:val="23"/>
          <w:szCs w:val="23"/>
        </w:rPr>
        <w:t>granted via the System Security Authorization (SSA) process</w:t>
      </w:r>
      <w:r w:rsidRPr="00BF72F5">
        <w:rPr>
          <w:rFonts w:ascii="Times New Roman" w:eastAsia="Times New Roman" w:hAnsi="Times New Roman" w:cs="Times New Roman"/>
          <w:color w:val="000000"/>
          <w:sz w:val="23"/>
          <w:szCs w:val="23"/>
        </w:rPr>
        <w:t xml:space="preserve">. </w:t>
      </w:r>
      <w:r>
        <w:rPr>
          <w:rFonts w:ascii="Times New Roman" w:eastAsia="Times New Roman" w:hAnsi="Times New Roman" w:cs="Times New Roman"/>
          <w:color w:val="000000"/>
          <w:sz w:val="23"/>
          <w:szCs w:val="23"/>
        </w:rPr>
        <w:t xml:space="preserve">The FDIC process for obtaining and maintaining </w:t>
      </w:r>
      <w:proofErr w:type="gramStart"/>
      <w:r w:rsidRPr="00BF72F5">
        <w:rPr>
          <w:rFonts w:ascii="Times New Roman" w:eastAsia="Times New Roman" w:hAnsi="Times New Roman" w:cs="Times New Roman"/>
          <w:color w:val="000000"/>
          <w:sz w:val="23"/>
          <w:szCs w:val="23"/>
        </w:rPr>
        <w:t>ATO</w:t>
      </w:r>
      <w:r>
        <w:rPr>
          <w:rFonts w:ascii="Times New Roman" w:eastAsia="Times New Roman" w:hAnsi="Times New Roman" w:cs="Times New Roman"/>
          <w:color w:val="000000"/>
          <w:sz w:val="23"/>
          <w:szCs w:val="23"/>
        </w:rPr>
        <w:t>,</w:t>
      </w:r>
      <w:proofErr w:type="gramEnd"/>
      <w:r w:rsidRPr="00BF72F5">
        <w:rPr>
          <w:rFonts w:ascii="Times New Roman" w:eastAsia="Times New Roman" w:hAnsi="Times New Roman" w:cs="Times New Roman"/>
          <w:color w:val="000000"/>
          <w:sz w:val="23"/>
          <w:szCs w:val="23"/>
        </w:rPr>
        <w:t xml:space="preserve"> is in accordance with </w:t>
      </w:r>
      <w:r w:rsidRPr="00BF72F5">
        <w:rPr>
          <w:rFonts w:ascii="Times New Roman" w:eastAsia="Times New Roman" w:hAnsi="Times New Roman" w:cs="Times New Roman"/>
          <w:i/>
          <w:color w:val="000000"/>
          <w:sz w:val="23"/>
          <w:szCs w:val="23"/>
        </w:rPr>
        <w:t>NIST SP 800-37</w:t>
      </w:r>
      <w:r w:rsidRPr="00BF72F5">
        <w:rPr>
          <w:rFonts w:ascii="Times New Roman" w:eastAsia="Times New Roman" w:hAnsi="Times New Roman" w:cs="Times New Roman"/>
          <w:color w:val="000000"/>
          <w:sz w:val="23"/>
          <w:szCs w:val="23"/>
        </w:rPr>
        <w:t xml:space="preserve"> </w:t>
      </w:r>
      <w:r w:rsidRPr="00BF72F5">
        <w:rPr>
          <w:rFonts w:ascii="Times New Roman" w:eastAsia="Times New Roman" w:hAnsi="Times New Roman" w:cs="Times New Roman"/>
          <w:bCs/>
          <w:i/>
        </w:rPr>
        <w:t>Risk Management Framework for Information Systems and Organizations</w:t>
      </w:r>
      <w:r w:rsidRPr="00BF72F5">
        <w:rPr>
          <w:rFonts w:ascii="Times New Roman" w:eastAsia="Times New Roman" w:hAnsi="Times New Roman" w:cs="Times New Roman"/>
          <w:color w:val="000000"/>
          <w:sz w:val="23"/>
          <w:szCs w:val="23"/>
        </w:rPr>
        <w:t xml:space="preserve">. The </w:t>
      </w:r>
      <w:r>
        <w:rPr>
          <w:rFonts w:ascii="Times New Roman" w:eastAsia="Times New Roman" w:hAnsi="Times New Roman" w:cs="Times New Roman"/>
          <w:color w:val="000000"/>
          <w:sz w:val="23"/>
          <w:szCs w:val="23"/>
        </w:rPr>
        <w:t>Contractor</w:t>
      </w:r>
      <w:r w:rsidRPr="00BF72F5">
        <w:rPr>
          <w:rFonts w:ascii="Times New Roman" w:eastAsia="Times New Roman" w:hAnsi="Times New Roman" w:cs="Times New Roman"/>
          <w:color w:val="000000"/>
          <w:sz w:val="23"/>
          <w:szCs w:val="23"/>
        </w:rPr>
        <w:t xml:space="preserve"> shall adhere to current FDIC policies, procedures, and guidance for the </w:t>
      </w:r>
      <w:r>
        <w:rPr>
          <w:rFonts w:ascii="Times New Roman" w:eastAsia="Times New Roman" w:hAnsi="Times New Roman" w:cs="Times New Roman"/>
          <w:color w:val="000000"/>
          <w:sz w:val="23"/>
          <w:szCs w:val="23"/>
        </w:rPr>
        <w:t>SSA process as defined below.</w:t>
      </w:r>
    </w:p>
    <w:p w14:paraId="672A6659" w14:textId="77777777" w:rsidR="00106BBF" w:rsidRPr="00BF72F5" w:rsidRDefault="00106BBF" w:rsidP="00106BBF">
      <w:pPr>
        <w:autoSpaceDE w:val="0"/>
        <w:autoSpaceDN w:val="0"/>
        <w:adjustRightInd w:val="0"/>
        <w:spacing w:after="0" w:line="240" w:lineRule="auto"/>
        <w:rPr>
          <w:rFonts w:ascii="Times New Roman" w:eastAsia="Times New Roman" w:hAnsi="Times New Roman" w:cs="Times New Roman"/>
          <w:color w:val="000000"/>
          <w:sz w:val="23"/>
          <w:szCs w:val="23"/>
        </w:rPr>
      </w:pPr>
    </w:p>
    <w:p w14:paraId="34E16900" w14:textId="77777777" w:rsidR="00106BBF" w:rsidRDefault="00106BBF" w:rsidP="00106BBF">
      <w:pPr>
        <w:autoSpaceDE w:val="0"/>
        <w:autoSpaceDN w:val="0"/>
        <w:adjustRightInd w:val="0"/>
        <w:spacing w:after="0" w:line="240" w:lineRule="auto"/>
        <w:rPr>
          <w:rFonts w:ascii="Times New Roman" w:eastAsia="Times New Roman" w:hAnsi="Times New Roman" w:cs="Times New Roman"/>
          <w:color w:val="000000"/>
          <w:sz w:val="23"/>
          <w:szCs w:val="23"/>
        </w:rPr>
      </w:pPr>
      <w:r w:rsidRPr="00BF72F5">
        <w:rPr>
          <w:rFonts w:ascii="Times New Roman" w:eastAsia="Times New Roman" w:hAnsi="Times New Roman" w:cs="Times New Roman"/>
          <w:b/>
          <w:color w:val="000000"/>
          <w:sz w:val="23"/>
          <w:szCs w:val="23"/>
        </w:rPr>
        <w:t>Complete the Security Authorization Process</w:t>
      </w:r>
      <w:r w:rsidRPr="00BF72F5">
        <w:rPr>
          <w:rFonts w:ascii="Times New Roman" w:eastAsia="Times New Roman" w:hAnsi="Times New Roman" w:cs="Times New Roman"/>
          <w:color w:val="000000"/>
          <w:sz w:val="23"/>
          <w:szCs w:val="23"/>
        </w:rPr>
        <w:t xml:space="preserve">. The </w:t>
      </w:r>
      <w:r>
        <w:rPr>
          <w:rFonts w:ascii="Times New Roman" w:eastAsia="Times New Roman" w:hAnsi="Times New Roman" w:cs="Times New Roman"/>
          <w:color w:val="000000"/>
          <w:sz w:val="23"/>
          <w:szCs w:val="23"/>
        </w:rPr>
        <w:t>SSA</w:t>
      </w:r>
      <w:r w:rsidRPr="00BF72F5">
        <w:rPr>
          <w:rFonts w:ascii="Times New Roman" w:eastAsia="Times New Roman" w:hAnsi="Times New Roman" w:cs="Times New Roman"/>
          <w:color w:val="000000"/>
          <w:sz w:val="23"/>
          <w:szCs w:val="23"/>
        </w:rPr>
        <w:t xml:space="preserve"> process shall proceed according to the </w:t>
      </w:r>
      <w:r w:rsidRPr="00BF72F5">
        <w:rPr>
          <w:rFonts w:ascii="Times New Roman" w:eastAsia="Times New Roman" w:hAnsi="Times New Roman" w:cs="Times New Roman"/>
          <w:i/>
          <w:color w:val="000000"/>
          <w:sz w:val="23"/>
          <w:szCs w:val="23"/>
        </w:rPr>
        <w:t xml:space="preserve">NIST SP 800-37 </w:t>
      </w:r>
      <w:r w:rsidRPr="00BF72F5">
        <w:rPr>
          <w:rFonts w:ascii="Times New Roman" w:eastAsia="Times New Roman" w:hAnsi="Times New Roman" w:cs="Times New Roman"/>
          <w:bCs/>
          <w:i/>
          <w:color w:val="000000"/>
        </w:rPr>
        <w:t>Risk Management Framework for Information Systems and Organizations</w:t>
      </w:r>
      <w:r w:rsidRPr="00BF72F5">
        <w:rPr>
          <w:rFonts w:ascii="Times New Roman" w:eastAsia="Times New Roman" w:hAnsi="Times New Roman" w:cs="Times New Roman"/>
          <w:b/>
          <w:bCs/>
          <w:i/>
          <w:color w:val="000000"/>
        </w:rPr>
        <w:t xml:space="preserve"> </w:t>
      </w:r>
      <w:r w:rsidRPr="00BF72F5">
        <w:rPr>
          <w:rFonts w:ascii="Times New Roman" w:eastAsia="Times New Roman" w:hAnsi="Times New Roman" w:cs="Times New Roman"/>
          <w:color w:val="000000"/>
          <w:sz w:val="23"/>
          <w:szCs w:val="23"/>
        </w:rPr>
        <w:t>or any successor publication</w:t>
      </w:r>
      <w:r>
        <w:rPr>
          <w:rFonts w:ascii="Times New Roman" w:eastAsia="Times New Roman" w:hAnsi="Times New Roman" w:cs="Times New Roman"/>
          <w:color w:val="000000"/>
          <w:sz w:val="23"/>
          <w:szCs w:val="23"/>
        </w:rPr>
        <w:t xml:space="preserve"> </w:t>
      </w:r>
      <w:r w:rsidRPr="00BF72F5">
        <w:rPr>
          <w:rFonts w:ascii="Times New Roman" w:eastAsia="Times New Roman" w:hAnsi="Times New Roman" w:cs="Times New Roman"/>
          <w:color w:val="000000"/>
          <w:sz w:val="23"/>
          <w:szCs w:val="23"/>
        </w:rPr>
        <w:t xml:space="preserve">including templates. </w:t>
      </w:r>
    </w:p>
    <w:p w14:paraId="0A37501D" w14:textId="77777777" w:rsidR="00106BBF" w:rsidRPr="00BF72F5" w:rsidRDefault="00106BBF" w:rsidP="00106BBF">
      <w:pPr>
        <w:autoSpaceDE w:val="0"/>
        <w:autoSpaceDN w:val="0"/>
        <w:adjustRightInd w:val="0"/>
        <w:spacing w:after="0" w:line="240" w:lineRule="auto"/>
        <w:rPr>
          <w:rFonts w:ascii="Times New Roman" w:eastAsia="Times New Roman" w:hAnsi="Times New Roman" w:cs="Times New Roman"/>
          <w:color w:val="000000"/>
          <w:sz w:val="24"/>
          <w:szCs w:val="24"/>
        </w:rPr>
      </w:pPr>
    </w:p>
    <w:p w14:paraId="3969A77E" w14:textId="77777777" w:rsidR="00106BBF" w:rsidRPr="00A147E9" w:rsidRDefault="00106BBF" w:rsidP="00106BBF">
      <w:pPr>
        <w:numPr>
          <w:ilvl w:val="1"/>
          <w:numId w:val="1"/>
        </w:numPr>
        <w:tabs>
          <w:tab w:val="left" w:pos="720"/>
          <w:tab w:val="left" w:pos="1080"/>
          <w:tab w:val="left" w:pos="1440"/>
          <w:tab w:val="left" w:pos="1800"/>
          <w:tab w:val="left" w:pos="2160"/>
        </w:tabs>
        <w:autoSpaceDE w:val="0"/>
        <w:autoSpaceDN w:val="0"/>
        <w:adjustRightInd w:val="0"/>
        <w:spacing w:after="0" w:line="240" w:lineRule="auto"/>
        <w:jc w:val="both"/>
        <w:rPr>
          <w:rFonts w:ascii="Times New Roman" w:hAnsi="Times New Roman"/>
          <w:color w:val="000000"/>
          <w:sz w:val="24"/>
        </w:rPr>
      </w:pPr>
      <w:r>
        <w:rPr>
          <w:rFonts w:ascii="Times New Roman" w:eastAsia="Times New Roman" w:hAnsi="Times New Roman" w:cs="Times New Roman"/>
          <w:b/>
          <w:color w:val="000000"/>
          <w:sz w:val="23"/>
          <w:szCs w:val="23"/>
        </w:rPr>
        <w:t xml:space="preserve">System </w:t>
      </w:r>
      <w:r w:rsidRPr="00BF72F5">
        <w:rPr>
          <w:rFonts w:ascii="Times New Roman" w:eastAsia="Times New Roman" w:hAnsi="Times New Roman" w:cs="Times New Roman"/>
          <w:b/>
          <w:color w:val="000000"/>
          <w:sz w:val="23"/>
          <w:szCs w:val="23"/>
        </w:rPr>
        <w:t xml:space="preserve">Security </w:t>
      </w:r>
      <w:r>
        <w:rPr>
          <w:rFonts w:ascii="Times New Roman" w:eastAsia="Times New Roman" w:hAnsi="Times New Roman" w:cs="Times New Roman"/>
          <w:b/>
          <w:color w:val="000000"/>
          <w:sz w:val="23"/>
          <w:szCs w:val="23"/>
        </w:rPr>
        <w:t xml:space="preserve">Assessment and </w:t>
      </w:r>
      <w:r w:rsidRPr="00BF72F5">
        <w:rPr>
          <w:rFonts w:ascii="Times New Roman" w:eastAsia="Times New Roman" w:hAnsi="Times New Roman" w:cs="Times New Roman"/>
          <w:b/>
          <w:color w:val="000000"/>
          <w:sz w:val="23"/>
          <w:szCs w:val="23"/>
        </w:rPr>
        <w:t>Authorization Process Documentation</w:t>
      </w:r>
      <w:r w:rsidRPr="00BF72F5">
        <w:rPr>
          <w:rFonts w:ascii="Times New Roman" w:eastAsia="Times New Roman" w:hAnsi="Times New Roman" w:cs="Times New Roman"/>
          <w:color w:val="000000"/>
          <w:sz w:val="23"/>
          <w:szCs w:val="23"/>
        </w:rPr>
        <w:t xml:space="preserve">. </w:t>
      </w:r>
      <w:r>
        <w:rPr>
          <w:rFonts w:ascii="Times New Roman" w:eastAsia="Times New Roman" w:hAnsi="Times New Roman" w:cs="Times New Roman"/>
          <w:color w:val="000000"/>
          <w:sz w:val="23"/>
          <w:szCs w:val="23"/>
        </w:rPr>
        <w:t>SSA</w:t>
      </w:r>
      <w:r w:rsidRPr="00BF72F5">
        <w:rPr>
          <w:rFonts w:ascii="Times New Roman" w:eastAsia="Times New Roman" w:hAnsi="Times New Roman" w:cs="Times New Roman"/>
          <w:color w:val="000000"/>
          <w:sz w:val="23"/>
          <w:szCs w:val="23"/>
        </w:rPr>
        <w:t xml:space="preserve"> documentation shall be developed </w:t>
      </w:r>
      <w:r>
        <w:rPr>
          <w:rFonts w:ascii="Times New Roman" w:eastAsia="Times New Roman" w:hAnsi="Times New Roman" w:cs="Times New Roman"/>
          <w:color w:val="000000"/>
          <w:sz w:val="23"/>
          <w:szCs w:val="23"/>
        </w:rPr>
        <w:t xml:space="preserve">by the Contractor </w:t>
      </w:r>
      <w:r w:rsidRPr="00BF72F5">
        <w:rPr>
          <w:rFonts w:ascii="Times New Roman" w:eastAsia="Times New Roman" w:hAnsi="Times New Roman" w:cs="Times New Roman"/>
          <w:color w:val="000000"/>
          <w:sz w:val="23"/>
          <w:szCs w:val="23"/>
        </w:rPr>
        <w:t xml:space="preserve">using the FDIC provided security documentation templates. </w:t>
      </w:r>
      <w:r>
        <w:rPr>
          <w:rFonts w:ascii="Times New Roman" w:eastAsia="Times New Roman" w:hAnsi="Times New Roman" w:cs="Times New Roman"/>
          <w:color w:val="000000"/>
          <w:sz w:val="23"/>
          <w:szCs w:val="23"/>
        </w:rPr>
        <w:t>SSA</w:t>
      </w:r>
      <w:r w:rsidRPr="00BF72F5">
        <w:rPr>
          <w:rFonts w:ascii="Times New Roman" w:eastAsia="Times New Roman" w:hAnsi="Times New Roman" w:cs="Times New Roman"/>
          <w:color w:val="000000"/>
          <w:sz w:val="23"/>
          <w:szCs w:val="23"/>
        </w:rPr>
        <w:t xml:space="preserve"> documentation consists of the following: Security </w:t>
      </w:r>
      <w:r>
        <w:rPr>
          <w:rFonts w:ascii="Times New Roman" w:eastAsia="Times New Roman" w:hAnsi="Times New Roman" w:cs="Times New Roman"/>
          <w:color w:val="000000"/>
          <w:sz w:val="23"/>
          <w:szCs w:val="23"/>
        </w:rPr>
        <w:t xml:space="preserve">Categorization Worksheet, </w:t>
      </w:r>
      <w:r w:rsidRPr="00BF72F5">
        <w:rPr>
          <w:rFonts w:ascii="Times New Roman" w:eastAsia="Times New Roman" w:hAnsi="Times New Roman" w:cs="Times New Roman"/>
          <w:color w:val="000000"/>
          <w:sz w:val="23"/>
          <w:szCs w:val="23"/>
        </w:rPr>
        <w:t xml:space="preserve">System Security Plan, Contingency Plan, Contingency Plan Test Results, Configuration Management Plan, Security Assessment Plan, Security Assessment Report, and Authorization to Operate Letter. Additional documents that may be required include a Plan(s) of Action and Milestones and Interconnection Security Agreement(s). </w:t>
      </w:r>
    </w:p>
    <w:p w14:paraId="5DAB6C7B" w14:textId="77777777" w:rsidR="00106BBF" w:rsidRPr="00BF72F5" w:rsidRDefault="00106BBF" w:rsidP="00106BBF">
      <w:pPr>
        <w:tabs>
          <w:tab w:val="left" w:pos="720"/>
          <w:tab w:val="left" w:pos="1080"/>
          <w:tab w:val="left" w:pos="1440"/>
          <w:tab w:val="left" w:pos="1800"/>
          <w:tab w:val="left" w:pos="2160"/>
        </w:tabs>
        <w:autoSpaceDE w:val="0"/>
        <w:autoSpaceDN w:val="0"/>
        <w:adjustRightInd w:val="0"/>
        <w:spacing w:after="0" w:line="240" w:lineRule="auto"/>
        <w:ind w:left="1495"/>
        <w:jc w:val="both"/>
        <w:rPr>
          <w:rFonts w:ascii="Times New Roman" w:eastAsia="Times New Roman" w:hAnsi="Times New Roman" w:cs="Times New Roman"/>
          <w:color w:val="000000"/>
          <w:sz w:val="24"/>
          <w:szCs w:val="24"/>
        </w:rPr>
      </w:pPr>
    </w:p>
    <w:p w14:paraId="073ACB4E" w14:textId="77777777" w:rsidR="00106BBF" w:rsidRPr="00A147E9" w:rsidRDefault="00106BBF" w:rsidP="00106BBF">
      <w:pPr>
        <w:numPr>
          <w:ilvl w:val="1"/>
          <w:numId w:val="1"/>
        </w:numPr>
        <w:tabs>
          <w:tab w:val="left" w:pos="720"/>
          <w:tab w:val="left" w:pos="1080"/>
          <w:tab w:val="left" w:pos="1440"/>
          <w:tab w:val="left" w:pos="1800"/>
          <w:tab w:val="left" w:pos="2160"/>
        </w:tabs>
        <w:autoSpaceDE w:val="0"/>
        <w:autoSpaceDN w:val="0"/>
        <w:adjustRightInd w:val="0"/>
        <w:spacing w:after="0" w:line="240" w:lineRule="auto"/>
        <w:jc w:val="both"/>
        <w:rPr>
          <w:rFonts w:ascii="Times New Roman" w:hAnsi="Times New Roman"/>
          <w:color w:val="000000"/>
          <w:sz w:val="24"/>
        </w:rPr>
      </w:pPr>
      <w:r w:rsidRPr="00BF72F5">
        <w:rPr>
          <w:rFonts w:ascii="Times New Roman" w:eastAsia="Times New Roman" w:hAnsi="Times New Roman" w:cs="Times New Roman"/>
          <w:b/>
          <w:color w:val="000000"/>
          <w:sz w:val="23"/>
          <w:szCs w:val="23"/>
        </w:rPr>
        <w:t>Independent Assessment.</w:t>
      </w:r>
      <w:r w:rsidRPr="00BF72F5">
        <w:rPr>
          <w:rFonts w:ascii="Times New Roman" w:eastAsia="Times New Roman" w:hAnsi="Times New Roman" w:cs="Times New Roman"/>
          <w:color w:val="000000"/>
          <w:sz w:val="23"/>
          <w:szCs w:val="23"/>
        </w:rPr>
        <w:t xml:space="preserve"> </w:t>
      </w:r>
      <w:proofErr w:type="gramStart"/>
      <w:r>
        <w:rPr>
          <w:rFonts w:ascii="Times New Roman" w:eastAsia="Times New Roman" w:hAnsi="Times New Roman" w:cs="Times New Roman"/>
          <w:color w:val="000000"/>
          <w:sz w:val="23"/>
          <w:szCs w:val="23"/>
        </w:rPr>
        <w:t>Contractor</w:t>
      </w:r>
      <w:proofErr w:type="gramEnd"/>
      <w:r w:rsidRPr="00A20580">
        <w:rPr>
          <w:rFonts w:ascii="Times New Roman" w:eastAsia="Times New Roman" w:hAnsi="Times New Roman" w:cs="Times New Roman"/>
          <w:color w:val="000000"/>
          <w:sz w:val="23"/>
          <w:szCs w:val="23"/>
        </w:rPr>
        <w:t xml:space="preserve"> shall have a</w:t>
      </w:r>
      <w:r>
        <w:rPr>
          <w:rFonts w:ascii="Times New Roman" w:eastAsia="Times New Roman" w:hAnsi="Times New Roman" w:cs="Times New Roman"/>
          <w:color w:val="000000"/>
          <w:sz w:val="23"/>
          <w:szCs w:val="23"/>
        </w:rPr>
        <w:t>n</w:t>
      </w:r>
      <w:r w:rsidRPr="00A20580">
        <w:rPr>
          <w:rFonts w:ascii="Times New Roman" w:eastAsia="Times New Roman" w:hAnsi="Times New Roman" w:cs="Times New Roman"/>
          <w:color w:val="000000"/>
          <w:sz w:val="23"/>
          <w:szCs w:val="23"/>
        </w:rPr>
        <w:t xml:space="preserve"> </w:t>
      </w:r>
      <w:r>
        <w:rPr>
          <w:rFonts w:ascii="Times New Roman" w:eastAsia="Times New Roman" w:hAnsi="Times New Roman" w:cs="Times New Roman"/>
          <w:color w:val="000000"/>
          <w:sz w:val="23"/>
          <w:szCs w:val="23"/>
        </w:rPr>
        <w:t xml:space="preserve">independent </w:t>
      </w:r>
      <w:r w:rsidRPr="003122F5">
        <w:rPr>
          <w:rFonts w:ascii="Times New Roman" w:hAnsi="Times New Roman"/>
        </w:rPr>
        <w:t xml:space="preserve">third party perform </w:t>
      </w:r>
      <w:r w:rsidRPr="00A147E9">
        <w:rPr>
          <w:rFonts w:ascii="Times New Roman" w:hAnsi="Times New Roman" w:cs="Times New Roman"/>
        </w:rPr>
        <w:t>an</w:t>
      </w:r>
      <w:r w:rsidRPr="003122F5">
        <w:rPr>
          <w:rFonts w:ascii="Times New Roman" w:hAnsi="Times New Roman"/>
        </w:rPr>
        <w:t xml:space="preserve"> assessment of the FDIC-prescribed security and privacy controls </w:t>
      </w:r>
      <w:r>
        <w:rPr>
          <w:rFonts w:ascii="Times New Roman" w:hAnsi="Times New Roman"/>
        </w:rPr>
        <w:t xml:space="preserve">as outlined in NIST SP 800-53 </w:t>
      </w:r>
      <w:r w:rsidRPr="003122F5">
        <w:rPr>
          <w:rFonts w:ascii="Times New Roman" w:hAnsi="Times New Roman"/>
        </w:rPr>
        <w:t>to determine the extent to which the selected controls are implemented correctly, operating as intended, and producing the desired outcome with respect to meeting security and privacy requirements for the system and the FDIC.</w:t>
      </w:r>
      <w:r>
        <w:rPr>
          <w:rFonts w:ascii="Times New Roman" w:eastAsia="Times New Roman" w:hAnsi="Times New Roman" w:cs="Times New Roman"/>
          <w:color w:val="000000"/>
          <w:sz w:val="23"/>
          <w:szCs w:val="23"/>
        </w:rPr>
        <w:t xml:space="preserve"> </w:t>
      </w:r>
      <w:r w:rsidRPr="00BF72F5">
        <w:rPr>
          <w:rFonts w:ascii="Times New Roman" w:hAnsi="Times New Roman" w:cs="Times New Roman"/>
          <w:sz w:val="23"/>
          <w:szCs w:val="23"/>
        </w:rPr>
        <w:t xml:space="preserve">Should the independent assessment find deficiencies, the </w:t>
      </w:r>
      <w:r>
        <w:rPr>
          <w:rFonts w:ascii="Times New Roman" w:eastAsia="Times New Roman" w:hAnsi="Times New Roman" w:cs="Times New Roman"/>
          <w:color w:val="000000"/>
          <w:sz w:val="23"/>
          <w:szCs w:val="23"/>
        </w:rPr>
        <w:t>Contractor</w:t>
      </w:r>
      <w:r w:rsidRPr="00BF72F5">
        <w:rPr>
          <w:rFonts w:ascii="Times New Roman" w:hAnsi="Times New Roman" w:cs="Times New Roman"/>
          <w:sz w:val="23"/>
          <w:szCs w:val="23"/>
        </w:rPr>
        <w:t xml:space="preserve"> must </w:t>
      </w:r>
      <w:r>
        <w:rPr>
          <w:rFonts w:ascii="Times New Roman" w:hAnsi="Times New Roman" w:cs="Times New Roman"/>
          <w:sz w:val="23"/>
          <w:szCs w:val="23"/>
        </w:rPr>
        <w:t>follow the direction of the</w:t>
      </w:r>
      <w:r w:rsidRPr="00BF72F5">
        <w:rPr>
          <w:rFonts w:ascii="Times New Roman" w:hAnsi="Times New Roman" w:cs="Times New Roman"/>
          <w:sz w:val="23"/>
          <w:szCs w:val="23"/>
        </w:rPr>
        <w:t xml:space="preserve"> FDIC to create and track Plans of Action &amp; Milestones (POA&amp;Ms) </w:t>
      </w:r>
      <w:r>
        <w:rPr>
          <w:rFonts w:ascii="Times New Roman" w:hAnsi="Times New Roman" w:cs="Times New Roman"/>
          <w:sz w:val="23"/>
          <w:szCs w:val="23"/>
        </w:rPr>
        <w:t xml:space="preserve">to be included in the final authorization package. </w:t>
      </w:r>
      <w:r w:rsidRPr="009E6738">
        <w:rPr>
          <w:rFonts w:ascii="Times New Roman" w:hAnsi="Times New Roman" w:cs="Times New Roman"/>
          <w:sz w:val="23"/>
          <w:szCs w:val="23"/>
        </w:rPr>
        <w:t xml:space="preserve">FDIC has the unilateral right to determine if the results and mitigation strategy are acceptable. In the case of unacceptable results or mitigation strategy, </w:t>
      </w:r>
      <w:r>
        <w:rPr>
          <w:rFonts w:ascii="Times New Roman" w:hAnsi="Times New Roman" w:cs="Times New Roman"/>
          <w:sz w:val="23"/>
          <w:szCs w:val="23"/>
        </w:rPr>
        <w:t xml:space="preserve">or if the </w:t>
      </w:r>
      <w:r>
        <w:rPr>
          <w:rFonts w:ascii="Times New Roman" w:eastAsia="Times New Roman" w:hAnsi="Times New Roman" w:cs="Times New Roman"/>
          <w:color w:val="000000"/>
          <w:sz w:val="23"/>
          <w:szCs w:val="23"/>
        </w:rPr>
        <w:t>Contractor</w:t>
      </w:r>
      <w:r>
        <w:rPr>
          <w:rFonts w:ascii="Times New Roman" w:hAnsi="Times New Roman" w:cs="Times New Roman"/>
          <w:sz w:val="23"/>
          <w:szCs w:val="23"/>
        </w:rPr>
        <w:t xml:space="preserve"> does not remediate control weaknesses in a timely manner as established in POA&amp;Ms, </w:t>
      </w:r>
      <w:r w:rsidRPr="009E6738">
        <w:rPr>
          <w:rFonts w:ascii="Times New Roman" w:hAnsi="Times New Roman" w:cs="Times New Roman"/>
          <w:sz w:val="23"/>
          <w:szCs w:val="23"/>
        </w:rPr>
        <w:t>FDIC may treat the failure as an event of default.</w:t>
      </w:r>
    </w:p>
    <w:p w14:paraId="02EB378F" w14:textId="77777777" w:rsidR="00106BBF" w:rsidRDefault="00106BBF" w:rsidP="00106BBF">
      <w:pPr>
        <w:tabs>
          <w:tab w:val="left" w:pos="720"/>
          <w:tab w:val="left" w:pos="1080"/>
          <w:tab w:val="left" w:pos="1440"/>
          <w:tab w:val="left" w:pos="1800"/>
          <w:tab w:val="left" w:pos="2160"/>
        </w:tabs>
        <w:autoSpaceDE w:val="0"/>
        <w:autoSpaceDN w:val="0"/>
        <w:adjustRightInd w:val="0"/>
        <w:spacing w:after="0" w:line="240" w:lineRule="auto"/>
        <w:jc w:val="both"/>
        <w:rPr>
          <w:rFonts w:ascii="Times New Roman" w:eastAsia="Times New Roman" w:hAnsi="Times New Roman" w:cs="Times New Roman"/>
          <w:color w:val="000000"/>
          <w:sz w:val="24"/>
          <w:szCs w:val="24"/>
        </w:rPr>
      </w:pPr>
    </w:p>
    <w:p w14:paraId="2A452D0E" w14:textId="77777777" w:rsidR="00106BBF" w:rsidRPr="00A147E9" w:rsidRDefault="00106BBF" w:rsidP="00106BBF">
      <w:pPr>
        <w:numPr>
          <w:ilvl w:val="1"/>
          <w:numId w:val="1"/>
        </w:numPr>
        <w:tabs>
          <w:tab w:val="left" w:pos="720"/>
          <w:tab w:val="left" w:pos="1080"/>
          <w:tab w:val="left" w:pos="1440"/>
          <w:tab w:val="left" w:pos="1800"/>
          <w:tab w:val="left" w:pos="2160"/>
        </w:tabs>
        <w:autoSpaceDE w:val="0"/>
        <w:autoSpaceDN w:val="0"/>
        <w:adjustRightInd w:val="0"/>
        <w:spacing w:after="0" w:line="240" w:lineRule="auto"/>
        <w:jc w:val="both"/>
        <w:rPr>
          <w:rFonts w:ascii="Times New Roman" w:hAnsi="Times New Roman"/>
          <w:color w:val="000000"/>
          <w:sz w:val="24"/>
        </w:rPr>
      </w:pPr>
      <w:r w:rsidRPr="00BF72F5">
        <w:rPr>
          <w:rFonts w:ascii="Times New Roman" w:eastAsia="Times New Roman" w:hAnsi="Times New Roman" w:cs="Times New Roman"/>
          <w:b/>
          <w:color w:val="000000"/>
          <w:sz w:val="23"/>
          <w:szCs w:val="23"/>
        </w:rPr>
        <w:t>Support the Completion of the Privacy Compliance Documentation.</w:t>
      </w:r>
      <w:r w:rsidRPr="00BF72F5">
        <w:rPr>
          <w:rFonts w:ascii="Times New Roman" w:eastAsia="Times New Roman" w:hAnsi="Times New Roman" w:cs="Times New Roman"/>
          <w:color w:val="000000"/>
          <w:sz w:val="23"/>
          <w:szCs w:val="23"/>
        </w:rPr>
        <w:t xml:space="preserve"> As part of the </w:t>
      </w:r>
      <w:r>
        <w:rPr>
          <w:rFonts w:ascii="Times New Roman" w:eastAsia="Times New Roman" w:hAnsi="Times New Roman" w:cs="Times New Roman"/>
          <w:color w:val="000000"/>
          <w:sz w:val="23"/>
          <w:szCs w:val="23"/>
        </w:rPr>
        <w:t>SSA</w:t>
      </w:r>
      <w:r w:rsidRPr="00BF72F5">
        <w:rPr>
          <w:rFonts w:ascii="Times New Roman" w:eastAsia="Times New Roman" w:hAnsi="Times New Roman" w:cs="Times New Roman"/>
          <w:color w:val="000000"/>
          <w:sz w:val="23"/>
          <w:szCs w:val="23"/>
        </w:rPr>
        <w:t xml:space="preserve"> process, the </w:t>
      </w:r>
      <w:r>
        <w:rPr>
          <w:rFonts w:ascii="Times New Roman" w:eastAsia="Times New Roman" w:hAnsi="Times New Roman" w:cs="Times New Roman"/>
          <w:color w:val="000000"/>
          <w:sz w:val="23"/>
          <w:szCs w:val="23"/>
        </w:rPr>
        <w:t>Contractor</w:t>
      </w:r>
      <w:r w:rsidRPr="00BF72F5">
        <w:rPr>
          <w:rFonts w:ascii="Times New Roman" w:eastAsia="Times New Roman" w:hAnsi="Times New Roman" w:cs="Times New Roman"/>
          <w:color w:val="000000"/>
          <w:sz w:val="23"/>
          <w:szCs w:val="23"/>
        </w:rPr>
        <w:t xml:space="preserve"> may be required to support the FDIC in the completion of a Privacy Threshold Analysis (PTA). The requirement to complete a PTA is triggered by the creation, use, modification, upgrade, or disposition of a contractor IT system that will store, maintain and use PII.  Upon review of the PTA, the OCISO Privacy Section determines whether a Privacy Impact Assessment (PIA) and/or Privacy Act System of Records Notice (SORN), or modifications thereto, are required. The </w:t>
      </w:r>
      <w:r>
        <w:rPr>
          <w:rFonts w:ascii="Times New Roman" w:eastAsia="Times New Roman" w:hAnsi="Times New Roman" w:cs="Times New Roman"/>
          <w:color w:val="000000"/>
          <w:sz w:val="23"/>
          <w:szCs w:val="23"/>
        </w:rPr>
        <w:t>Contractor</w:t>
      </w:r>
      <w:r w:rsidRPr="00BF72F5">
        <w:rPr>
          <w:rFonts w:ascii="Times New Roman" w:eastAsia="Times New Roman" w:hAnsi="Times New Roman" w:cs="Times New Roman"/>
          <w:color w:val="000000"/>
          <w:sz w:val="23"/>
          <w:szCs w:val="23"/>
        </w:rPr>
        <w:t xml:space="preserve"> shall provide all support necessary to assist the FDIC in completing the PIA in a timely manner and shall ensure that project management plans and schedules include time for the completion of the PTA, PIA, and SORN (to the extent required) as milestones. Support in this context includes responding timely to requests for information from the FDIC about the use, access, storage, and maintenance of PII </w:t>
      </w:r>
      <w:r w:rsidRPr="00BF72F5">
        <w:rPr>
          <w:rFonts w:ascii="Times New Roman" w:eastAsia="Times New Roman" w:hAnsi="Times New Roman" w:cs="Times New Roman"/>
          <w:color w:val="000000"/>
          <w:sz w:val="23"/>
          <w:szCs w:val="23"/>
        </w:rPr>
        <w:lastRenderedPageBreak/>
        <w:t xml:space="preserve">on the </w:t>
      </w:r>
      <w:r>
        <w:rPr>
          <w:rFonts w:ascii="Times New Roman" w:eastAsia="Times New Roman" w:hAnsi="Times New Roman" w:cs="Times New Roman"/>
          <w:color w:val="000000"/>
          <w:sz w:val="23"/>
          <w:szCs w:val="23"/>
        </w:rPr>
        <w:t>Contractor</w:t>
      </w:r>
      <w:r w:rsidRPr="00BF72F5">
        <w:rPr>
          <w:rFonts w:ascii="Times New Roman" w:eastAsia="Times New Roman" w:hAnsi="Times New Roman" w:cs="Times New Roman"/>
          <w:color w:val="000000"/>
          <w:sz w:val="23"/>
          <w:szCs w:val="23"/>
        </w:rPr>
        <w:t xml:space="preserve">’s system, and providing timely review of relevant compliance documents for factual accuracy. Information on the FDIC’s privacy compliance process, including PTAs, PIAs, and SORNs, is accessible at </w:t>
      </w:r>
      <w:hyperlink r:id="rId10" w:history="1">
        <w:r w:rsidRPr="00900A2E">
          <w:rPr>
            <w:rStyle w:val="Hyperlink"/>
            <w:rFonts w:ascii="Times New Roman" w:eastAsia="Times New Roman" w:hAnsi="Times New Roman" w:cs="Times New Roman"/>
            <w:sz w:val="24"/>
            <w:szCs w:val="20"/>
          </w:rPr>
          <w:t>www.fdic.gov/privacy</w:t>
        </w:r>
      </w:hyperlink>
      <w:r w:rsidRPr="00BF72F5">
        <w:rPr>
          <w:rFonts w:ascii="Times New Roman" w:eastAsia="Times New Roman" w:hAnsi="Times New Roman" w:cs="Times New Roman"/>
          <w:sz w:val="24"/>
          <w:szCs w:val="20"/>
        </w:rPr>
        <w:t>.</w:t>
      </w:r>
    </w:p>
    <w:p w14:paraId="6A05A809" w14:textId="77777777" w:rsidR="00106BBF" w:rsidRPr="00BF72F5" w:rsidRDefault="00106BBF" w:rsidP="00106BBF">
      <w:pPr>
        <w:tabs>
          <w:tab w:val="left" w:pos="720"/>
          <w:tab w:val="left" w:pos="1080"/>
          <w:tab w:val="left" w:pos="1440"/>
          <w:tab w:val="left" w:pos="1800"/>
          <w:tab w:val="left" w:pos="2160"/>
        </w:tabs>
        <w:autoSpaceDE w:val="0"/>
        <w:autoSpaceDN w:val="0"/>
        <w:adjustRightInd w:val="0"/>
        <w:spacing w:after="0" w:line="240" w:lineRule="auto"/>
        <w:ind w:left="1495"/>
        <w:jc w:val="both"/>
        <w:rPr>
          <w:rFonts w:ascii="Times New Roman" w:eastAsia="Times New Roman" w:hAnsi="Times New Roman" w:cs="Times New Roman"/>
          <w:color w:val="000000"/>
          <w:sz w:val="24"/>
          <w:szCs w:val="24"/>
        </w:rPr>
      </w:pPr>
    </w:p>
    <w:p w14:paraId="4920BBF5" w14:textId="77777777" w:rsidR="00106BBF" w:rsidRPr="003122F5" w:rsidRDefault="00106BBF" w:rsidP="00106BBF">
      <w:pPr>
        <w:numPr>
          <w:ilvl w:val="1"/>
          <w:numId w:val="1"/>
        </w:numPr>
        <w:tabs>
          <w:tab w:val="left" w:pos="720"/>
          <w:tab w:val="left" w:pos="1080"/>
          <w:tab w:val="left" w:pos="1440"/>
          <w:tab w:val="left" w:pos="1800"/>
          <w:tab w:val="left" w:pos="2160"/>
        </w:tabs>
        <w:spacing w:after="0" w:line="240" w:lineRule="auto"/>
        <w:jc w:val="both"/>
        <w:rPr>
          <w:rFonts w:ascii="Times New Roman" w:hAnsi="Times New Roman"/>
          <w:sz w:val="23"/>
        </w:rPr>
      </w:pPr>
      <w:r>
        <w:rPr>
          <w:rFonts w:ascii="Times New Roman" w:eastAsia="Times New Roman" w:hAnsi="Times New Roman" w:cs="Times New Roman"/>
          <w:b/>
          <w:color w:val="000000"/>
          <w:sz w:val="23"/>
          <w:szCs w:val="23"/>
        </w:rPr>
        <w:t xml:space="preserve">Authorization to Operate. </w:t>
      </w:r>
      <w:r>
        <w:rPr>
          <w:rFonts w:ascii="Times New Roman" w:eastAsia="Times New Roman" w:hAnsi="Times New Roman" w:cs="Times New Roman"/>
          <w:color w:val="000000"/>
          <w:sz w:val="23"/>
          <w:szCs w:val="23"/>
        </w:rPr>
        <w:t xml:space="preserve">Upon completion of the SSA documentation and independent assessment, </w:t>
      </w:r>
      <w:r w:rsidRPr="00BF72F5">
        <w:rPr>
          <w:rFonts w:ascii="Times New Roman" w:eastAsia="Times New Roman" w:hAnsi="Times New Roman" w:cs="Times New Roman"/>
          <w:color w:val="000000"/>
          <w:sz w:val="23"/>
          <w:szCs w:val="23"/>
        </w:rPr>
        <w:t xml:space="preserve">the </w:t>
      </w:r>
      <w:r>
        <w:rPr>
          <w:rFonts w:ascii="Times New Roman" w:eastAsia="Times New Roman" w:hAnsi="Times New Roman" w:cs="Times New Roman"/>
          <w:color w:val="000000"/>
          <w:sz w:val="23"/>
          <w:szCs w:val="23"/>
        </w:rPr>
        <w:t>Contractor</w:t>
      </w:r>
      <w:r w:rsidRPr="00BF72F5">
        <w:rPr>
          <w:rFonts w:ascii="Times New Roman" w:eastAsia="Times New Roman" w:hAnsi="Times New Roman" w:cs="Times New Roman"/>
          <w:color w:val="000000"/>
          <w:sz w:val="23"/>
          <w:szCs w:val="23"/>
        </w:rPr>
        <w:t xml:space="preserve"> shall submit a signed </w:t>
      </w:r>
      <w:r>
        <w:rPr>
          <w:rFonts w:ascii="Times New Roman" w:eastAsia="Times New Roman" w:hAnsi="Times New Roman" w:cs="Times New Roman"/>
          <w:color w:val="000000"/>
          <w:sz w:val="23"/>
          <w:szCs w:val="23"/>
        </w:rPr>
        <w:t>SSA</w:t>
      </w:r>
      <w:r w:rsidRPr="00BF72F5">
        <w:rPr>
          <w:rFonts w:ascii="Times New Roman" w:eastAsia="Times New Roman" w:hAnsi="Times New Roman" w:cs="Times New Roman"/>
          <w:color w:val="000000"/>
          <w:sz w:val="23"/>
          <w:szCs w:val="23"/>
        </w:rPr>
        <w:t xml:space="preserve"> package, validated by the independent third party, to the Oversight Manager for acceptance by the FDIC </w:t>
      </w:r>
      <w:r>
        <w:rPr>
          <w:rFonts w:ascii="Times New Roman" w:eastAsia="Times New Roman" w:hAnsi="Times New Roman" w:cs="Times New Roman"/>
          <w:color w:val="000000"/>
          <w:sz w:val="23"/>
          <w:szCs w:val="23"/>
        </w:rPr>
        <w:t>Authorizing Official (</w:t>
      </w:r>
      <w:r w:rsidRPr="00BF72F5">
        <w:rPr>
          <w:rFonts w:ascii="Times New Roman" w:eastAsia="Times New Roman" w:hAnsi="Times New Roman" w:cs="Times New Roman"/>
          <w:color w:val="000000"/>
          <w:sz w:val="23"/>
          <w:szCs w:val="23"/>
        </w:rPr>
        <w:t>AO</w:t>
      </w:r>
      <w:r>
        <w:rPr>
          <w:rFonts w:ascii="Times New Roman" w:eastAsia="Times New Roman" w:hAnsi="Times New Roman" w:cs="Times New Roman"/>
          <w:color w:val="000000"/>
          <w:sz w:val="23"/>
          <w:szCs w:val="23"/>
        </w:rPr>
        <w:t>)</w:t>
      </w:r>
      <w:r w:rsidRPr="00BF72F5">
        <w:rPr>
          <w:rFonts w:ascii="Times New Roman" w:eastAsia="Times New Roman" w:hAnsi="Times New Roman" w:cs="Times New Roman"/>
          <w:color w:val="000000"/>
          <w:sz w:val="23"/>
          <w:szCs w:val="23"/>
        </w:rPr>
        <w:t xml:space="preserve">, or designee, at least thirty (30) days prior to the </w:t>
      </w:r>
      <w:r>
        <w:rPr>
          <w:rFonts w:ascii="Times New Roman" w:eastAsia="Times New Roman" w:hAnsi="Times New Roman" w:cs="Times New Roman"/>
          <w:color w:val="000000"/>
          <w:sz w:val="23"/>
          <w:szCs w:val="23"/>
        </w:rPr>
        <w:t>use of</w:t>
      </w:r>
      <w:r w:rsidRPr="00BF72F5">
        <w:rPr>
          <w:rFonts w:ascii="Times New Roman" w:eastAsia="Times New Roman" w:hAnsi="Times New Roman" w:cs="Times New Roman"/>
          <w:color w:val="000000"/>
          <w:sz w:val="23"/>
          <w:szCs w:val="23"/>
        </w:rPr>
        <w:t xml:space="preserve"> the system. The FDIC is the final authority on the compliance of the S</w:t>
      </w:r>
      <w:r>
        <w:rPr>
          <w:rFonts w:ascii="Times New Roman" w:eastAsia="Times New Roman" w:hAnsi="Times New Roman" w:cs="Times New Roman"/>
          <w:color w:val="000000"/>
          <w:sz w:val="23"/>
          <w:szCs w:val="23"/>
        </w:rPr>
        <w:t>S</w:t>
      </w:r>
      <w:r w:rsidRPr="00BF72F5">
        <w:rPr>
          <w:rFonts w:ascii="Times New Roman" w:eastAsia="Times New Roman" w:hAnsi="Times New Roman" w:cs="Times New Roman"/>
          <w:color w:val="000000"/>
          <w:sz w:val="23"/>
          <w:szCs w:val="23"/>
        </w:rPr>
        <w:t>A package and may limit the number of resubmissions of a modified S</w:t>
      </w:r>
      <w:r>
        <w:rPr>
          <w:rFonts w:ascii="Times New Roman" w:eastAsia="Times New Roman" w:hAnsi="Times New Roman" w:cs="Times New Roman"/>
          <w:color w:val="000000"/>
          <w:sz w:val="23"/>
          <w:szCs w:val="23"/>
        </w:rPr>
        <w:t>S</w:t>
      </w:r>
      <w:r w:rsidRPr="00BF72F5">
        <w:rPr>
          <w:rFonts w:ascii="Times New Roman" w:eastAsia="Times New Roman" w:hAnsi="Times New Roman" w:cs="Times New Roman"/>
          <w:color w:val="000000"/>
          <w:sz w:val="23"/>
          <w:szCs w:val="23"/>
        </w:rPr>
        <w:t>A package. Once the ATO has been granted by the FDIC AO</w:t>
      </w:r>
      <w:r>
        <w:rPr>
          <w:rFonts w:ascii="Times New Roman" w:eastAsia="Times New Roman" w:hAnsi="Times New Roman" w:cs="Times New Roman"/>
          <w:color w:val="000000"/>
          <w:sz w:val="23"/>
          <w:szCs w:val="23"/>
        </w:rPr>
        <w:t xml:space="preserve"> </w:t>
      </w:r>
      <w:r w:rsidRPr="00BF72F5">
        <w:rPr>
          <w:rFonts w:ascii="Times New Roman" w:eastAsia="Times New Roman" w:hAnsi="Times New Roman" w:cs="Times New Roman"/>
          <w:color w:val="000000"/>
          <w:sz w:val="23"/>
          <w:szCs w:val="23"/>
        </w:rPr>
        <w:t xml:space="preserve">the Contracting Officer shall incorporate the ATO letter into the contract as a compliance document. The FDIC’s </w:t>
      </w:r>
      <w:r>
        <w:rPr>
          <w:rFonts w:ascii="Times New Roman" w:eastAsia="Times New Roman" w:hAnsi="Times New Roman" w:cs="Times New Roman"/>
          <w:color w:val="000000"/>
          <w:sz w:val="23"/>
          <w:szCs w:val="23"/>
        </w:rPr>
        <w:t>issuance</w:t>
      </w:r>
      <w:r w:rsidRPr="00BF72F5">
        <w:rPr>
          <w:rFonts w:ascii="Times New Roman" w:eastAsia="Times New Roman" w:hAnsi="Times New Roman" w:cs="Times New Roman"/>
          <w:color w:val="000000"/>
          <w:sz w:val="23"/>
          <w:szCs w:val="23"/>
        </w:rPr>
        <w:t xml:space="preserve"> of the ATO does not alleviate the </w:t>
      </w:r>
      <w:r>
        <w:rPr>
          <w:rFonts w:ascii="Times New Roman" w:eastAsia="Times New Roman" w:hAnsi="Times New Roman" w:cs="Times New Roman"/>
          <w:color w:val="000000"/>
          <w:sz w:val="23"/>
          <w:szCs w:val="23"/>
        </w:rPr>
        <w:t>Contractor</w:t>
      </w:r>
      <w:r w:rsidRPr="00BF72F5">
        <w:rPr>
          <w:rFonts w:ascii="Times New Roman" w:eastAsia="Times New Roman" w:hAnsi="Times New Roman" w:cs="Times New Roman"/>
          <w:color w:val="000000"/>
          <w:sz w:val="23"/>
          <w:szCs w:val="23"/>
        </w:rPr>
        <w:t xml:space="preserve">’s responsibility to ensure the controls are implemented and operating effectively. </w:t>
      </w:r>
      <w:r>
        <w:rPr>
          <w:rFonts w:ascii="Times New Roman" w:eastAsia="Times New Roman" w:hAnsi="Times New Roman" w:cs="Times New Roman"/>
          <w:color w:val="000000"/>
          <w:sz w:val="23"/>
          <w:szCs w:val="23"/>
        </w:rPr>
        <w:t xml:space="preserve"> The SSA package must include the following:</w:t>
      </w:r>
    </w:p>
    <w:p w14:paraId="5A39BBE3" w14:textId="77777777" w:rsidR="00106BBF" w:rsidRDefault="00106BBF" w:rsidP="00106BBF">
      <w:pPr>
        <w:tabs>
          <w:tab w:val="left" w:pos="720"/>
          <w:tab w:val="left" w:pos="1080"/>
          <w:tab w:val="left" w:pos="1440"/>
          <w:tab w:val="left" w:pos="1800"/>
          <w:tab w:val="left" w:pos="2160"/>
        </w:tabs>
        <w:spacing w:after="0" w:line="240" w:lineRule="auto"/>
        <w:ind w:left="1495"/>
        <w:jc w:val="both"/>
        <w:rPr>
          <w:rFonts w:ascii="Times New Roman" w:hAnsi="Times New Roman" w:cs="Times New Roman"/>
          <w:sz w:val="23"/>
          <w:szCs w:val="23"/>
        </w:rPr>
      </w:pPr>
    </w:p>
    <w:tbl>
      <w:tblPr>
        <w:tblStyle w:val="TableGrid"/>
        <w:tblW w:w="0" w:type="auto"/>
        <w:tblInd w:w="2215" w:type="dxa"/>
        <w:tblLook w:val="04A0" w:firstRow="1" w:lastRow="0" w:firstColumn="1" w:lastColumn="0" w:noHBand="0" w:noVBand="1"/>
      </w:tblPr>
      <w:tblGrid>
        <w:gridCol w:w="7135"/>
      </w:tblGrid>
      <w:tr w:rsidR="00106BBF" w14:paraId="547488EB" w14:textId="77777777" w:rsidTr="00995FC0">
        <w:tc>
          <w:tcPr>
            <w:tcW w:w="7135" w:type="dxa"/>
          </w:tcPr>
          <w:p w14:paraId="2294EF24" w14:textId="77777777" w:rsidR="00106BBF" w:rsidRPr="003122F5" w:rsidRDefault="00106BBF" w:rsidP="00995FC0">
            <w:pPr>
              <w:tabs>
                <w:tab w:val="left" w:pos="720"/>
                <w:tab w:val="left" w:pos="1080"/>
                <w:tab w:val="left" w:pos="1440"/>
                <w:tab w:val="left" w:pos="1800"/>
                <w:tab w:val="left" w:pos="2160"/>
              </w:tabs>
              <w:jc w:val="center"/>
              <w:rPr>
                <w:rFonts w:ascii="Times New Roman" w:hAnsi="Times New Roman"/>
                <w:b/>
                <w:sz w:val="23"/>
              </w:rPr>
            </w:pPr>
            <w:r w:rsidRPr="003122F5">
              <w:rPr>
                <w:rFonts w:ascii="Times New Roman" w:hAnsi="Times New Roman"/>
                <w:b/>
                <w:sz w:val="23"/>
              </w:rPr>
              <w:t>Deliverables</w:t>
            </w:r>
            <w:r>
              <w:rPr>
                <w:rFonts w:ascii="Times New Roman" w:hAnsi="Times New Roman"/>
                <w:b/>
                <w:sz w:val="23"/>
              </w:rPr>
              <w:t xml:space="preserve"> (30 Days Prior to System Use)</w:t>
            </w:r>
          </w:p>
        </w:tc>
      </w:tr>
      <w:tr w:rsidR="00106BBF" w14:paraId="0F15006D" w14:textId="77777777" w:rsidTr="00995FC0">
        <w:tc>
          <w:tcPr>
            <w:tcW w:w="7135" w:type="dxa"/>
          </w:tcPr>
          <w:p w14:paraId="7EF3C9A0" w14:textId="77777777" w:rsidR="00106BBF" w:rsidRDefault="00106BBF" w:rsidP="00995FC0">
            <w:pPr>
              <w:tabs>
                <w:tab w:val="left" w:pos="720"/>
                <w:tab w:val="left" w:pos="1080"/>
                <w:tab w:val="left" w:pos="1440"/>
                <w:tab w:val="left" w:pos="1800"/>
                <w:tab w:val="left" w:pos="2160"/>
              </w:tabs>
              <w:jc w:val="center"/>
              <w:rPr>
                <w:rFonts w:ascii="Times New Roman" w:hAnsi="Times New Roman" w:cs="Times New Roman"/>
                <w:sz w:val="23"/>
                <w:szCs w:val="23"/>
              </w:rPr>
            </w:pPr>
            <w:r>
              <w:rPr>
                <w:rFonts w:ascii="Times New Roman" w:hAnsi="Times New Roman" w:cs="Times New Roman"/>
                <w:sz w:val="23"/>
                <w:szCs w:val="23"/>
              </w:rPr>
              <w:t>Security and privacy plans</w:t>
            </w:r>
          </w:p>
        </w:tc>
      </w:tr>
      <w:tr w:rsidR="00106BBF" w14:paraId="1C41AF0B" w14:textId="77777777" w:rsidTr="00995FC0">
        <w:tc>
          <w:tcPr>
            <w:tcW w:w="7135" w:type="dxa"/>
          </w:tcPr>
          <w:p w14:paraId="0EA4112D" w14:textId="77777777" w:rsidR="00106BBF" w:rsidRDefault="00106BBF" w:rsidP="00995FC0">
            <w:pPr>
              <w:tabs>
                <w:tab w:val="left" w:pos="720"/>
                <w:tab w:val="left" w:pos="1080"/>
                <w:tab w:val="left" w:pos="1440"/>
                <w:tab w:val="left" w:pos="1800"/>
                <w:tab w:val="left" w:pos="2160"/>
              </w:tabs>
              <w:jc w:val="center"/>
              <w:rPr>
                <w:rFonts w:ascii="Times New Roman" w:hAnsi="Times New Roman" w:cs="Times New Roman"/>
                <w:sz w:val="23"/>
                <w:szCs w:val="23"/>
              </w:rPr>
            </w:pPr>
            <w:r>
              <w:rPr>
                <w:rFonts w:ascii="Times New Roman" w:hAnsi="Times New Roman" w:cs="Times New Roman"/>
                <w:sz w:val="23"/>
                <w:szCs w:val="23"/>
              </w:rPr>
              <w:t>Security and privacy assessment reports</w:t>
            </w:r>
          </w:p>
        </w:tc>
      </w:tr>
      <w:tr w:rsidR="00106BBF" w14:paraId="0C6EFD3B" w14:textId="77777777" w:rsidTr="00995FC0">
        <w:tc>
          <w:tcPr>
            <w:tcW w:w="7135" w:type="dxa"/>
          </w:tcPr>
          <w:p w14:paraId="74DF95C2" w14:textId="77777777" w:rsidR="00106BBF" w:rsidRDefault="00106BBF" w:rsidP="00995FC0">
            <w:pPr>
              <w:tabs>
                <w:tab w:val="left" w:pos="720"/>
                <w:tab w:val="left" w:pos="1080"/>
                <w:tab w:val="left" w:pos="1440"/>
                <w:tab w:val="left" w:pos="1800"/>
                <w:tab w:val="left" w:pos="2160"/>
              </w:tabs>
              <w:jc w:val="center"/>
              <w:rPr>
                <w:rFonts w:ascii="Times New Roman" w:hAnsi="Times New Roman" w:cs="Times New Roman"/>
                <w:sz w:val="23"/>
                <w:szCs w:val="23"/>
              </w:rPr>
            </w:pPr>
            <w:r>
              <w:rPr>
                <w:rFonts w:ascii="Times New Roman" w:hAnsi="Times New Roman" w:cs="Times New Roman"/>
                <w:sz w:val="23"/>
                <w:szCs w:val="23"/>
              </w:rPr>
              <w:t>Plan of action and milestones</w:t>
            </w:r>
          </w:p>
        </w:tc>
      </w:tr>
      <w:tr w:rsidR="00106BBF" w14:paraId="5D8ABFC4" w14:textId="77777777" w:rsidTr="00995FC0">
        <w:tc>
          <w:tcPr>
            <w:tcW w:w="7135" w:type="dxa"/>
          </w:tcPr>
          <w:p w14:paraId="3C05F3FB" w14:textId="77777777" w:rsidR="00106BBF" w:rsidRDefault="00106BBF" w:rsidP="00995FC0">
            <w:pPr>
              <w:tabs>
                <w:tab w:val="left" w:pos="720"/>
                <w:tab w:val="left" w:pos="1080"/>
                <w:tab w:val="left" w:pos="1440"/>
                <w:tab w:val="left" w:pos="1800"/>
                <w:tab w:val="left" w:pos="2160"/>
              </w:tabs>
              <w:jc w:val="center"/>
              <w:rPr>
                <w:rFonts w:ascii="Times New Roman" w:hAnsi="Times New Roman" w:cs="Times New Roman"/>
                <w:sz w:val="23"/>
                <w:szCs w:val="23"/>
              </w:rPr>
            </w:pPr>
            <w:r>
              <w:rPr>
                <w:rFonts w:ascii="Times New Roman" w:hAnsi="Times New Roman" w:cs="Times New Roman"/>
                <w:sz w:val="23"/>
                <w:szCs w:val="23"/>
              </w:rPr>
              <w:t>Supporting assessment evidence or other documentation, as required.</w:t>
            </w:r>
          </w:p>
        </w:tc>
      </w:tr>
    </w:tbl>
    <w:p w14:paraId="41C8F396" w14:textId="77777777" w:rsidR="00106BBF" w:rsidRPr="003122F5" w:rsidRDefault="00106BBF" w:rsidP="00106BBF">
      <w:pPr>
        <w:tabs>
          <w:tab w:val="left" w:pos="720"/>
          <w:tab w:val="left" w:pos="1080"/>
          <w:tab w:val="left" w:pos="1440"/>
          <w:tab w:val="left" w:pos="1800"/>
          <w:tab w:val="left" w:pos="2160"/>
        </w:tabs>
        <w:spacing w:after="0" w:line="240" w:lineRule="auto"/>
        <w:jc w:val="both"/>
        <w:rPr>
          <w:rFonts w:ascii="Times New Roman" w:hAnsi="Times New Roman"/>
          <w:sz w:val="23"/>
        </w:rPr>
      </w:pPr>
    </w:p>
    <w:p w14:paraId="66AF99E3" w14:textId="77777777" w:rsidR="00106BBF" w:rsidRPr="00BF72F5" w:rsidRDefault="00106BBF" w:rsidP="00106BBF">
      <w:pPr>
        <w:numPr>
          <w:ilvl w:val="1"/>
          <w:numId w:val="1"/>
        </w:numPr>
        <w:tabs>
          <w:tab w:val="left" w:pos="720"/>
          <w:tab w:val="left" w:pos="1080"/>
          <w:tab w:val="left" w:pos="1440"/>
          <w:tab w:val="left" w:pos="1800"/>
          <w:tab w:val="left" w:pos="2160"/>
        </w:tabs>
        <w:spacing w:after="0" w:line="240" w:lineRule="auto"/>
        <w:jc w:val="both"/>
        <w:rPr>
          <w:rFonts w:ascii="Times New Roman" w:hAnsi="Times New Roman" w:cs="Times New Roman"/>
          <w:sz w:val="23"/>
          <w:szCs w:val="23"/>
        </w:rPr>
      </w:pPr>
      <w:r w:rsidRPr="00BF72F5">
        <w:rPr>
          <w:rFonts w:ascii="Times New Roman" w:hAnsi="Times New Roman" w:cs="Times New Roman"/>
          <w:b/>
          <w:iCs/>
          <w:color w:val="000000"/>
          <w:sz w:val="23"/>
          <w:szCs w:val="23"/>
        </w:rPr>
        <w:t>Continuous Monitoring/Ongoing Assessment.</w:t>
      </w:r>
      <w:r w:rsidRPr="00BF72F5" w:rsidDel="00196A4D">
        <w:rPr>
          <w:rFonts w:ascii="Times New Roman" w:hAnsi="Times New Roman" w:cs="Times New Roman"/>
          <w:iCs/>
          <w:color w:val="000000"/>
          <w:sz w:val="23"/>
          <w:szCs w:val="23"/>
        </w:rPr>
        <w:t xml:space="preserve"> </w:t>
      </w:r>
      <w:r w:rsidRPr="00BF72F5">
        <w:rPr>
          <w:rFonts w:ascii="Times New Roman" w:hAnsi="Times New Roman" w:cs="Times New Roman"/>
          <w:iCs/>
          <w:color w:val="000000"/>
          <w:sz w:val="23"/>
          <w:szCs w:val="23"/>
        </w:rPr>
        <w:t xml:space="preserve"> </w:t>
      </w:r>
      <w:r w:rsidRPr="00731C92">
        <w:rPr>
          <w:rFonts w:ascii="Times New Roman" w:hAnsi="Times New Roman" w:cs="Times New Roman"/>
          <w:iCs/>
          <w:color w:val="000000"/>
          <w:sz w:val="23"/>
          <w:szCs w:val="23"/>
        </w:rPr>
        <w:t xml:space="preserve">After an initial authorization, the </w:t>
      </w:r>
      <w:r>
        <w:rPr>
          <w:rFonts w:ascii="Times New Roman" w:eastAsia="Times New Roman" w:hAnsi="Times New Roman" w:cs="Times New Roman"/>
          <w:color w:val="000000"/>
          <w:sz w:val="23"/>
          <w:szCs w:val="23"/>
        </w:rPr>
        <w:t>Contractor</w:t>
      </w:r>
      <w:r w:rsidRPr="00731C92">
        <w:rPr>
          <w:rFonts w:ascii="Times New Roman" w:hAnsi="Times New Roman" w:cs="Times New Roman"/>
          <w:iCs/>
          <w:color w:val="000000"/>
          <w:sz w:val="23"/>
          <w:szCs w:val="23"/>
        </w:rPr>
        <w:t xml:space="preserve"> shall have the security and privacy controls </w:t>
      </w:r>
      <w:r>
        <w:rPr>
          <w:rFonts w:ascii="Times New Roman" w:hAnsi="Times New Roman" w:cs="Times New Roman"/>
          <w:iCs/>
          <w:color w:val="000000"/>
          <w:sz w:val="23"/>
          <w:szCs w:val="23"/>
        </w:rPr>
        <w:t xml:space="preserve">assessed </w:t>
      </w:r>
      <w:r w:rsidRPr="00731C92">
        <w:rPr>
          <w:rFonts w:ascii="Times New Roman" w:hAnsi="Times New Roman" w:cs="Times New Roman"/>
          <w:iCs/>
          <w:color w:val="000000"/>
          <w:sz w:val="23"/>
          <w:szCs w:val="23"/>
        </w:rPr>
        <w:t>on an ongoing basis in accordance with NIST SP 800-37</w:t>
      </w:r>
      <w:r>
        <w:rPr>
          <w:rFonts w:ascii="Times New Roman" w:hAnsi="Times New Roman" w:cs="Times New Roman"/>
          <w:iCs/>
          <w:color w:val="000000"/>
          <w:sz w:val="23"/>
          <w:szCs w:val="23"/>
        </w:rPr>
        <w:t xml:space="preserve"> and based on the FDIC Control Assessment Frequency</w:t>
      </w:r>
      <w:r w:rsidRPr="00731C92">
        <w:rPr>
          <w:rFonts w:ascii="Times New Roman" w:hAnsi="Times New Roman" w:cs="Times New Roman"/>
          <w:iCs/>
          <w:color w:val="000000"/>
          <w:sz w:val="23"/>
          <w:szCs w:val="23"/>
        </w:rPr>
        <w:t xml:space="preserve">. Ongoing assessment of </w:t>
      </w:r>
      <w:proofErr w:type="gramStart"/>
      <w:r w:rsidRPr="00731C92">
        <w:rPr>
          <w:rFonts w:ascii="Times New Roman" w:hAnsi="Times New Roman" w:cs="Times New Roman"/>
          <w:iCs/>
          <w:color w:val="000000"/>
          <w:sz w:val="23"/>
          <w:szCs w:val="23"/>
        </w:rPr>
        <w:t>the control</w:t>
      </w:r>
      <w:proofErr w:type="gramEnd"/>
      <w:r w:rsidRPr="00731C92">
        <w:rPr>
          <w:rFonts w:ascii="Times New Roman" w:hAnsi="Times New Roman" w:cs="Times New Roman"/>
          <w:iCs/>
          <w:color w:val="000000"/>
          <w:sz w:val="23"/>
          <w:szCs w:val="23"/>
        </w:rPr>
        <w:t xml:space="preserve"> effectiveness is part of the continuous monitoring activities of the FDIC. Adherence to the terms and conditions specified by the </w:t>
      </w:r>
      <w:r>
        <w:rPr>
          <w:rFonts w:ascii="Times New Roman" w:hAnsi="Times New Roman" w:cs="Times New Roman"/>
          <w:iCs/>
          <w:color w:val="000000"/>
          <w:sz w:val="23"/>
          <w:szCs w:val="23"/>
        </w:rPr>
        <w:t>AO</w:t>
      </w:r>
      <w:r w:rsidRPr="00731C92">
        <w:rPr>
          <w:rFonts w:ascii="Times New Roman" w:hAnsi="Times New Roman" w:cs="Times New Roman"/>
          <w:iCs/>
          <w:color w:val="000000"/>
          <w:sz w:val="23"/>
          <w:szCs w:val="23"/>
        </w:rPr>
        <w:t xml:space="preserve"> as part of the authorization decision are also monitored. Ongoing control assessment continues as the information generated as part of continuous monitoring is correlated, analyzed, and reported to the Oversight Manager for acceptance by the FDIC AO.</w:t>
      </w:r>
      <w:r w:rsidRPr="00BF72F5">
        <w:rPr>
          <w:rFonts w:ascii="Times New Roman" w:hAnsi="Times New Roman" w:cs="Times New Roman"/>
          <w:sz w:val="23"/>
          <w:szCs w:val="23"/>
        </w:rPr>
        <w:t xml:space="preserve"> The system needs </w:t>
      </w:r>
      <w:r>
        <w:rPr>
          <w:rFonts w:ascii="Times New Roman" w:hAnsi="Times New Roman" w:cs="Times New Roman"/>
          <w:sz w:val="23"/>
          <w:szCs w:val="23"/>
        </w:rPr>
        <w:t xml:space="preserve">to </w:t>
      </w:r>
      <w:r w:rsidRPr="00BF72F5">
        <w:rPr>
          <w:rFonts w:ascii="Times New Roman" w:hAnsi="Times New Roman" w:cs="Times New Roman"/>
          <w:sz w:val="23"/>
          <w:szCs w:val="23"/>
        </w:rPr>
        <w:t xml:space="preserve">undergo a Security Impact Assessment (SIA) whenever any changes/modifications are made to the system. Should the independent assessment find deficiencies, the </w:t>
      </w:r>
      <w:r>
        <w:rPr>
          <w:rFonts w:ascii="Times New Roman" w:eastAsia="Times New Roman" w:hAnsi="Times New Roman" w:cs="Times New Roman"/>
          <w:color w:val="000000"/>
          <w:sz w:val="23"/>
          <w:szCs w:val="23"/>
        </w:rPr>
        <w:t>Contractor</w:t>
      </w:r>
      <w:r w:rsidRPr="00BF72F5">
        <w:rPr>
          <w:rFonts w:ascii="Times New Roman" w:hAnsi="Times New Roman" w:cs="Times New Roman"/>
          <w:sz w:val="23"/>
          <w:szCs w:val="23"/>
        </w:rPr>
        <w:t xml:space="preserve"> must </w:t>
      </w:r>
      <w:r>
        <w:rPr>
          <w:rFonts w:ascii="Times New Roman" w:hAnsi="Times New Roman" w:cs="Times New Roman"/>
          <w:sz w:val="23"/>
          <w:szCs w:val="23"/>
        </w:rPr>
        <w:t>follow the direction of the</w:t>
      </w:r>
      <w:r w:rsidRPr="00BF72F5">
        <w:rPr>
          <w:rFonts w:ascii="Times New Roman" w:hAnsi="Times New Roman" w:cs="Times New Roman"/>
          <w:sz w:val="23"/>
          <w:szCs w:val="23"/>
        </w:rPr>
        <w:t xml:space="preserve"> FDIC to create and track Plans of Action &amp; Milestones (POA&amp;Ms) </w:t>
      </w:r>
      <w:r>
        <w:rPr>
          <w:rFonts w:ascii="Times New Roman" w:hAnsi="Times New Roman" w:cs="Times New Roman"/>
          <w:sz w:val="23"/>
          <w:szCs w:val="23"/>
        </w:rPr>
        <w:t>to be included in the final authorization package</w:t>
      </w:r>
      <w:r w:rsidRPr="00BF72F5">
        <w:rPr>
          <w:rFonts w:ascii="Times New Roman" w:hAnsi="Times New Roman" w:cs="Times New Roman"/>
          <w:sz w:val="23"/>
          <w:szCs w:val="23"/>
        </w:rPr>
        <w:t>.</w:t>
      </w:r>
      <w:r w:rsidRPr="009E5404">
        <w:rPr>
          <w:rFonts w:ascii="Times New Roman" w:hAnsi="Times New Roman" w:cs="Times New Roman"/>
          <w:sz w:val="23"/>
          <w:szCs w:val="23"/>
        </w:rPr>
        <w:t xml:space="preserve"> </w:t>
      </w:r>
      <w:r w:rsidRPr="009E6738">
        <w:rPr>
          <w:rFonts w:ascii="Times New Roman" w:hAnsi="Times New Roman" w:cs="Times New Roman"/>
          <w:sz w:val="23"/>
          <w:szCs w:val="23"/>
        </w:rPr>
        <w:t xml:space="preserve">FDIC has the unilateral right to determine if the results and mitigation strategy are acceptable. In the case of unacceptable results or mitigation strategy, </w:t>
      </w:r>
      <w:r>
        <w:rPr>
          <w:rFonts w:ascii="Times New Roman" w:hAnsi="Times New Roman" w:cs="Times New Roman"/>
          <w:sz w:val="23"/>
          <w:szCs w:val="23"/>
        </w:rPr>
        <w:t xml:space="preserve">or if the </w:t>
      </w:r>
      <w:r>
        <w:rPr>
          <w:rFonts w:ascii="Times New Roman" w:eastAsia="Times New Roman" w:hAnsi="Times New Roman" w:cs="Times New Roman"/>
          <w:color w:val="000000"/>
          <w:sz w:val="23"/>
          <w:szCs w:val="23"/>
        </w:rPr>
        <w:t>Contractor</w:t>
      </w:r>
      <w:r>
        <w:rPr>
          <w:rFonts w:ascii="Times New Roman" w:hAnsi="Times New Roman" w:cs="Times New Roman"/>
          <w:sz w:val="23"/>
          <w:szCs w:val="23"/>
        </w:rPr>
        <w:t xml:space="preserve"> does not remediate control weaknesses in a timely manner as established in POA&amp;Ms, </w:t>
      </w:r>
      <w:r w:rsidRPr="009E6738">
        <w:rPr>
          <w:rFonts w:ascii="Times New Roman" w:hAnsi="Times New Roman" w:cs="Times New Roman"/>
          <w:sz w:val="23"/>
          <w:szCs w:val="23"/>
        </w:rPr>
        <w:t>FDIC may treat the failure as an event of default.</w:t>
      </w:r>
      <w:r>
        <w:rPr>
          <w:rFonts w:ascii="Times New Roman" w:hAnsi="Times New Roman" w:cs="Times New Roman"/>
          <w:sz w:val="23"/>
          <w:szCs w:val="23"/>
        </w:rPr>
        <w:t xml:space="preserve">     </w:t>
      </w:r>
    </w:p>
    <w:p w14:paraId="72A3D3EC" w14:textId="77777777" w:rsidR="001366A5" w:rsidRDefault="001366A5"/>
    <w:sectPr w:rsidR="001366A5">
      <w:headerReference w:type="even" r:id="rId11"/>
      <w:headerReference w:type="default" r:id="rId12"/>
      <w:footerReference w:type="default" r:id="rId13"/>
      <w:head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B940D" w14:textId="77777777" w:rsidR="00106BBF" w:rsidRDefault="00106BBF" w:rsidP="00106BBF">
      <w:pPr>
        <w:spacing w:after="0" w:line="240" w:lineRule="auto"/>
      </w:pPr>
      <w:r>
        <w:separator/>
      </w:r>
    </w:p>
  </w:endnote>
  <w:endnote w:type="continuationSeparator" w:id="0">
    <w:p w14:paraId="0E27B00A" w14:textId="77777777" w:rsidR="00106BBF" w:rsidRDefault="00106BBF" w:rsidP="00106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Semibold">
    <w:panose1 w:val="020B0603030403020204"/>
    <w:charset w:val="00"/>
    <w:family w:val="swiss"/>
    <w:notTrueType/>
    <w:pitch w:val="variable"/>
    <w:sig w:usb0="600002F7" w:usb1="02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088CC09" w14:paraId="26574945" w14:textId="77777777" w:rsidTr="5088CC09">
      <w:trPr>
        <w:trHeight w:val="300"/>
      </w:trPr>
      <w:tc>
        <w:tcPr>
          <w:tcW w:w="3120" w:type="dxa"/>
        </w:tcPr>
        <w:p w14:paraId="7326FFBA" w14:textId="7963E959" w:rsidR="5088CC09" w:rsidRDefault="5088CC09" w:rsidP="5088CC09">
          <w:pPr>
            <w:pStyle w:val="Header"/>
            <w:ind w:left="-115"/>
          </w:pPr>
        </w:p>
      </w:tc>
      <w:tc>
        <w:tcPr>
          <w:tcW w:w="3120" w:type="dxa"/>
        </w:tcPr>
        <w:p w14:paraId="5F19BC54" w14:textId="312D6FF2" w:rsidR="5088CC09" w:rsidRDefault="5088CC09" w:rsidP="5088CC09">
          <w:pPr>
            <w:pStyle w:val="Header"/>
            <w:jc w:val="center"/>
          </w:pPr>
        </w:p>
      </w:tc>
      <w:tc>
        <w:tcPr>
          <w:tcW w:w="3120" w:type="dxa"/>
        </w:tcPr>
        <w:p w14:paraId="3D401246" w14:textId="15B71EB8" w:rsidR="5088CC09" w:rsidRDefault="5088CC09" w:rsidP="5088CC09">
          <w:pPr>
            <w:pStyle w:val="Header"/>
            <w:ind w:right="-115"/>
            <w:jc w:val="right"/>
          </w:pPr>
        </w:p>
      </w:tc>
    </w:tr>
  </w:tbl>
  <w:p w14:paraId="2C4DD6A1" w14:textId="150227BA" w:rsidR="5088CC09" w:rsidRDefault="5088CC09" w:rsidP="5088CC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61E4C" w14:textId="77777777" w:rsidR="00106BBF" w:rsidRDefault="00106BBF" w:rsidP="00106BBF">
      <w:pPr>
        <w:spacing w:after="0" w:line="240" w:lineRule="auto"/>
      </w:pPr>
      <w:r>
        <w:separator/>
      </w:r>
    </w:p>
  </w:footnote>
  <w:footnote w:type="continuationSeparator" w:id="0">
    <w:p w14:paraId="44EAFD9C" w14:textId="77777777" w:rsidR="00106BBF" w:rsidRDefault="00106BBF" w:rsidP="00106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3F98C" w14:textId="6AFFEAAB" w:rsidR="001366A5" w:rsidRDefault="00AA5D00">
    <w:pPr>
      <w:pStyle w:val="Header"/>
    </w:pPr>
    <w:r>
      <w:rPr>
        <w:noProof/>
      </w:rPr>
      <mc:AlternateContent>
        <mc:Choice Requires="wps">
          <w:drawing>
            <wp:anchor distT="0" distB="0" distL="0" distR="0" simplePos="0" relativeHeight="251658241" behindDoc="0" locked="0" layoutInCell="1" allowOverlap="1" wp14:anchorId="76DA96C8" wp14:editId="50D364BA">
              <wp:simplePos x="635" y="635"/>
              <wp:positionH relativeFrom="page">
                <wp:align>center</wp:align>
              </wp:positionH>
              <wp:positionV relativeFrom="page">
                <wp:align>top</wp:align>
              </wp:positionV>
              <wp:extent cx="2333625" cy="400050"/>
              <wp:effectExtent l="0" t="0" r="9525" b="0"/>
              <wp:wrapNone/>
              <wp:docPr id="400960593" name="Text Box 2" descr="NONPUBLIC//FDIC INTERNAL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333625" cy="400050"/>
                      </a:xfrm>
                      <a:prstGeom prst="rect">
                        <a:avLst/>
                      </a:prstGeom>
                      <a:noFill/>
                      <a:ln>
                        <a:noFill/>
                      </a:ln>
                    </wps:spPr>
                    <wps:txbx>
                      <w:txbxContent>
                        <w:p w14:paraId="75E973D3" w14:textId="180D49C2" w:rsidR="00AA5D00" w:rsidRPr="00AA5D00" w:rsidRDefault="00AA5D00" w:rsidP="00AA5D00">
                          <w:pPr>
                            <w:spacing w:after="0"/>
                            <w:rPr>
                              <w:rFonts w:ascii="Source Sans Pro Semibold" w:eastAsia="Source Sans Pro Semibold" w:hAnsi="Source Sans Pro Semibold" w:cs="Source Sans Pro Semibold"/>
                              <w:noProof/>
                              <w:color w:val="000000"/>
                              <w:sz w:val="24"/>
                              <w:szCs w:val="24"/>
                            </w:rPr>
                          </w:pPr>
                          <w:r w:rsidRPr="00AA5D00">
                            <w:rPr>
                              <w:rFonts w:ascii="Source Sans Pro Semibold" w:eastAsia="Source Sans Pro Semibold" w:hAnsi="Source Sans Pro Semibold" w:cs="Source Sans Pro Semibold"/>
                              <w:noProof/>
                              <w:color w:val="000000"/>
                              <w:sz w:val="24"/>
                              <w:szCs w:val="24"/>
                            </w:rPr>
                            <w:t>NONPUBLIC//FDIC INTERNAL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6DA96C8" id="_x0000_t202" coordsize="21600,21600" o:spt="202" path="m,l,21600r21600,l21600,xe">
              <v:stroke joinstyle="miter"/>
              <v:path gradientshapeok="t" o:connecttype="rect"/>
            </v:shapetype>
            <v:shape id="Text Box 2" o:spid="_x0000_s1026" type="#_x0000_t202" alt="NONPUBLIC//FDIC INTERNAL ONLY" style="position:absolute;margin-left:0;margin-top:0;width:183.75pt;height:31.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" filled="f" stroked="f">
              <v:textbox style="mso-fit-shape-to-text:t" inset="0,15pt,0,0">
                <w:txbxContent>
                  <w:p w14:paraId="75E973D3" w14:textId="180D49C2" w:rsidR="00AA5D00" w:rsidRPr="00AA5D00" w:rsidRDefault="00AA5D00" w:rsidP="00AA5D00">
                    <w:pPr>
                      <w:spacing w:after="0"/>
                      <w:rPr>
                        <w:rFonts w:ascii="Source Sans Pro Semibold" w:eastAsia="Source Sans Pro Semibold" w:hAnsi="Source Sans Pro Semibold" w:cs="Source Sans Pro Semibold"/>
                        <w:noProof/>
                        <w:color w:val="000000"/>
                        <w:sz w:val="24"/>
                        <w:szCs w:val="24"/>
                      </w:rPr>
                    </w:pPr>
                    <w:r w:rsidRPr="00AA5D00">
                      <w:rPr>
                        <w:rFonts w:ascii="Source Sans Pro Semibold" w:eastAsia="Source Sans Pro Semibold" w:hAnsi="Source Sans Pro Semibold" w:cs="Source Sans Pro Semibold"/>
                        <w:noProof/>
                        <w:color w:val="000000"/>
                        <w:sz w:val="24"/>
                        <w:szCs w:val="24"/>
                      </w:rPr>
                      <w:t>NONPUBLIC//FDIC INTERNAL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58D53" w14:textId="28BAD4D8" w:rsidR="001366A5" w:rsidRDefault="00AA5D00">
    <w:pPr>
      <w:pStyle w:val="Header"/>
    </w:pPr>
    <w:r>
      <w:rPr>
        <w:noProof/>
      </w:rPr>
      <mc:AlternateContent>
        <mc:Choice Requires="wps">
          <w:drawing>
            <wp:anchor distT="0" distB="0" distL="0" distR="0" simplePos="0" relativeHeight="251658242" behindDoc="0" locked="0" layoutInCell="1" allowOverlap="1" wp14:anchorId="2284181F" wp14:editId="1A76FCF9">
              <wp:simplePos x="635" y="635"/>
              <wp:positionH relativeFrom="page">
                <wp:align>center</wp:align>
              </wp:positionH>
              <wp:positionV relativeFrom="page">
                <wp:align>top</wp:align>
              </wp:positionV>
              <wp:extent cx="2333625" cy="400050"/>
              <wp:effectExtent l="0" t="0" r="9525" b="0"/>
              <wp:wrapNone/>
              <wp:docPr id="453476907" name="Text Box 3" descr="NONPUBLIC//FDIC INTERNAL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333625" cy="400050"/>
                      </a:xfrm>
                      <a:prstGeom prst="rect">
                        <a:avLst/>
                      </a:prstGeom>
                      <a:noFill/>
                      <a:ln>
                        <a:noFill/>
                      </a:ln>
                    </wps:spPr>
                    <wps:txbx>
                      <w:txbxContent>
                        <w:p w14:paraId="0B4570B7" w14:textId="22CE494F" w:rsidR="00AA5D00" w:rsidRPr="00AA5D00" w:rsidRDefault="00AA5D00" w:rsidP="00AA5D00">
                          <w:pPr>
                            <w:spacing w:after="0"/>
                            <w:rPr>
                              <w:rFonts w:ascii="Source Sans Pro Semibold" w:eastAsia="Source Sans Pro Semibold" w:hAnsi="Source Sans Pro Semibold" w:cs="Source Sans Pro Semibold"/>
                              <w:noProof/>
                              <w:color w:val="000000"/>
                              <w:sz w:val="24"/>
                              <w:szCs w:val="24"/>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284181F" id="_x0000_t202" coordsize="21600,21600" o:spt="202" path="m,l,21600r21600,l21600,xe">
              <v:stroke joinstyle="miter"/>
              <v:path gradientshapeok="t" o:connecttype="rect"/>
            </v:shapetype>
            <v:shape id="Text Box 3" o:spid="_x0000_s1027" type="#_x0000_t202" alt="NONPUBLIC//FDIC INTERNAL ONLY" style="position:absolute;margin-left:0;margin-top:0;width:183.75pt;height:31.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" filled="f" stroked="f">
              <v:textbox style="mso-fit-shape-to-text:t" inset="0,15pt,0,0">
                <w:txbxContent>
                  <w:p w14:paraId="0B4570B7" w14:textId="22CE494F" w:rsidR="00AA5D00" w:rsidRPr="00AA5D00" w:rsidRDefault="00AA5D00" w:rsidP="00AA5D00">
                    <w:pPr>
                      <w:spacing w:after="0"/>
                      <w:rPr>
                        <w:rFonts w:ascii="Source Sans Pro Semibold" w:eastAsia="Source Sans Pro Semibold" w:hAnsi="Source Sans Pro Semibold" w:cs="Source Sans Pro Semibold"/>
                        <w:noProof/>
                        <w:color w:val="000000"/>
                        <w:sz w:val="24"/>
                        <w:szCs w:val="24"/>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5257E" w14:textId="039A52A1" w:rsidR="001366A5" w:rsidRDefault="00AA5D00">
    <w:pPr>
      <w:pStyle w:val="Header"/>
    </w:pPr>
    <w:r>
      <w:rPr>
        <w:noProof/>
      </w:rPr>
      <mc:AlternateContent>
        <mc:Choice Requires="wps">
          <w:drawing>
            <wp:anchor distT="0" distB="0" distL="0" distR="0" simplePos="0" relativeHeight="251658240" behindDoc="0" locked="0" layoutInCell="1" allowOverlap="1" wp14:anchorId="52609113" wp14:editId="2F12F2E2">
              <wp:simplePos x="635" y="635"/>
              <wp:positionH relativeFrom="page">
                <wp:align>center</wp:align>
              </wp:positionH>
              <wp:positionV relativeFrom="page">
                <wp:align>top</wp:align>
              </wp:positionV>
              <wp:extent cx="2333625" cy="400050"/>
              <wp:effectExtent l="0" t="0" r="9525" b="0"/>
              <wp:wrapNone/>
              <wp:docPr id="1477981643" name="Text Box 1" descr="NONPUBLIC//FDIC INTERNAL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333625" cy="400050"/>
                      </a:xfrm>
                      <a:prstGeom prst="rect">
                        <a:avLst/>
                      </a:prstGeom>
                      <a:noFill/>
                      <a:ln>
                        <a:noFill/>
                      </a:ln>
                    </wps:spPr>
                    <wps:txbx>
                      <w:txbxContent>
                        <w:p w14:paraId="6F49C99C" w14:textId="7CC8668C" w:rsidR="00AA5D00" w:rsidRPr="00AA5D00" w:rsidRDefault="00AA5D00" w:rsidP="00AA5D00">
                          <w:pPr>
                            <w:spacing w:after="0"/>
                            <w:rPr>
                              <w:rFonts w:ascii="Source Sans Pro Semibold" w:eastAsia="Source Sans Pro Semibold" w:hAnsi="Source Sans Pro Semibold" w:cs="Source Sans Pro Semibold"/>
                              <w:noProof/>
                              <w:color w:val="000000"/>
                              <w:sz w:val="24"/>
                              <w:szCs w:val="24"/>
                            </w:rPr>
                          </w:pPr>
                          <w:r w:rsidRPr="00AA5D00">
                            <w:rPr>
                              <w:rFonts w:ascii="Source Sans Pro Semibold" w:eastAsia="Source Sans Pro Semibold" w:hAnsi="Source Sans Pro Semibold" w:cs="Source Sans Pro Semibold"/>
                              <w:noProof/>
                              <w:color w:val="000000"/>
                              <w:sz w:val="24"/>
                              <w:szCs w:val="24"/>
                            </w:rPr>
                            <w:t>NONPUBLIC//FDIC INTERNAL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2609113" id="_x0000_t202" coordsize="21600,21600" o:spt="202" path="m,l,21600r21600,l21600,xe">
              <v:stroke joinstyle="miter"/>
              <v:path gradientshapeok="t" o:connecttype="rect"/>
            </v:shapetype>
            <v:shape id="Text Box 1" o:spid="_x0000_s1028" type="#_x0000_t202" alt="NONPUBLIC//FDIC INTERNAL ONLY" style="position:absolute;margin-left:0;margin-top:0;width:183.75pt;height:3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" filled="f" stroked="f">
              <v:textbox style="mso-fit-shape-to-text:t" inset="0,15pt,0,0">
                <w:txbxContent>
                  <w:p w14:paraId="6F49C99C" w14:textId="7CC8668C" w:rsidR="00AA5D00" w:rsidRPr="00AA5D00" w:rsidRDefault="00AA5D00" w:rsidP="00AA5D00">
                    <w:pPr>
                      <w:spacing w:after="0"/>
                      <w:rPr>
                        <w:rFonts w:ascii="Source Sans Pro Semibold" w:eastAsia="Source Sans Pro Semibold" w:hAnsi="Source Sans Pro Semibold" w:cs="Source Sans Pro Semibold"/>
                        <w:noProof/>
                        <w:color w:val="000000"/>
                        <w:sz w:val="24"/>
                        <w:szCs w:val="24"/>
                      </w:rPr>
                    </w:pPr>
                    <w:r w:rsidRPr="00AA5D00">
                      <w:rPr>
                        <w:rFonts w:ascii="Source Sans Pro Semibold" w:eastAsia="Source Sans Pro Semibold" w:hAnsi="Source Sans Pro Semibold" w:cs="Source Sans Pro Semibold"/>
                        <w:noProof/>
                        <w:color w:val="000000"/>
                        <w:sz w:val="24"/>
                        <w:szCs w:val="24"/>
                      </w:rPr>
                      <w:t>NONPUBLIC//FDIC INTERNAL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B2E0A"/>
    <w:multiLevelType w:val="hybridMultilevel"/>
    <w:tmpl w:val="EA4272EC"/>
    <w:lvl w:ilvl="0" w:tplc="04090011">
      <w:start w:val="1"/>
      <w:numFmt w:val="decimal"/>
      <w:lvlText w:val="%1)"/>
      <w:lvlJc w:val="left"/>
      <w:pPr>
        <w:ind w:left="775" w:hanging="360"/>
      </w:pPr>
    </w:lvl>
    <w:lvl w:ilvl="1" w:tplc="04090019">
      <w:start w:val="1"/>
      <w:numFmt w:val="lowerLetter"/>
      <w:lvlText w:val="%2."/>
      <w:lvlJc w:val="left"/>
      <w:pPr>
        <w:ind w:left="1495" w:hanging="360"/>
      </w:pPr>
    </w:lvl>
    <w:lvl w:ilvl="2" w:tplc="0409001B">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num w:numId="1" w16cid:durableId="1848128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BBF"/>
    <w:rsid w:val="00106BBF"/>
    <w:rsid w:val="001366A5"/>
    <w:rsid w:val="0033526E"/>
    <w:rsid w:val="005F14B1"/>
    <w:rsid w:val="00616F72"/>
    <w:rsid w:val="00632969"/>
    <w:rsid w:val="007A7C4B"/>
    <w:rsid w:val="00994163"/>
    <w:rsid w:val="009954EA"/>
    <w:rsid w:val="00AA5D00"/>
    <w:rsid w:val="00C3750D"/>
    <w:rsid w:val="00DF48C4"/>
    <w:rsid w:val="00EA3E7F"/>
    <w:rsid w:val="23D41479"/>
    <w:rsid w:val="4A13AEAF"/>
    <w:rsid w:val="5088CC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2A0FA"/>
  <w15:chartTrackingRefBased/>
  <w15:docId w15:val="{884D669A-E058-4A46-8355-60158CC3D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BBF"/>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06BBF"/>
    <w:rPr>
      <w:color w:val="0000FF"/>
      <w:u w:val="single"/>
    </w:rPr>
  </w:style>
  <w:style w:type="table" w:styleId="TableGrid">
    <w:name w:val="Table Grid"/>
    <w:basedOn w:val="TableNormal"/>
    <w:uiPriority w:val="39"/>
    <w:rsid w:val="00106B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66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66A5"/>
  </w:style>
  <w:style w:type="paragraph" w:styleId="Footer">
    <w:name w:val="footer"/>
    <w:basedOn w:val="Normal"/>
    <w:uiPriority w:val="99"/>
    <w:unhideWhenUsed/>
    <w:rsid w:val="5088CC09"/>
    <w:pPr>
      <w:tabs>
        <w:tab w:val="center" w:pos="4680"/>
        <w:tab w:val="right" w:pos="9360"/>
      </w:tabs>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www.fdic.gov/privac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BB84A611769849AF2F9E45C85D1E37" ma:contentTypeVersion="18" ma:contentTypeDescription="Create a new document." ma:contentTypeScope="" ma:versionID="3a1c755b92219354eac9b01b554e62b8">
  <xsd:schema xmlns:xsd="http://www.w3.org/2001/XMLSchema" xmlns:xs="http://www.w3.org/2001/XMLSchema" xmlns:p="http://schemas.microsoft.com/office/2006/metadata/properties" xmlns:ns1="http://schemas.microsoft.com/sharepoint/v3" xmlns:ns2="d1ed55f6-4e7d-4e0d-bba6-49342718d56b" xmlns:ns3="1b3ad9dc-33b8-4fe3-950a-a2791c071e71" targetNamespace="http://schemas.microsoft.com/office/2006/metadata/properties" ma:root="true" ma:fieldsID="4a727a9d46d1368594e55f363ea2bc6b" ns1:_="" ns2:_="" ns3:_="">
    <xsd:import namespace="http://schemas.microsoft.com/sharepoint/v3"/>
    <xsd:import namespace="d1ed55f6-4e7d-4e0d-bba6-49342718d56b"/>
    <xsd:import namespace="1b3ad9dc-33b8-4fe3-950a-a2791c071e7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OCR" minOccurs="0"/>
                <xsd:element ref="ns2:MediaServiceObjectDetectorVersions" minOccurs="0"/>
                <xsd:element ref="ns2:MediaLengthInSeconds" minOccurs="0"/>
                <xsd:element ref="ns2:MediaServiceSearchProperties" minOccurs="0"/>
                <xsd:element ref="ns1:_ip_UnifiedCompliancePolicyProperties" minOccurs="0"/>
                <xsd:element ref="ns1:_ip_UnifiedCompliancePolicyUIAction" minOccurs="0"/>
                <xsd:element ref="ns2:Summa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ed55f6-4e7d-4e0d-bba6-49342718d5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58a1203-ac53-45d5-a518-17ee4e78f8d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Summary" ma:index="25" nillable="true" ma:displayName="Summary" ma:description="Brief description of the file" ma:format="Dropdown" ma:internalName="Summary">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b3ad9dc-33b8-4fe3-950a-a2791c071e7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e37c2059-2e87-4fbe-8785-be0dfe964c07}" ma:internalName="TaxCatchAll" ma:showField="CatchAllData" ma:web="1b3ad9dc-33b8-4fe3-950a-a2791c071e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b3ad9dc-33b8-4fe3-950a-a2791c071e71" xsi:nil="true"/>
    <lcf76f155ced4ddcb4097134ff3c332f xmlns="d1ed55f6-4e7d-4e0d-bba6-49342718d56b">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Summary xmlns="d1ed55f6-4e7d-4e0d-bba6-49342718d56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C4EB8B-8D18-468A-9C3A-F0AD287B7E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1ed55f6-4e7d-4e0d-bba6-49342718d56b"/>
    <ds:schemaRef ds:uri="1b3ad9dc-33b8-4fe3-950a-a2791c071e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6AA787-6DB5-484F-B09B-875FFDE607AD}">
  <ds:schemaRefs>
    <ds:schemaRef ds:uri="http://schemas.microsoft.com/office/2006/documentManagement/types"/>
    <ds:schemaRef ds:uri="http://schemas.microsoft.com/office/2006/metadata/properties"/>
    <ds:schemaRef ds:uri="http://purl.org/dc/terms/"/>
    <ds:schemaRef ds:uri="1b3ad9dc-33b8-4fe3-950a-a2791c071e71"/>
    <ds:schemaRef ds:uri="http://www.w3.org/XML/1998/namespace"/>
    <ds:schemaRef ds:uri="http://purl.org/dc/elements/1.1/"/>
    <ds:schemaRef ds:uri="http://schemas.openxmlformats.org/package/2006/metadata/core-properties"/>
    <ds:schemaRef ds:uri="http://schemas.microsoft.com/office/infopath/2007/PartnerControls"/>
    <ds:schemaRef ds:uri="d1ed55f6-4e7d-4e0d-bba6-49342718d56b"/>
    <ds:schemaRef ds:uri="http://schemas.microsoft.com/sharepoint/v3"/>
    <ds:schemaRef ds:uri="http://purl.org/dc/dcmitype/"/>
  </ds:schemaRefs>
</ds:datastoreItem>
</file>

<file path=customXml/itemProps3.xml><?xml version="1.0" encoding="utf-8"?>
<ds:datastoreItem xmlns:ds="http://schemas.openxmlformats.org/officeDocument/2006/customXml" ds:itemID="{00C1EC13-DA2E-42C3-BFB3-EBBEAC342976}">
  <ds:schemaRefs>
    <ds:schemaRef ds:uri="http://schemas.microsoft.com/sharepoint/v3/contenttype/forms"/>
  </ds:schemaRefs>
</ds:datastoreItem>
</file>

<file path=docMetadata/LabelInfo.xml><?xml version="1.0" encoding="utf-8"?>
<clbl:labelList xmlns:clbl="http://schemas.microsoft.com/office/2020/mipLabelMetadata">
  <clbl:label id="{e03712f0-ae86-44bd-82ca-deb0d0369377}" enabled="1" method="Privileged" siteId="{26c83bc9-31c1-4d77-a523-0816095aba31}"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979</Words>
  <Characters>4997</Characters>
  <Application>Microsoft Office Word</Application>
  <DocSecurity>0</DocSecurity>
  <Lines>172</Lines>
  <Paragraphs>142</Paragraphs>
  <ScaleCrop>false</ScaleCrop>
  <Company>FDIC</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Rogers, Christopher</dc:creator>
  <cp:keywords/>
  <dc:description/>
  <cp:lastModifiedBy>Sharpe, Joseph L.</cp:lastModifiedBy>
  <cp:revision>3</cp:revision>
  <dcterms:created xsi:type="dcterms:W3CDTF">2026-03-06T14:12:00Z</dcterms:created>
  <dcterms:modified xsi:type="dcterms:W3CDTF">2026-03-06T14:13:00Z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0x01010015BB84A611769849AF2F9E45C85D1E37</vt:lpwstr>
  </property>
  <property fmtid="{D5CDD505-2E9C-101B-9397-08002B2CF9AE}" pid="3" name="MediaServiceImageTags">
    <vt:lpwstr/>
  </property>
  <property fmtid="{D5CDD505-2E9C-101B-9397-08002B2CF9AE}" pid="4" name="ClassificationContentMarkingHeaderShapeIds">
    <vt:lpwstr>581835cb,17e62c51,1b07822b</vt:lpwstr>
  </property>
  <property fmtid="{D5CDD505-2E9C-101B-9397-08002B2CF9AE}" pid="5" name="ClassificationContentMarkingHeaderFontProps">
    <vt:lpwstr>#000000,12,Source Sans Pro SemiBold</vt:lpwstr>
  </property>
  <property fmtid="{D5CDD505-2E9C-101B-9397-08002B2CF9AE}" pid="6" name="ClassificationContentMarkingHeaderText">
    <vt:lpwstr>NONPUBLIC//FDIC INTERNAL ONLY</vt:lpwstr>
  </property>
</Properties>
</file>