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D9440" w14:textId="77777777" w:rsidR="00B44E2A" w:rsidRPr="00B44E2A" w:rsidRDefault="00B44E2A" w:rsidP="00B44E2A">
      <w:pPr>
        <w:rPr>
          <w:rFonts w:ascii="Calibri" w:hAnsi="Calibri" w:cs="Calibri"/>
          <w:b/>
          <w:bCs/>
          <w:sz w:val="22"/>
          <w:szCs w:val="22"/>
        </w:rPr>
      </w:pPr>
      <w:r w:rsidRPr="00B44E2A">
        <w:rPr>
          <w:rFonts w:ascii="Calibri" w:hAnsi="Calibri" w:cs="Calibri"/>
          <w:b/>
          <w:bCs/>
          <w:sz w:val="22"/>
          <w:szCs w:val="22"/>
        </w:rPr>
        <w:t>RFI Questions Aligned to Draft Performance Work Statement (PWS)</w:t>
      </w:r>
    </w:p>
    <w:p w14:paraId="109D1745" w14:textId="77777777" w:rsidR="00B44E2A" w:rsidRPr="00B44E2A" w:rsidRDefault="00B44E2A" w:rsidP="00B44E2A">
      <w:pPr>
        <w:rPr>
          <w:rFonts w:ascii="Calibri" w:hAnsi="Calibri" w:cs="Calibri"/>
          <w:sz w:val="22"/>
          <w:szCs w:val="22"/>
        </w:rPr>
      </w:pPr>
      <w:r w:rsidRPr="00B44E2A">
        <w:rPr>
          <w:rFonts w:ascii="Calibri" w:hAnsi="Calibri" w:cs="Calibri"/>
          <w:sz w:val="22"/>
          <w:szCs w:val="22"/>
        </w:rPr>
        <w:t>The following RFI questions are aligned to anticipated sections of the FAA/AIT IT Service Desk Performance Work Statement (PWS) to support refinement of requirements, metrics, and pricing constructs.</w:t>
      </w:r>
    </w:p>
    <w:p w14:paraId="7592787F" w14:textId="77777777" w:rsidR="00B44E2A" w:rsidRPr="00B44E2A" w:rsidRDefault="00000000" w:rsidP="00B44E2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7251036">
          <v:rect id="_x0000_i1025" style="width:0;height:1.5pt" o:hralign="center" o:hrstd="t" o:hr="t" fillcolor="#a0a0a0" stroked="f"/>
        </w:pict>
      </w:r>
    </w:p>
    <w:p w14:paraId="0F259674" w14:textId="77777777" w:rsidR="00B44E2A" w:rsidRPr="00B44E2A" w:rsidRDefault="00B44E2A" w:rsidP="00B44E2A">
      <w:pPr>
        <w:rPr>
          <w:rFonts w:ascii="Calibri" w:hAnsi="Calibri" w:cs="Calibri"/>
          <w:b/>
          <w:bCs/>
          <w:sz w:val="22"/>
          <w:szCs w:val="22"/>
        </w:rPr>
      </w:pPr>
      <w:r w:rsidRPr="00B44E2A">
        <w:rPr>
          <w:rFonts w:ascii="Calibri" w:hAnsi="Calibri" w:cs="Calibri"/>
          <w:b/>
          <w:bCs/>
          <w:sz w:val="22"/>
          <w:szCs w:val="22"/>
        </w:rPr>
        <w:t>PWS Section: Scope of Services / Service Desk Operations</w:t>
      </w:r>
    </w:p>
    <w:p w14:paraId="30098C6D" w14:textId="77777777" w:rsidR="00B44E2A" w:rsidRPr="00B44E2A" w:rsidRDefault="00B44E2A" w:rsidP="00B44E2A">
      <w:pPr>
        <w:rPr>
          <w:rFonts w:ascii="Calibri" w:hAnsi="Calibri" w:cs="Calibri"/>
          <w:sz w:val="22"/>
          <w:szCs w:val="22"/>
        </w:rPr>
      </w:pPr>
      <w:r w:rsidRPr="00B44E2A">
        <w:rPr>
          <w:rFonts w:ascii="Calibri" w:hAnsi="Calibri" w:cs="Calibri"/>
          <w:b/>
          <w:bCs/>
          <w:sz w:val="22"/>
          <w:szCs w:val="22"/>
        </w:rPr>
        <w:t>IT Service Desk Surge Support</w:t>
      </w:r>
    </w:p>
    <w:p w14:paraId="795CF27B" w14:textId="77777777" w:rsidR="00B44E2A" w:rsidRPr="00B44E2A" w:rsidRDefault="00B44E2A" w:rsidP="00B44E2A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44E2A">
        <w:rPr>
          <w:rFonts w:ascii="Calibri" w:hAnsi="Calibri" w:cs="Calibri"/>
          <w:sz w:val="22"/>
          <w:szCs w:val="22"/>
        </w:rPr>
        <w:t>Describe how your organization provides IT Service Desk surge support within a ServiceNow ITSM environment in response to unplanned outages, planned maintenance events, and major IT initiatives.</w:t>
      </w:r>
    </w:p>
    <w:p w14:paraId="7DCF646C" w14:textId="77777777" w:rsidR="00B44E2A" w:rsidRPr="00B44E2A" w:rsidRDefault="00B44E2A" w:rsidP="00B44E2A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44E2A">
        <w:rPr>
          <w:rFonts w:ascii="Calibri" w:hAnsi="Calibri" w:cs="Calibri"/>
          <w:sz w:val="22"/>
          <w:szCs w:val="22"/>
        </w:rPr>
        <w:t>Identify surge activation triggers, response timelines, and scalability limits for Tier 1 and Tier 2 support in federal operational environments.</w:t>
      </w:r>
    </w:p>
    <w:p w14:paraId="184C7A4C" w14:textId="77777777" w:rsidR="00B44E2A" w:rsidRPr="00B44E2A" w:rsidRDefault="00B44E2A" w:rsidP="00B44E2A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B44E2A">
        <w:rPr>
          <w:rFonts w:ascii="Calibri" w:hAnsi="Calibri" w:cs="Calibri"/>
          <w:sz w:val="22"/>
          <w:szCs w:val="22"/>
        </w:rPr>
        <w:t>Describe how surge support is integrated with steady-state Service Desk operations to ensure continuity of operations and service quality.</w:t>
      </w:r>
    </w:p>
    <w:p w14:paraId="48FC8136" w14:textId="77777777" w:rsidR="00B44E2A" w:rsidRPr="00B44E2A" w:rsidRDefault="00000000" w:rsidP="00B44E2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3EBADE6">
          <v:rect id="_x0000_i1026" style="width:0;height:1.5pt" o:hralign="center" o:hrstd="t" o:hr="t" fillcolor="#a0a0a0" stroked="f"/>
        </w:pict>
      </w:r>
    </w:p>
    <w:p w14:paraId="19F5D906" w14:textId="77777777" w:rsidR="00B44E2A" w:rsidRPr="00B44E2A" w:rsidRDefault="00B44E2A" w:rsidP="00B44E2A">
      <w:pPr>
        <w:rPr>
          <w:rFonts w:ascii="Calibri" w:hAnsi="Calibri" w:cs="Calibri"/>
          <w:b/>
          <w:bCs/>
          <w:sz w:val="22"/>
          <w:szCs w:val="22"/>
        </w:rPr>
      </w:pPr>
      <w:r w:rsidRPr="00B44E2A">
        <w:rPr>
          <w:rFonts w:ascii="Calibri" w:hAnsi="Calibri" w:cs="Calibri"/>
          <w:b/>
          <w:bCs/>
          <w:sz w:val="22"/>
          <w:szCs w:val="22"/>
        </w:rPr>
        <w:t>PWS Section: Staffing, Workforce Management, and Surge Capacity</w:t>
      </w:r>
    </w:p>
    <w:p w14:paraId="07937DF2" w14:textId="77777777" w:rsidR="00B44E2A" w:rsidRPr="00B44E2A" w:rsidRDefault="00B44E2A" w:rsidP="00B44E2A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44E2A">
        <w:rPr>
          <w:rFonts w:ascii="Calibri" w:hAnsi="Calibri" w:cs="Calibri"/>
          <w:sz w:val="22"/>
          <w:szCs w:val="22"/>
        </w:rPr>
        <w:t>Describe staffing models used to support surge requirements, including pre-positioned resources, on-demand staffing, and cross-trained personnel.</w:t>
      </w:r>
    </w:p>
    <w:p w14:paraId="40535A52" w14:textId="77777777" w:rsidR="00B44E2A" w:rsidRPr="00B44E2A" w:rsidRDefault="00B44E2A" w:rsidP="00B44E2A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44E2A">
        <w:rPr>
          <w:rFonts w:ascii="Calibri" w:hAnsi="Calibri" w:cs="Calibri"/>
          <w:sz w:val="22"/>
          <w:szCs w:val="22"/>
        </w:rPr>
        <w:t>Identify any constraints, assumptions, or dependencies associated with scaling staffing levels during surge events.</w:t>
      </w:r>
    </w:p>
    <w:p w14:paraId="58BCD879" w14:textId="77777777" w:rsidR="00B44E2A" w:rsidRPr="00B44E2A" w:rsidRDefault="00000000" w:rsidP="00B44E2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37B38EF">
          <v:rect id="_x0000_i1027" style="width:0;height:1.5pt" o:hralign="center" o:hrstd="t" o:hr="t" fillcolor="#a0a0a0" stroked="f"/>
        </w:pict>
      </w:r>
    </w:p>
    <w:p w14:paraId="5FC98E3E" w14:textId="77777777" w:rsidR="00B44E2A" w:rsidRPr="00B44E2A" w:rsidRDefault="00B44E2A" w:rsidP="00B44E2A">
      <w:pPr>
        <w:rPr>
          <w:rFonts w:ascii="Calibri" w:hAnsi="Calibri" w:cs="Calibri"/>
          <w:b/>
          <w:bCs/>
          <w:sz w:val="22"/>
          <w:szCs w:val="22"/>
        </w:rPr>
      </w:pPr>
      <w:r w:rsidRPr="00B44E2A">
        <w:rPr>
          <w:rFonts w:ascii="Calibri" w:hAnsi="Calibri" w:cs="Calibri"/>
          <w:b/>
          <w:bCs/>
          <w:sz w:val="22"/>
          <w:szCs w:val="22"/>
        </w:rPr>
        <w:t>PWS Section: Pricing Structure and Contract Type</w:t>
      </w:r>
    </w:p>
    <w:p w14:paraId="5262DD21" w14:textId="77777777" w:rsidR="00B44E2A" w:rsidRPr="00B44E2A" w:rsidRDefault="00B44E2A" w:rsidP="00B44E2A">
      <w:pPr>
        <w:rPr>
          <w:rFonts w:ascii="Calibri" w:hAnsi="Calibri" w:cs="Calibri"/>
          <w:sz w:val="22"/>
          <w:szCs w:val="22"/>
        </w:rPr>
      </w:pPr>
      <w:r w:rsidRPr="00B44E2A">
        <w:rPr>
          <w:rFonts w:ascii="Calibri" w:hAnsi="Calibri" w:cs="Calibri"/>
          <w:b/>
          <w:bCs/>
          <w:sz w:val="22"/>
          <w:szCs w:val="22"/>
        </w:rPr>
        <w:t>Firm Fixed Price (FFP) and Cost Controls</w:t>
      </w:r>
    </w:p>
    <w:p w14:paraId="35CA1773" w14:textId="77777777" w:rsidR="00B44E2A" w:rsidRPr="00B44E2A" w:rsidRDefault="00B44E2A" w:rsidP="00B44E2A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44E2A">
        <w:rPr>
          <w:rFonts w:ascii="Calibri" w:hAnsi="Calibri" w:cs="Calibri"/>
          <w:sz w:val="22"/>
          <w:szCs w:val="22"/>
        </w:rPr>
        <w:t>Describe pricing models commonly used to support surge requirements within a Firm Fixed Price IT Service Desk contract.</w:t>
      </w:r>
    </w:p>
    <w:p w14:paraId="24F2762A" w14:textId="77777777" w:rsidR="00B44E2A" w:rsidRPr="00B44E2A" w:rsidRDefault="00B44E2A" w:rsidP="00B44E2A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44E2A">
        <w:rPr>
          <w:rFonts w:ascii="Calibri" w:hAnsi="Calibri" w:cs="Calibri"/>
          <w:sz w:val="22"/>
          <w:szCs w:val="22"/>
        </w:rPr>
        <w:t>Explain how your organization manages contract re-baselining, price reductions, or pricing adjustments when efficiencies, automation, or enhancements reduce overall contact volumes or staffing levels while per-seat or user counts remain constant.</w:t>
      </w:r>
    </w:p>
    <w:p w14:paraId="04ABE581" w14:textId="77777777" w:rsidR="00B44E2A" w:rsidRPr="00B44E2A" w:rsidRDefault="00B44E2A" w:rsidP="00B44E2A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44E2A">
        <w:rPr>
          <w:rFonts w:ascii="Calibri" w:hAnsi="Calibri" w:cs="Calibri"/>
          <w:sz w:val="22"/>
          <w:szCs w:val="22"/>
        </w:rPr>
        <w:t>Identify contract mechanisms or best practices used to manage workload variability over time while maintaining cost transparency and service quality.</w:t>
      </w:r>
    </w:p>
    <w:p w14:paraId="51903AD6" w14:textId="77777777" w:rsidR="00B44E2A" w:rsidRPr="00B44E2A" w:rsidRDefault="00000000" w:rsidP="00B44E2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943DD45">
          <v:rect id="_x0000_i1028" style="width:0;height:1.5pt" o:hralign="center" o:hrstd="t" o:hr="t" fillcolor="#a0a0a0" stroked="f"/>
        </w:pict>
      </w:r>
    </w:p>
    <w:p w14:paraId="252E0DB1" w14:textId="77777777" w:rsidR="00B44E2A" w:rsidRPr="00B44E2A" w:rsidRDefault="00B44E2A" w:rsidP="00B44E2A">
      <w:pPr>
        <w:rPr>
          <w:rFonts w:ascii="Calibri" w:hAnsi="Calibri" w:cs="Calibri"/>
          <w:b/>
          <w:bCs/>
          <w:sz w:val="22"/>
          <w:szCs w:val="22"/>
        </w:rPr>
      </w:pPr>
      <w:r w:rsidRPr="00B44E2A">
        <w:rPr>
          <w:rFonts w:ascii="Calibri" w:hAnsi="Calibri" w:cs="Calibri"/>
          <w:b/>
          <w:bCs/>
          <w:sz w:val="22"/>
          <w:szCs w:val="22"/>
        </w:rPr>
        <w:t>PWS Section: Performance Standards and Metrics</w:t>
      </w:r>
    </w:p>
    <w:p w14:paraId="72D012FE" w14:textId="77777777" w:rsidR="00B44E2A" w:rsidRPr="00B44E2A" w:rsidRDefault="00B44E2A" w:rsidP="00B44E2A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B44E2A">
        <w:rPr>
          <w:rFonts w:ascii="Calibri" w:hAnsi="Calibri" w:cs="Calibri"/>
          <w:sz w:val="22"/>
          <w:szCs w:val="22"/>
        </w:rPr>
        <w:lastRenderedPageBreak/>
        <w:t>Identify industry-standard Service Desk performance metrics and key performance indicators (KPIs) relevant to FAA/AIT operations that should be considered for inclusion in the PWS beyond traditional SLA measures.</w:t>
      </w:r>
    </w:p>
    <w:p w14:paraId="3375965B" w14:textId="77777777" w:rsidR="00B44E2A" w:rsidRPr="00B44E2A" w:rsidRDefault="00B44E2A" w:rsidP="00B44E2A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B44E2A">
        <w:rPr>
          <w:rFonts w:ascii="Calibri" w:hAnsi="Calibri" w:cs="Calibri"/>
          <w:sz w:val="22"/>
          <w:szCs w:val="22"/>
        </w:rPr>
        <w:t>Describe surge-specific, customer experience, service resilience, and continuous improvement metrics commonly used in mature ServiceNow-based Service Desk operations.</w:t>
      </w:r>
    </w:p>
    <w:p w14:paraId="4115F31B" w14:textId="77777777" w:rsidR="00B44E2A" w:rsidRPr="00B44E2A" w:rsidRDefault="00000000" w:rsidP="00B44E2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B8CA5F7">
          <v:rect id="_x0000_i1029" style="width:0;height:1.5pt" o:hralign="center" o:hrstd="t" o:hr="t" fillcolor="#a0a0a0" stroked="f"/>
        </w:pict>
      </w:r>
    </w:p>
    <w:p w14:paraId="021C28AE" w14:textId="77777777" w:rsidR="00B44E2A" w:rsidRPr="00B44E2A" w:rsidRDefault="00B44E2A" w:rsidP="00B44E2A">
      <w:pPr>
        <w:rPr>
          <w:rFonts w:ascii="Calibri" w:hAnsi="Calibri" w:cs="Calibri"/>
          <w:b/>
          <w:bCs/>
          <w:sz w:val="22"/>
          <w:szCs w:val="22"/>
        </w:rPr>
      </w:pPr>
      <w:r w:rsidRPr="00B44E2A">
        <w:rPr>
          <w:rFonts w:ascii="Calibri" w:hAnsi="Calibri" w:cs="Calibri"/>
          <w:b/>
          <w:bCs/>
          <w:sz w:val="22"/>
          <w:szCs w:val="22"/>
        </w:rPr>
        <w:t>PWS Section: Tools, Processes, and Continuous Improvement</w:t>
      </w:r>
    </w:p>
    <w:p w14:paraId="0D5154D6" w14:textId="77777777" w:rsidR="00B44E2A" w:rsidRPr="00B44E2A" w:rsidRDefault="00B44E2A" w:rsidP="00B44E2A">
      <w:pPr>
        <w:rPr>
          <w:rFonts w:ascii="Calibri" w:hAnsi="Calibri" w:cs="Calibri"/>
          <w:sz w:val="22"/>
          <w:szCs w:val="22"/>
        </w:rPr>
      </w:pPr>
      <w:r w:rsidRPr="00B44E2A">
        <w:rPr>
          <w:rFonts w:ascii="Calibri" w:hAnsi="Calibri" w:cs="Calibri"/>
          <w:b/>
          <w:bCs/>
          <w:sz w:val="22"/>
          <w:szCs w:val="22"/>
        </w:rPr>
        <w:t>AI and Automation</w:t>
      </w:r>
    </w:p>
    <w:p w14:paraId="04303D03" w14:textId="77777777" w:rsidR="00B44E2A" w:rsidRPr="00B44E2A" w:rsidRDefault="00B44E2A" w:rsidP="00B44E2A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44E2A">
        <w:rPr>
          <w:rFonts w:ascii="Calibri" w:hAnsi="Calibri" w:cs="Calibri"/>
          <w:sz w:val="22"/>
          <w:szCs w:val="22"/>
        </w:rPr>
        <w:t>Describe AI-enabled and automation capabilities currently utilized within ServiceNow platforms to support Tier 1 Service Desk, Tier 2 support, and executive/VIP support.</w:t>
      </w:r>
    </w:p>
    <w:p w14:paraId="49A14717" w14:textId="77777777" w:rsidR="00B44E2A" w:rsidRPr="00B44E2A" w:rsidRDefault="00B44E2A" w:rsidP="00B44E2A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B44E2A">
        <w:rPr>
          <w:rFonts w:ascii="Calibri" w:hAnsi="Calibri" w:cs="Calibri"/>
          <w:sz w:val="22"/>
          <w:szCs w:val="22"/>
        </w:rPr>
        <w:t>Explain how capabilities such as virtual agents, self-service, intelligent routing, proactive incident management, analytics, and knowledge automation are implemented within federal IT environments.</w:t>
      </w:r>
    </w:p>
    <w:p w14:paraId="4B3111FA" w14:textId="77777777" w:rsidR="00B44E2A" w:rsidRPr="00B44E2A" w:rsidRDefault="00000000" w:rsidP="00B44E2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DC7BEFD">
          <v:rect id="_x0000_i1030" style="width:0;height:1.5pt" o:hralign="center" o:hrstd="t" o:hr="t" fillcolor="#a0a0a0" stroked="f"/>
        </w:pict>
      </w:r>
    </w:p>
    <w:p w14:paraId="348B87DA" w14:textId="77777777" w:rsidR="00B44E2A" w:rsidRPr="00B44E2A" w:rsidRDefault="00B44E2A" w:rsidP="00B44E2A">
      <w:pPr>
        <w:rPr>
          <w:rFonts w:ascii="Calibri" w:hAnsi="Calibri" w:cs="Calibri"/>
          <w:b/>
          <w:bCs/>
          <w:sz w:val="22"/>
          <w:szCs w:val="22"/>
        </w:rPr>
      </w:pPr>
      <w:r w:rsidRPr="00B44E2A">
        <w:rPr>
          <w:rFonts w:ascii="Calibri" w:hAnsi="Calibri" w:cs="Calibri"/>
          <w:b/>
          <w:bCs/>
          <w:sz w:val="22"/>
          <w:szCs w:val="22"/>
        </w:rPr>
        <w:t>PWS Section: Governance, Security, and Risk Management</w:t>
      </w:r>
    </w:p>
    <w:p w14:paraId="67E77C7A" w14:textId="77777777" w:rsidR="00B44E2A" w:rsidRPr="00B44E2A" w:rsidRDefault="00B44E2A" w:rsidP="00B44E2A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B44E2A">
        <w:rPr>
          <w:rFonts w:ascii="Calibri" w:hAnsi="Calibri" w:cs="Calibri"/>
          <w:sz w:val="22"/>
          <w:szCs w:val="22"/>
        </w:rPr>
        <w:t>Identify governance, security, privacy, and risk considerations associated with implementing AI, automation, and surge support models within a ServiceNow ITSM ecosystem.</w:t>
      </w:r>
    </w:p>
    <w:p w14:paraId="369F3CB2" w14:textId="77777777" w:rsidR="00B44E2A" w:rsidRPr="00B44E2A" w:rsidRDefault="00B44E2A" w:rsidP="00B44E2A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B44E2A">
        <w:rPr>
          <w:rFonts w:ascii="Calibri" w:hAnsi="Calibri" w:cs="Calibri"/>
          <w:sz w:val="22"/>
          <w:szCs w:val="22"/>
        </w:rPr>
        <w:t>Describe lessons learned or best practices from supporting federal agencies with similar operational scale or mission criticality.</w:t>
      </w:r>
    </w:p>
    <w:p w14:paraId="15E8537B" w14:textId="77777777" w:rsidR="00B44E2A" w:rsidRPr="00B44E2A" w:rsidRDefault="00000000" w:rsidP="00B44E2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2F6A39D">
          <v:rect id="_x0000_i1031" style="width:0;height:1.5pt" o:hralign="center" o:hrstd="t" o:hr="t" fillcolor="#a0a0a0" stroked="f"/>
        </w:pict>
      </w:r>
    </w:p>
    <w:p w14:paraId="0CD74EDB" w14:textId="77777777" w:rsidR="00B44E2A" w:rsidRPr="00B44E2A" w:rsidRDefault="00B44E2A" w:rsidP="00B44E2A">
      <w:pPr>
        <w:rPr>
          <w:rFonts w:ascii="Calibri" w:hAnsi="Calibri" w:cs="Calibri"/>
          <w:b/>
          <w:bCs/>
          <w:sz w:val="22"/>
          <w:szCs w:val="22"/>
        </w:rPr>
      </w:pPr>
      <w:r w:rsidRPr="00B44E2A">
        <w:rPr>
          <w:rFonts w:ascii="Calibri" w:hAnsi="Calibri" w:cs="Calibri"/>
          <w:b/>
          <w:bCs/>
          <w:sz w:val="22"/>
          <w:szCs w:val="22"/>
        </w:rPr>
        <w:t>PWS Section: Transition-In, Innovation, and Service Maturity</w:t>
      </w:r>
    </w:p>
    <w:p w14:paraId="3AF8F1BD" w14:textId="77777777" w:rsidR="00B44E2A" w:rsidRPr="00B44E2A" w:rsidRDefault="00B44E2A" w:rsidP="00B44E2A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B44E2A">
        <w:rPr>
          <w:rFonts w:ascii="Calibri" w:hAnsi="Calibri" w:cs="Calibri"/>
          <w:sz w:val="22"/>
          <w:szCs w:val="22"/>
        </w:rPr>
        <w:t>Describe how your organization incorporates innovation, continuous improvement, and operational efficiencies over the life of an IT Service Desk contract while maintaining performance and cost controls.</w:t>
      </w:r>
    </w:p>
    <w:p w14:paraId="5FA635A4" w14:textId="77777777" w:rsidR="00B1026F" w:rsidRPr="00B44E2A" w:rsidRDefault="00000000" w:rsidP="00B1026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76D8579">
          <v:rect id="_x0000_i1032" style="width:0;height:1.5pt" o:hralign="center" o:hrstd="t" o:hr="t" fillcolor="#a0a0a0" stroked="f"/>
        </w:pict>
      </w:r>
    </w:p>
    <w:p w14:paraId="0664C7BF" w14:textId="5FFF6E73" w:rsidR="00B1026F" w:rsidRPr="00B44E2A" w:rsidRDefault="00B1026F" w:rsidP="00B1026F">
      <w:pPr>
        <w:rPr>
          <w:rFonts w:ascii="Calibri" w:hAnsi="Calibri" w:cs="Calibri"/>
          <w:b/>
          <w:bCs/>
          <w:sz w:val="22"/>
          <w:szCs w:val="22"/>
        </w:rPr>
      </w:pPr>
      <w:r w:rsidRPr="00B44E2A">
        <w:rPr>
          <w:rFonts w:ascii="Calibri" w:hAnsi="Calibri" w:cs="Calibri"/>
          <w:b/>
          <w:bCs/>
          <w:sz w:val="22"/>
          <w:szCs w:val="22"/>
        </w:rPr>
        <w:t xml:space="preserve">PWS Section: </w:t>
      </w:r>
      <w:r>
        <w:rPr>
          <w:rFonts w:ascii="Calibri" w:hAnsi="Calibri" w:cs="Calibri"/>
          <w:b/>
          <w:bCs/>
          <w:sz w:val="22"/>
          <w:szCs w:val="22"/>
        </w:rPr>
        <w:t>Lifecycle Asset Management, End-User Device Support</w:t>
      </w:r>
    </w:p>
    <w:p w14:paraId="2C6BD1CB" w14:textId="177EF4E6" w:rsidR="00B1026F" w:rsidRPr="00B1026F" w:rsidRDefault="00B1026F" w:rsidP="00B1026F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B44E2A">
        <w:rPr>
          <w:rFonts w:ascii="Calibri" w:hAnsi="Calibri" w:cs="Calibri"/>
          <w:sz w:val="22"/>
          <w:szCs w:val="22"/>
        </w:rPr>
        <w:t xml:space="preserve">Describe how your organization </w:t>
      </w:r>
      <w:r>
        <w:rPr>
          <w:rFonts w:ascii="Calibri" w:hAnsi="Calibri" w:cs="Calibri"/>
          <w:sz w:val="22"/>
          <w:szCs w:val="22"/>
        </w:rPr>
        <w:t xml:space="preserve">will manage </w:t>
      </w:r>
      <w:r w:rsidRPr="00B1026F">
        <w:rPr>
          <w:rFonts w:ascii="Calibri" w:hAnsi="Calibri" w:cs="Calibri"/>
          <w:sz w:val="22"/>
          <w:szCs w:val="22"/>
        </w:rPr>
        <w:t>remote deployments? 3-4 per day</w:t>
      </w:r>
    </w:p>
    <w:p w14:paraId="634FA4D4" w14:textId="30D552ED" w:rsidR="00B1026F" w:rsidRPr="00B44E2A" w:rsidRDefault="00B1026F" w:rsidP="00B1026F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Identify the tools, processes, or methods for imaging computers.</w:t>
      </w:r>
    </w:p>
    <w:p w14:paraId="38F60D05" w14:textId="787FF746" w:rsidR="005A4AED" w:rsidRPr="00B44E2A" w:rsidRDefault="005A4AED">
      <w:pPr>
        <w:rPr>
          <w:rFonts w:ascii="Calibri" w:hAnsi="Calibri" w:cs="Calibri"/>
          <w:sz w:val="22"/>
          <w:szCs w:val="22"/>
        </w:rPr>
      </w:pPr>
    </w:p>
    <w:sectPr w:rsidR="005A4AED" w:rsidRPr="00B44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161"/>
    <w:multiLevelType w:val="multilevel"/>
    <w:tmpl w:val="EE56F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17327"/>
    <w:multiLevelType w:val="multilevel"/>
    <w:tmpl w:val="74205D4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E24CD"/>
    <w:multiLevelType w:val="multilevel"/>
    <w:tmpl w:val="F5FAF8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B616CB"/>
    <w:multiLevelType w:val="multilevel"/>
    <w:tmpl w:val="1B387B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881FE7"/>
    <w:multiLevelType w:val="multilevel"/>
    <w:tmpl w:val="0E0082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6764B2"/>
    <w:multiLevelType w:val="multilevel"/>
    <w:tmpl w:val="A00213D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CD71D4"/>
    <w:multiLevelType w:val="multilevel"/>
    <w:tmpl w:val="5560C8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607DFD"/>
    <w:multiLevelType w:val="multilevel"/>
    <w:tmpl w:val="74205D4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8E6D8A"/>
    <w:multiLevelType w:val="multilevel"/>
    <w:tmpl w:val="094A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27359">
    <w:abstractNumId w:val="0"/>
  </w:num>
  <w:num w:numId="2" w16cid:durableId="180054819">
    <w:abstractNumId w:val="4"/>
  </w:num>
  <w:num w:numId="3" w16cid:durableId="1693533206">
    <w:abstractNumId w:val="6"/>
  </w:num>
  <w:num w:numId="4" w16cid:durableId="1973947126">
    <w:abstractNumId w:val="3"/>
  </w:num>
  <w:num w:numId="5" w16cid:durableId="1862475086">
    <w:abstractNumId w:val="2"/>
  </w:num>
  <w:num w:numId="6" w16cid:durableId="809522694">
    <w:abstractNumId w:val="5"/>
  </w:num>
  <w:num w:numId="7" w16cid:durableId="1164128335">
    <w:abstractNumId w:val="7"/>
  </w:num>
  <w:num w:numId="8" w16cid:durableId="1275942671">
    <w:abstractNumId w:val="8"/>
  </w:num>
  <w:num w:numId="9" w16cid:durableId="1744791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E2A"/>
    <w:rsid w:val="0019100F"/>
    <w:rsid w:val="0021705F"/>
    <w:rsid w:val="004C06E1"/>
    <w:rsid w:val="005A4AED"/>
    <w:rsid w:val="00977D92"/>
    <w:rsid w:val="00B1026F"/>
    <w:rsid w:val="00B44E2A"/>
    <w:rsid w:val="00C21E77"/>
    <w:rsid w:val="00E10ACD"/>
    <w:rsid w:val="00E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5CDD"/>
  <w15:chartTrackingRefBased/>
  <w15:docId w15:val="{58E60EBE-670D-4156-8CE1-12615DED4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468</Words>
  <Characters>3052</Characters>
  <Application>Microsoft Office Word</Application>
  <DocSecurity>0</DocSecurity>
  <Lines>60</Lines>
  <Paragraphs>30</Paragraphs>
  <ScaleCrop>false</ScaleCrop>
  <Company>Federal Aviation Administration</Company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Achampong, Kojo G (FAA)</dc:creator>
  <cp:keywords/>
  <dc:description/>
  <cp:lastModifiedBy>Leary, Daniel F (FAA)</cp:lastModifiedBy>
  <cp:revision>6</cp:revision>
  <dcterms:created xsi:type="dcterms:W3CDTF">2026-01-23T20:31:00Z</dcterms:created>
  <dcterms:modified xsi:type="dcterms:W3CDTF">2026-01-28T15:16:00Z</dcterms:modified>
</cp:coreProperties>
</file>