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6D7FE" w14:textId="274BA6AE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INTENT TO SOLE SOURCE –</w:t>
      </w:r>
      <w:r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BF0232" w:rsidRPr="00BF0232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36C26326Q0466</w:t>
      </w:r>
      <w:r w:rsidR="00EC64CB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– DESCRIPTION AND INSTRUCTIONS</w:t>
      </w:r>
    </w:p>
    <w:p w14:paraId="7EFEDDA0" w14:textId="1B73CAF0" w:rsid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Department of Veterans Affairs intends to issue a sole source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award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to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Spryson America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Inc. for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DX200 Head Mounted Virtual 3D Goggle Systems.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This award will be a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purchase order for the equipment and one year of support under FAR Part 12 of the Revolutionary FAR Overhaul.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The NAICS code is 334510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and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the size standard is 1250 employees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 The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PSC is 6515. </w:t>
      </w:r>
    </w:p>
    <w:p w14:paraId="49D0DD34" w14:textId="6002C21F" w:rsid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This notice of intent is not a request for competitive quotations. However, all responsible sources may submit </w:t>
      </w:r>
      <w:r w:rsidR="00F0725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their brand and model of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virtual 3D goggles they believe can interface </w:t>
      </w:r>
      <w:r w:rsidR="006C76C3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with and</w:t>
      </w:r>
      <w:r w:rsid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offer the same or equal performance as the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Spryson brand of equipment, along with their firm’s capability statement, which will be considered by the Government. 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The Government will consider responses received by the closing date of this notice. Information received will be considered solely for the purpose of determining whether or not to conduct a full and open competitive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acquisition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or a small business set</w:t>
      </w:r>
      <w:r w:rsidR="00F0725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-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aside competitive </w:t>
      </w:r>
      <w:r w:rsidR="008844D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acquisition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. The Government will not pay for any information received in response to this announcement.</w:t>
      </w:r>
    </w:p>
    <w:p w14:paraId="6CC2F046" w14:textId="64C42C08" w:rsidR="003D1F27" w:rsidRPr="003D1F27" w:rsidRDefault="008844D8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</w:t>
      </w:r>
      <w:r w:rsidR="003D1F27"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f the Government decides to compete this requirement in the open market, a synopsis shall be issued utilizing the combined synopsis/solicitation procedure identified in FAR 12</w:t>
      </w:r>
      <w:r w:rsidR="00F0725A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 the Revolutionary FAR Overhaul.</w:t>
      </w:r>
    </w:p>
    <w:p w14:paraId="0D88AC36" w14:textId="12FCEFD3" w:rsidR="003D1F27" w:rsidRDefault="003D1F27" w:rsidP="003D1F27">
      <w:pPr>
        <w:spacing w:after="200" w:line="276" w:lineRule="auto"/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 xml:space="preserve">A determination </w:t>
      </w:r>
      <w:r w:rsidR="008844D8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 xml:space="preserve">to not </w:t>
      </w:r>
      <w:r w:rsidRPr="003D1F27">
        <w:rPr>
          <w:rFonts w:ascii="Calibri" w:eastAsia="Calibri" w:hAnsi="Calibri" w:cs="Times New Roman"/>
          <w:color w:val="202020"/>
          <w:kern w:val="0"/>
          <w:sz w:val="22"/>
          <w:szCs w:val="22"/>
          <w14:ligatures w14:val="none"/>
        </w:rPr>
        <w:t>compete this requirement based upon responses to this notice is solely within the discretion of the Government.</w:t>
      </w:r>
    </w:p>
    <w:p w14:paraId="2B428B8F" w14:textId="1BB15C2B" w:rsidR="00923352" w:rsidRPr="003D1F27" w:rsidRDefault="00923352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b/>
          <w:color w:val="000000"/>
          <w:kern w:val="0"/>
          <w:sz w:val="22"/>
          <w:szCs w:val="22"/>
          <w:u w:val="single"/>
          <w14:ligatures w14:val="none"/>
        </w:rPr>
        <w:t>Description of the Requirement</w:t>
      </w:r>
      <w:r w:rsidRPr="003D1F27">
        <w:rPr>
          <w:rFonts w:ascii="Calibri" w:eastAsia="Calibri" w:hAnsi="Calibri" w:cs="Times New Roman"/>
          <w:b/>
          <w:kern w:val="0"/>
          <w:sz w:val="22"/>
          <w:szCs w:val="22"/>
          <w14:ligatures w14:val="none"/>
        </w:rPr>
        <w:t>: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</w:p>
    <w:p w14:paraId="32F0BD80" w14:textId="77777777" w:rsidR="00923352" w:rsidRPr="003D1F27" w:rsidRDefault="00923352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1E786194" w14:textId="0AF2F163" w:rsidR="00C835E5" w:rsidRDefault="00C835E5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The VA Research Department </w:t>
      </w:r>
      <w:r w:rsidR="007C35C1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is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con</w:t>
      </w:r>
      <w:r w:rsidR="007C35C1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ducting ongoing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research </w:t>
      </w:r>
      <w:r w:rsidR="007C35C1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which utilizes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the Spryson DX200 </w:t>
      </w:r>
      <w:r w:rsidR="00D67C3B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3D 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head mounted goggle system.  This acquisition </w:t>
      </w:r>
      <w:r w:rsidR="007C35C1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is for new equipment that will replace old equipment and will allow the research to continue.  These goggles are integral to the research project.</w:t>
      </w:r>
    </w:p>
    <w:p w14:paraId="504E966D" w14:textId="77777777" w:rsidR="00C835E5" w:rsidRDefault="00C835E5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03B2DC8E" w14:textId="59D88857" w:rsidR="008844D8" w:rsidRDefault="008844D8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System – DX200 </w:t>
      </w:r>
    </w:p>
    <w:p w14:paraId="64082B39" w14:textId="692EB4AD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Head-mounted goggle with high-resolution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virtual 3D display and integrated binocular 100 /</w:t>
      </w:r>
    </w:p>
    <w:p w14:paraId="4962FB71" w14:textId="39A0F59C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250 Hz cameras. Includes: up to 6 hours of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remote training; I-Portal™ eye tracking software;</w:t>
      </w:r>
    </w:p>
    <w:p w14:paraId="55EACC31" w14:textId="2412C772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VEST™ data acquisition and analysis software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and the following FDA-cleared tests:</w:t>
      </w:r>
    </w:p>
    <w:p w14:paraId="2BA85489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• </w:t>
      </w:r>
      <w:proofErr w:type="spellStart"/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Antisaccades</w:t>
      </w:r>
      <w:proofErr w:type="spellEnd"/>
    </w:p>
    <w:p w14:paraId="73BFD259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Gaze (Horizontal and Vertical)</w:t>
      </w:r>
    </w:p>
    <w:p w14:paraId="0AB7B289" w14:textId="66A47A0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OKN Trapezoidal (Horizontal, Vertical and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Rotational)</w:t>
      </w:r>
    </w:p>
    <w:p w14:paraId="4448F368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Predictive &amp; Self-Paced Saccades</w:t>
      </w:r>
    </w:p>
    <w:p w14:paraId="3DAEBB1E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Random Saccades (Horizontal &amp; Vertical)</w:t>
      </w:r>
    </w:p>
    <w:p w14:paraId="734D3BAC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Saccades and Reaction Time, a dual-task test</w:t>
      </w:r>
    </w:p>
    <w:p w14:paraId="74F72427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Smooth Pursuit (Horizontal and Vertical)</w:t>
      </w:r>
    </w:p>
    <w:p w14:paraId="4832D0F2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Spontaneous Nystagmus</w:t>
      </w:r>
    </w:p>
    <w:p w14:paraId="6086B997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Subjective Visual Vertical and Horizontal</w:t>
      </w:r>
    </w:p>
    <w:p w14:paraId="2B8AC25A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Vergence Pursuit &amp; Steps</w:t>
      </w:r>
    </w:p>
    <w:p w14:paraId="054ED123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Visual &amp; Auditory Reaction Times</w:t>
      </w:r>
    </w:p>
    <w:p w14:paraId="3BB9E868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Caloric</w:t>
      </w:r>
    </w:p>
    <w:p w14:paraId="6615BC90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Custom Test</w:t>
      </w:r>
    </w:p>
    <w:p w14:paraId="6AEFD7E5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lastRenderedPageBreak/>
        <w:t>• OKN Sinusoidal</w:t>
      </w:r>
    </w:p>
    <w:p w14:paraId="0E3A6880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Positional</w:t>
      </w:r>
    </w:p>
    <w:p w14:paraId="71C7B729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Positioning</w:t>
      </w:r>
    </w:p>
    <w:p w14:paraId="15CA96BC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Equipment Included:</w:t>
      </w:r>
    </w:p>
    <w:p w14:paraId="18056112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Laptop</w:t>
      </w:r>
    </w:p>
    <w:p w14:paraId="2169C0EA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Isolation Transformer</w:t>
      </w:r>
    </w:p>
    <w:p w14:paraId="711A8E85" w14:textId="77777777" w:rsidR="003E61E8" w:rsidRPr="003E61E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• Push Button motor response box</w:t>
      </w:r>
    </w:p>
    <w:p w14:paraId="16E0A0E1" w14:textId="7CFB2603" w:rsidR="008844D8" w:rsidRDefault="003E61E8" w:rsidP="003E61E8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</w:t>
      </w:r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ncludes one year of</w:t>
      </w:r>
      <w:r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SprysonCare</w:t>
      </w:r>
      <w:proofErr w:type="spellEnd"/>
      <w:r w:rsidRPr="003E61E8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+</w:t>
      </w:r>
    </w:p>
    <w:p w14:paraId="0BF2A0B2" w14:textId="77777777" w:rsidR="008844D8" w:rsidRDefault="008844D8" w:rsidP="0092335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4F4353FB" w14:textId="5E7F3869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 xml:space="preserve">POTENTIAL SOURCES SHALL </w:t>
      </w:r>
      <w:r w:rsidR="003E61E8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INCLUDE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 xml:space="preserve"> THE FOLLOWING INFORMATION IN THEIR RESPONSE:</w:t>
      </w:r>
    </w:p>
    <w:p w14:paraId="64F99F25" w14:textId="77777777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1.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Company name, address, primary contact(s), e-mail address &amp; phone number.</w:t>
      </w:r>
    </w:p>
    <w:p w14:paraId="575B3BE9" w14:textId="54BBF223" w:rsidR="003D1F27" w:rsidRPr="003D1F27" w:rsidRDefault="003D1F27" w:rsidP="003D1F27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2.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 xml:space="preserve">A letter from the 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manufacturer stating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your firm is an authorized distributor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of theirs. This letter shall be signed by the manufacturer and dated not more than one year ago.</w:t>
      </w:r>
    </w:p>
    <w:p w14:paraId="621641F1" w14:textId="77777777" w:rsidR="003D1F27" w:rsidRPr="003D1F27" w:rsidRDefault="003D1F27" w:rsidP="003D1F27">
      <w:pPr>
        <w:spacing w:after="200" w:line="276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3.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SAM UEI number.</w:t>
      </w:r>
    </w:p>
    <w:p w14:paraId="0AECB4C3" w14:textId="24E3399F" w:rsidR="003D1F27" w:rsidRPr="003D1F27" w:rsidRDefault="003D1F27" w:rsidP="003D1F27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4.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State if your firm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under the NAICS code,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is a large business, small business, service-disabled-veteran-owned small business, veteran-owned small business, HUB zone 8(a), women-owned small business or a small-disadvantaged business.</w:t>
      </w:r>
    </w:p>
    <w:p w14:paraId="35DF5A22" w14:textId="15002CFD" w:rsidR="003D1F27" w:rsidRPr="003D1F27" w:rsidRDefault="003D1F27" w:rsidP="00C45C90">
      <w:pPr>
        <w:spacing w:after="200" w:line="276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5.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State if your firm has required items on Schedule (FSS, GSA, SEWP, other…).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 If so, state the contract number.</w:t>
      </w:r>
    </w:p>
    <w:p w14:paraId="54919428" w14:textId="750A0149" w:rsidR="003D1F27" w:rsidRPr="003D1F27" w:rsidRDefault="003D1F27" w:rsidP="003D1F27">
      <w:pPr>
        <w:spacing w:after="0" w:line="240" w:lineRule="auto"/>
        <w:ind w:left="720" w:hanging="72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6.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ab/>
        <w:t>If your firm is a Socio-economic small business (WOSB, VOSB, SDVOSB…)</w:t>
      </w:r>
      <w:r w:rsidR="00C45C90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,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state if your firm is a Non-Manufacturer under the Non- Manufacturing Rule.  Information regarding the Non-Manufacturer Rule can be found at these links: </w:t>
      </w:r>
    </w:p>
    <w:p w14:paraId="6FED9925" w14:textId="77777777" w:rsidR="003D1F27" w:rsidRPr="003D1F27" w:rsidRDefault="003D1F27" w:rsidP="003D1F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5" w:anchor=":~:text=What%20is%20the%20nonmanufacturer%20rule,if%20it%20is%20a%20nonmanufacturer" w:history="1">
        <w:r w:rsidRPr="003D1F27">
          <w:rPr>
            <w:rFonts w:ascii="Calibri" w:eastAsia="Calibri" w:hAnsi="Calibri" w:cs="Times New Roman"/>
            <w:color w:val="0000FF"/>
            <w:kern w:val="0"/>
            <w:sz w:val="22"/>
            <w:szCs w:val="22"/>
            <w:u w:val="single"/>
            <w14:ligatures w14:val="none"/>
          </w:rPr>
          <w:t>Nonmanufacturer rule | U.S. Small Business Administration (sba.gov)</w:t>
        </w:r>
      </w:hyperlink>
    </w:p>
    <w:p w14:paraId="09191FC0" w14:textId="77777777" w:rsidR="003D1F27" w:rsidRPr="003D1F27" w:rsidRDefault="003D1F27" w:rsidP="003D1F27">
      <w:pPr>
        <w:spacing w:after="0" w:line="240" w:lineRule="auto"/>
        <w:ind w:left="1800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-OR-</w:t>
      </w:r>
    </w:p>
    <w:p w14:paraId="23E3AD3E" w14:textId="77777777" w:rsidR="003D1F27" w:rsidRPr="003D1F27" w:rsidRDefault="003D1F27" w:rsidP="003D1F27">
      <w:pPr>
        <w:numPr>
          <w:ilvl w:val="0"/>
          <w:numId w:val="1"/>
        </w:numPr>
        <w:spacing w:after="0" w:line="240" w:lineRule="auto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hyperlink r:id="rId6" w:anchor=":~:text=What%20is%20the%20nonmanufacturer%20rule,if%20it%20is%20a%20nonmanufacturer" w:history="1">
        <w:r w:rsidRPr="003D1F27">
          <w:rPr>
            <w:rFonts w:ascii="Calibri" w:eastAsia="Calibri" w:hAnsi="Calibri" w:cs="Times New Roman"/>
            <w:color w:val="0563C1"/>
            <w:kern w:val="0"/>
            <w:sz w:val="22"/>
            <w:szCs w:val="22"/>
            <w:u w:val="single"/>
            <w14:ligatures w14:val="none"/>
          </w:rPr>
          <w:t>https://www.sba.gov/partners/contracting-officials/small-business-procurement/nonmanufacturer-rule#:~:text=What%20is%20the%20nonmanufacturer%20rule,if%20it%20is%20a%20nonmanufacturer</w:t>
        </w:r>
      </w:hyperlink>
    </w:p>
    <w:p w14:paraId="7079E89B" w14:textId="77777777" w:rsidR="003D1F27" w:rsidRPr="003D1F27" w:rsidRDefault="003D1F27" w:rsidP="003D1F27">
      <w:pPr>
        <w:spacing w:after="0" w:line="240" w:lineRule="auto"/>
        <w:ind w:left="1080"/>
        <w:contextualSpacing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7496EE1E" w14:textId="694D236F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H</w:t>
      </w:r>
      <w:r w:rsidR="003E61E8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OW TO RESPOND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  <w:t>:</w:t>
      </w:r>
    </w:p>
    <w:p w14:paraId="5D39F34D" w14:textId="77777777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:u w:val="single"/>
          <w14:ligatures w14:val="none"/>
        </w:rPr>
      </w:pPr>
    </w:p>
    <w:p w14:paraId="1337BB4D" w14:textId="69C2BCA4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have the VA Identifier: </w:t>
      </w:r>
      <w:r w:rsidR="003E61E8" w:rsidRPr="003E61E8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36C26326Q0466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>in the subject line of the email.</w:t>
      </w:r>
    </w:p>
    <w:p w14:paraId="5C1922C8" w14:textId="6C142025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be received no later than: 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04: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30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pm C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entral Time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, Wednesday 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 xml:space="preserve">March </w:t>
      </w:r>
      <w:r w:rsidR="003E61E8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25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, 202</w:t>
      </w:r>
      <w:r w:rsidR="00C45C90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6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.</w:t>
      </w:r>
    </w:p>
    <w:p w14:paraId="4B583A22" w14:textId="77777777" w:rsidR="003D1F27" w:rsidRPr="003D1F27" w:rsidRDefault="003D1F27" w:rsidP="003D1F27">
      <w:pPr>
        <w:spacing w:after="0" w:line="240" w:lineRule="auto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3D1F27">
        <w:rPr>
          <w:rFonts w:ascii="Calibri" w:eastAsia="Calibri" w:hAnsi="Calibri" w:cs="Times New Roman"/>
          <w:kern w:val="0"/>
          <w:sz w:val="22"/>
          <w:szCs w:val="22"/>
          <w14:ligatures w14:val="none"/>
        </w:rPr>
        <w:t xml:space="preserve">All responses must be submitted to this email address:  </w:t>
      </w:r>
      <w:r w:rsidRPr="003D1F27">
        <w:rPr>
          <w:rFonts w:ascii="Calibri" w:eastAsia="Calibri" w:hAnsi="Calibri" w:cs="Times New Roman"/>
          <w:b/>
          <w:bCs/>
          <w:kern w:val="0"/>
          <w:sz w:val="22"/>
          <w:szCs w:val="22"/>
          <w14:ligatures w14:val="none"/>
        </w:rPr>
        <w:t>Joseph.Bennett@va.gov</w:t>
      </w:r>
    </w:p>
    <w:p w14:paraId="12BAFE46" w14:textId="77777777" w:rsidR="003D1F27" w:rsidRPr="003D1F27" w:rsidRDefault="003D1F27" w:rsidP="003D1F27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b/>
          <w:color w:val="000000"/>
          <w:kern w:val="0"/>
          <w:sz w:val="22"/>
          <w:szCs w:val="22"/>
          <w:u w:val="single"/>
          <w14:ligatures w14:val="none"/>
        </w:rPr>
      </w:pPr>
    </w:p>
    <w:p w14:paraId="54AFFB8D" w14:textId="77777777" w:rsidR="003D1F27" w:rsidRPr="003D1F27" w:rsidRDefault="003D1F27" w:rsidP="00C45C90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</w:p>
    <w:p w14:paraId="6093CCDD" w14:textId="37A378B7" w:rsidR="001D2CB1" w:rsidRPr="00C45C90" w:rsidRDefault="00C45C90" w:rsidP="003E61E8">
      <w:pPr>
        <w:jc w:val="center"/>
        <w:rPr>
          <w:rFonts w:ascii="Calibri" w:hAnsi="Calibri" w:cs="Calibri"/>
          <w:sz w:val="22"/>
          <w:szCs w:val="22"/>
        </w:rPr>
      </w:pPr>
      <w:r w:rsidRPr="00C45C90">
        <w:rPr>
          <w:rFonts w:ascii="Calibri" w:hAnsi="Calibri" w:cs="Calibri"/>
          <w:sz w:val="22"/>
          <w:szCs w:val="22"/>
        </w:rPr>
        <w:t>*** End ***</w:t>
      </w:r>
    </w:p>
    <w:sectPr w:rsidR="001D2CB1" w:rsidRPr="00C45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2D30"/>
    <w:multiLevelType w:val="hybridMultilevel"/>
    <w:tmpl w:val="BA04B790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2775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F27"/>
    <w:rsid w:val="001B2A65"/>
    <w:rsid w:val="001D2CB1"/>
    <w:rsid w:val="002667BC"/>
    <w:rsid w:val="003D1F27"/>
    <w:rsid w:val="003E61E8"/>
    <w:rsid w:val="00604E2F"/>
    <w:rsid w:val="006C76C3"/>
    <w:rsid w:val="007C35C1"/>
    <w:rsid w:val="008844D8"/>
    <w:rsid w:val="00923352"/>
    <w:rsid w:val="0095637D"/>
    <w:rsid w:val="00BF0232"/>
    <w:rsid w:val="00C45C90"/>
    <w:rsid w:val="00C835E5"/>
    <w:rsid w:val="00D67C3B"/>
    <w:rsid w:val="00E66820"/>
    <w:rsid w:val="00EB1686"/>
    <w:rsid w:val="00EC64CB"/>
    <w:rsid w:val="00F0725A"/>
    <w:rsid w:val="00F6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ACA7A"/>
  <w15:chartTrackingRefBased/>
  <w15:docId w15:val="{02F4BB12-C220-4346-8204-484E98FFC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F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F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F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F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F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F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F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F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F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F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F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F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F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F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F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F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F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ba.gov/partners/contracting-officials/small-business-procurement/nonmanufacturer-rule" TargetMode="External"/><Relationship Id="rId5" Type="http://schemas.openxmlformats.org/officeDocument/2006/relationships/hyperlink" Target="https://www.sba.gov/partners/contracting-officials/small-business-procurement/nonmanufacturer-ru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</Pages>
  <Words>661</Words>
  <Characters>3920</Characters>
  <Application>Microsoft Office Word</Application>
  <DocSecurity>0</DocSecurity>
  <Lines>89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Bennett, Joseph C.</dc:creator>
  <cp:keywords/>
  <dc:description/>
  <cp:lastModifiedBy>Bennett, Joseph C.</cp:lastModifiedBy>
  <cp:revision>10</cp:revision>
  <dcterms:created xsi:type="dcterms:W3CDTF">2026-03-09T02:20:00Z</dcterms:created>
  <dcterms:modified xsi:type="dcterms:W3CDTF">2026-03-15T01:13:00Z</dcterms:modified>
</cp:coreProperties>
</file>