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410"/>
      </w:tblGrid>
      <w:tr w:rsidR="00B37BD5" w14:paraId="3DA73E46" w14:textId="77777777" w:rsidTr="00B37BD5">
        <w:tc>
          <w:tcPr>
            <w:tcW w:w="4765" w:type="dxa"/>
          </w:tcPr>
          <w:p w14:paraId="68C58BC8" w14:textId="77777777" w:rsidR="00B37BD5" w:rsidRDefault="00B37BD5">
            <w:r>
              <w:t>Question</w:t>
            </w:r>
          </w:p>
          <w:p w14:paraId="60C0A76C" w14:textId="3E5535ED" w:rsidR="007108D1" w:rsidRDefault="007108D1"/>
        </w:tc>
        <w:tc>
          <w:tcPr>
            <w:tcW w:w="4410" w:type="dxa"/>
          </w:tcPr>
          <w:p w14:paraId="59E3BD23" w14:textId="718B2A38" w:rsidR="00B37BD5" w:rsidRDefault="00B37BD5">
            <w:r>
              <w:t>Answer</w:t>
            </w:r>
          </w:p>
        </w:tc>
      </w:tr>
      <w:tr w:rsidR="00B37BD5" w14:paraId="61F7738A" w14:textId="77777777" w:rsidTr="00B37BD5">
        <w:tc>
          <w:tcPr>
            <w:tcW w:w="4765" w:type="dxa"/>
          </w:tcPr>
          <w:p w14:paraId="448B2D0F" w14:textId="77777777" w:rsidR="00B37BD5" w:rsidRPr="00B37BD5" w:rsidRDefault="00B37BD5" w:rsidP="00B37BD5">
            <w:pPr>
              <w:numPr>
                <w:ilvl w:val="0"/>
                <w:numId w:val="1"/>
              </w:numPr>
            </w:pPr>
            <w:r w:rsidRPr="00B37BD5">
              <w:t>What Grade of Helium is needed? UHP or Balloon? (UHP is for scientific instruments normally, and Balloon grade or Lift grade is not)</w:t>
            </w:r>
          </w:p>
          <w:p w14:paraId="540CE0CA" w14:textId="77777777" w:rsidR="00B37BD5" w:rsidRDefault="00B37BD5"/>
        </w:tc>
        <w:tc>
          <w:tcPr>
            <w:tcW w:w="4410" w:type="dxa"/>
          </w:tcPr>
          <w:p w14:paraId="0D188BAA" w14:textId="7F472B8C" w:rsidR="00B37BD5" w:rsidRDefault="009B3E8C">
            <w:r>
              <w:t>UHP</w:t>
            </w:r>
          </w:p>
        </w:tc>
      </w:tr>
      <w:tr w:rsidR="00B37BD5" w14:paraId="7F3E3E7C" w14:textId="77777777" w:rsidTr="00B37BD5">
        <w:tc>
          <w:tcPr>
            <w:tcW w:w="4765" w:type="dxa"/>
          </w:tcPr>
          <w:p w14:paraId="7BDB9AC7" w14:textId="77777777" w:rsidR="00B37BD5" w:rsidRPr="00B37BD5" w:rsidRDefault="00B37BD5" w:rsidP="00B37BD5">
            <w:pPr>
              <w:numPr>
                <w:ilvl w:val="0"/>
                <w:numId w:val="1"/>
              </w:numPr>
            </w:pPr>
            <w:r w:rsidRPr="00B37BD5">
              <w:t>Are cylinders and valves to be brand new?  Or are refurbished with 5-year warranty acceptable?</w:t>
            </w:r>
          </w:p>
          <w:p w14:paraId="6D185AE2" w14:textId="77777777" w:rsidR="00B37BD5" w:rsidRDefault="00B37BD5"/>
        </w:tc>
        <w:tc>
          <w:tcPr>
            <w:tcW w:w="4410" w:type="dxa"/>
          </w:tcPr>
          <w:p w14:paraId="5A638391" w14:textId="0DB1F350" w:rsidR="00B37BD5" w:rsidRDefault="009B3E8C">
            <w:r>
              <w:t xml:space="preserve">The cylinders do not have to be brand new. They can be refurbished with a 5-year warranty. The valves </w:t>
            </w:r>
            <w:proofErr w:type="gramStart"/>
            <w:r>
              <w:t>have to</w:t>
            </w:r>
            <w:proofErr w:type="gramEnd"/>
            <w:r>
              <w:t xml:space="preserve"> be brand new. </w:t>
            </w:r>
          </w:p>
        </w:tc>
      </w:tr>
      <w:tr w:rsidR="00B37BD5" w14:paraId="4774D746" w14:textId="77777777" w:rsidTr="00B37BD5">
        <w:tc>
          <w:tcPr>
            <w:tcW w:w="4765" w:type="dxa"/>
          </w:tcPr>
          <w:p w14:paraId="5D48AAFB" w14:textId="77777777" w:rsidR="00B37BD5" w:rsidRPr="00B37BD5" w:rsidRDefault="00B37BD5" w:rsidP="00B37BD5">
            <w:pPr>
              <w:numPr>
                <w:ilvl w:val="0"/>
                <w:numId w:val="1"/>
              </w:numPr>
            </w:pPr>
            <w:r w:rsidRPr="00B37BD5">
              <w:t>The RFQ indicated a non-standard volume/size. Most of the industry uses K-size (218 c.f.) and T-size (291 c.f.) (also known as 200s, or 300s by some companies). The H-size was a size in the past and it is 244 c.f., but that is likely a special order, as we do not use those currently.</w:t>
            </w:r>
          </w:p>
          <w:p w14:paraId="11F02884" w14:textId="77777777" w:rsidR="00B37BD5" w:rsidRDefault="00B37BD5"/>
        </w:tc>
        <w:tc>
          <w:tcPr>
            <w:tcW w:w="4410" w:type="dxa"/>
          </w:tcPr>
          <w:p w14:paraId="454F0108" w14:textId="67B4BDDE" w:rsidR="00B37BD5" w:rsidRDefault="00C7606B">
            <w:r>
              <w:t>W</w:t>
            </w:r>
            <w:r w:rsidR="00903C58">
              <w:t xml:space="preserve">e would like the T-size tanks </w:t>
            </w:r>
            <w:r>
              <w:t>at 291cu. ft</w:t>
            </w:r>
            <w:r w:rsidR="00903C58">
              <w:t>.</w:t>
            </w:r>
            <w:r>
              <w:t xml:space="preserve"> </w:t>
            </w:r>
            <w:r w:rsidR="00903C58">
              <w:t xml:space="preserve"> </w:t>
            </w:r>
          </w:p>
        </w:tc>
      </w:tr>
      <w:tr w:rsidR="00B37BD5" w14:paraId="50A626D3" w14:textId="77777777" w:rsidTr="00B37BD5">
        <w:tc>
          <w:tcPr>
            <w:tcW w:w="4765" w:type="dxa"/>
          </w:tcPr>
          <w:p w14:paraId="687384A0" w14:textId="77777777" w:rsidR="00B37BD5" w:rsidRDefault="00B37BD5"/>
        </w:tc>
        <w:tc>
          <w:tcPr>
            <w:tcW w:w="4410" w:type="dxa"/>
          </w:tcPr>
          <w:p w14:paraId="32B3D30E" w14:textId="77777777" w:rsidR="00B37BD5" w:rsidRDefault="00B37BD5"/>
        </w:tc>
      </w:tr>
    </w:tbl>
    <w:p w14:paraId="21FE529B" w14:textId="1AF1280B" w:rsidR="009B2575" w:rsidRDefault="00D22B67">
      <w:r>
        <w:rPr>
          <w:noProof/>
        </w:rPr>
        <w:drawing>
          <wp:inline distT="0" distB="0" distL="0" distR="0" wp14:anchorId="2F94B4F5" wp14:editId="208056FF">
            <wp:extent cx="1514475" cy="3231331"/>
            <wp:effectExtent l="0" t="0" r="0" b="7620"/>
            <wp:docPr id="3553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650" cy="3242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B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16526"/>
    <w:multiLevelType w:val="hybridMultilevel"/>
    <w:tmpl w:val="E4F06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311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D5"/>
    <w:rsid w:val="001411E3"/>
    <w:rsid w:val="001535D8"/>
    <w:rsid w:val="00345302"/>
    <w:rsid w:val="007108D1"/>
    <w:rsid w:val="00721ED8"/>
    <w:rsid w:val="00903C58"/>
    <w:rsid w:val="009B2575"/>
    <w:rsid w:val="009B3E8C"/>
    <w:rsid w:val="00A568A0"/>
    <w:rsid w:val="00B37BD5"/>
    <w:rsid w:val="00C7606B"/>
    <w:rsid w:val="00D2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598E8D"/>
  <w15:chartTrackingRefBased/>
  <w15:docId w15:val="{B010EF98-45CF-4CD2-A242-2FD3BDEA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7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90BB492072204A9CA84748E1825094" ma:contentTypeVersion="9" ma:contentTypeDescription="Create a new document." ma:contentTypeScope="" ma:versionID="3c2649c037de1ca84521fc5879b6a472">
  <xsd:schema xmlns:xsd="http://www.w3.org/2001/XMLSchema" xmlns:xs="http://www.w3.org/2001/XMLSchema" xmlns:p="http://schemas.microsoft.com/office/2006/metadata/properties" xmlns:ns3="3deea1ce-3066-4b51-90ba-e68292c53b85" targetNamespace="http://schemas.microsoft.com/office/2006/metadata/properties" ma:root="true" ma:fieldsID="d737964e6573856da38dab2d7150cad8" ns3:_="">
    <xsd:import namespace="3deea1ce-3066-4b51-90ba-e68292c53b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ea1ce-3066-4b51-90ba-e68292c53b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90C171-BF91-45F8-8DFA-9C854F11BE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4CBBA8-A9EB-4F0A-A4EF-AFEED4E031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eea1ce-3066-4b51-90ba-e68292c53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F74C96-F473-4137-94B0-507C25F18136}">
  <ds:schemaRefs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3deea1ce-3066-4b51-90ba-e68292c53b85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Stockwell, Yvonne C CIV USN (USA)</dc:creator>
  <cp:keywords/>
  <dc:description/>
  <cp:lastModifiedBy>Stockwell, Yvonne C CIV USN (USA)</cp:lastModifiedBy>
  <cp:revision>3</cp:revision>
  <dcterms:created xsi:type="dcterms:W3CDTF">2026-03-25T21:15:00Z</dcterms:created>
  <dcterms:modified xsi:type="dcterms:W3CDTF">2026-03-26T15:36:00Z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0x0101003190BB492072204A9CA84748E1825094</vt:lpwstr>
  </property>
</Properties>
</file>