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59" w:lineRule="auto"/>
        <w:rPr>
          <w:u w:val="none"/>
        </w:rPr>
      </w:pPr>
      <w:r>
        <w:rPr>
          <w:color w:val="221F1F"/>
          <w:u w:val="single" w:color="221F1F"/>
        </w:rPr>
        <w:t>NOTICE</w:t>
      </w:r>
      <w:r>
        <w:rPr>
          <w:color w:val="221F1F"/>
          <w:spacing w:val="-16"/>
          <w:u w:val="single" w:color="221F1F"/>
        </w:rPr>
        <w:t> </w:t>
      </w:r>
      <w:r>
        <w:rPr>
          <w:color w:val="221F1F"/>
          <w:u w:val="single" w:color="221F1F"/>
        </w:rPr>
        <w:t>OF</w:t>
      </w:r>
      <w:r>
        <w:rPr>
          <w:color w:val="221F1F"/>
          <w:spacing w:val="-16"/>
          <w:u w:val="single" w:color="221F1F"/>
        </w:rPr>
        <w:t> </w:t>
      </w:r>
      <w:r>
        <w:rPr>
          <w:color w:val="221F1F"/>
          <w:u w:val="single" w:color="221F1F"/>
        </w:rPr>
        <w:t>INTENT</w:t>
      </w:r>
      <w:r>
        <w:rPr>
          <w:color w:val="221F1F"/>
          <w:spacing w:val="-16"/>
          <w:u w:val="single" w:color="221F1F"/>
        </w:rPr>
        <w:t> </w:t>
      </w:r>
      <w:r>
        <w:rPr>
          <w:color w:val="221F1F"/>
          <w:u w:val="single" w:color="221F1F"/>
        </w:rPr>
        <w:t>TO</w:t>
      </w:r>
      <w:r>
        <w:rPr>
          <w:color w:val="221F1F"/>
          <w:spacing w:val="-16"/>
          <w:u w:val="single" w:color="221F1F"/>
        </w:rPr>
        <w:t> </w:t>
      </w:r>
      <w:r>
        <w:rPr>
          <w:color w:val="221F1F"/>
          <w:u w:val="single" w:color="221F1F"/>
        </w:rPr>
        <w:t>SOLE</w:t>
      </w:r>
      <w:r>
        <w:rPr>
          <w:color w:val="221F1F"/>
          <w:spacing w:val="-16"/>
          <w:u w:val="single" w:color="221F1F"/>
        </w:rPr>
        <w:t> </w:t>
      </w:r>
      <w:r>
        <w:rPr>
          <w:color w:val="221F1F"/>
          <w:u w:val="single" w:color="221F1F"/>
        </w:rPr>
        <w:t>SOURCE</w:t>
      </w:r>
      <w:r>
        <w:rPr>
          <w:color w:val="221F1F"/>
          <w:u w:val="none"/>
        </w:rPr>
        <w:t> </w:t>
      </w:r>
      <w:r>
        <w:rPr>
          <w:color w:val="221F1F"/>
          <w:spacing w:val="-2"/>
          <w:u w:val="single" w:color="221F1F"/>
        </w:rPr>
        <w:t>70Z08536Q023467</w:t>
      </w:r>
    </w:p>
    <w:p>
      <w:pPr>
        <w:pStyle w:val="BodyText"/>
        <w:rPr>
          <w:b/>
        </w:rPr>
      </w:pPr>
    </w:p>
    <w:p>
      <w:pPr>
        <w:pStyle w:val="BodyText"/>
        <w:spacing w:before="9"/>
        <w:rPr>
          <w:b/>
        </w:rPr>
      </w:pPr>
    </w:p>
    <w:p>
      <w:pPr>
        <w:pStyle w:val="BodyText"/>
        <w:spacing w:line="259" w:lineRule="auto"/>
        <w:ind w:left="355" w:hanging="11"/>
      </w:pPr>
      <w:r>
        <w:rPr>
          <w:color w:val="221F1F"/>
        </w:rPr>
        <w:t>The</w:t>
      </w:r>
      <w:r>
        <w:rPr>
          <w:color w:val="221F1F"/>
          <w:spacing w:val="-1"/>
        </w:rPr>
        <w:t> </w:t>
      </w:r>
      <w:r>
        <w:rPr>
          <w:color w:val="221F1F"/>
        </w:rPr>
        <w:t>Department</w:t>
      </w:r>
      <w:r>
        <w:rPr>
          <w:color w:val="221F1F"/>
          <w:spacing w:val="-2"/>
        </w:rPr>
        <w:t> </w:t>
      </w:r>
      <w:r>
        <w:rPr>
          <w:color w:val="221F1F"/>
        </w:rPr>
        <w:t>of</w:t>
      </w:r>
      <w:r>
        <w:rPr>
          <w:color w:val="221F1F"/>
          <w:spacing w:val="-1"/>
        </w:rPr>
        <w:t> </w:t>
      </w:r>
      <w:r>
        <w:rPr>
          <w:color w:val="221F1F"/>
        </w:rPr>
        <w:t>Homeland</w:t>
      </w:r>
      <w:r>
        <w:rPr>
          <w:color w:val="221F1F"/>
          <w:spacing w:val="-2"/>
        </w:rPr>
        <w:t> </w:t>
      </w:r>
      <w:r>
        <w:rPr>
          <w:color w:val="221F1F"/>
        </w:rPr>
        <w:t>Security</w:t>
      </w:r>
      <w:r>
        <w:rPr>
          <w:color w:val="221F1F"/>
          <w:spacing w:val="-1"/>
        </w:rPr>
        <w:t> </w:t>
      </w:r>
      <w:r>
        <w:rPr>
          <w:color w:val="221F1F"/>
        </w:rPr>
        <w:t>{DHS},</w:t>
      </w:r>
      <w:r>
        <w:rPr>
          <w:color w:val="221F1F"/>
          <w:spacing w:val="-3"/>
        </w:rPr>
        <w:t> </w:t>
      </w:r>
      <w:r>
        <w:rPr>
          <w:color w:val="221F1F"/>
        </w:rPr>
        <w:t>United</w:t>
      </w:r>
      <w:r>
        <w:rPr>
          <w:color w:val="221F1F"/>
          <w:spacing w:val="-1"/>
        </w:rPr>
        <w:t> </w:t>
      </w:r>
      <w:r>
        <w:rPr>
          <w:color w:val="221F1F"/>
        </w:rPr>
        <w:t>States</w:t>
      </w:r>
      <w:r>
        <w:rPr>
          <w:color w:val="221F1F"/>
          <w:spacing w:val="-2"/>
        </w:rPr>
        <w:t> </w:t>
      </w:r>
      <w:r>
        <w:rPr>
          <w:color w:val="221F1F"/>
        </w:rPr>
        <w:t>Coast Guard</w:t>
      </w:r>
      <w:r>
        <w:rPr>
          <w:color w:val="221F1F"/>
          <w:spacing w:val="-5"/>
        </w:rPr>
        <w:t> </w:t>
      </w:r>
      <w:r>
        <w:rPr>
          <w:color w:val="221F1F"/>
        </w:rPr>
        <w:t>{USCG}</w:t>
      </w:r>
      <w:r>
        <w:rPr>
          <w:color w:val="221F1F"/>
          <w:spacing w:val="-2"/>
        </w:rPr>
        <w:t> </w:t>
      </w:r>
      <w:r>
        <w:rPr>
          <w:color w:val="221F1F"/>
        </w:rPr>
        <w:t>Surface Forces</w:t>
      </w:r>
      <w:r>
        <w:rPr>
          <w:color w:val="221F1F"/>
          <w:spacing w:val="-2"/>
        </w:rPr>
        <w:t> </w:t>
      </w:r>
      <w:r>
        <w:rPr>
          <w:color w:val="221F1F"/>
        </w:rPr>
        <w:t>Logistics Center</w:t>
      </w:r>
      <w:r>
        <w:rPr>
          <w:color w:val="221F1F"/>
          <w:spacing w:val="-6"/>
        </w:rPr>
        <w:t> </w:t>
      </w:r>
      <w:r>
        <w:rPr>
          <w:color w:val="221F1F"/>
        </w:rPr>
        <w:t>{SFLC},</w:t>
      </w:r>
      <w:r>
        <w:rPr>
          <w:color w:val="221F1F"/>
          <w:spacing w:val="-6"/>
        </w:rPr>
        <w:t> </w:t>
      </w:r>
      <w:r>
        <w:rPr>
          <w:color w:val="221F1F"/>
        </w:rPr>
        <w:t>located</w:t>
      </w:r>
      <w:r>
        <w:rPr>
          <w:color w:val="221F1F"/>
          <w:spacing w:val="-7"/>
        </w:rPr>
        <w:t> </w:t>
      </w:r>
      <w:r>
        <w:rPr>
          <w:color w:val="221F1F"/>
        </w:rPr>
        <w:t>at</w:t>
      </w:r>
      <w:r>
        <w:rPr>
          <w:color w:val="221F1F"/>
          <w:spacing w:val="-8"/>
        </w:rPr>
        <w:t> </w:t>
      </w:r>
      <w:r>
        <w:rPr>
          <w:color w:val="221F1F"/>
        </w:rPr>
        <w:t>1</w:t>
      </w:r>
      <w:r>
        <w:rPr>
          <w:color w:val="221F1F"/>
          <w:spacing w:val="-8"/>
        </w:rPr>
        <w:t> </w:t>
      </w:r>
      <w:r>
        <w:rPr>
          <w:color w:val="221F1F"/>
        </w:rPr>
        <w:t>Eagle</w:t>
      </w:r>
      <w:r>
        <w:rPr>
          <w:color w:val="221F1F"/>
          <w:spacing w:val="-6"/>
        </w:rPr>
        <w:t> </w:t>
      </w:r>
      <w:r>
        <w:rPr>
          <w:color w:val="221F1F"/>
        </w:rPr>
        <w:t>Road</w:t>
      </w:r>
      <w:r>
        <w:rPr>
          <w:color w:val="221F1F"/>
          <w:spacing w:val="-7"/>
        </w:rPr>
        <w:t> </w:t>
      </w:r>
      <w:r>
        <w:rPr>
          <w:color w:val="221F1F"/>
        </w:rPr>
        <w:t>Bldg.</w:t>
      </w:r>
      <w:r>
        <w:rPr>
          <w:color w:val="221F1F"/>
          <w:spacing w:val="-10"/>
        </w:rPr>
        <w:t> </w:t>
      </w:r>
      <w:r>
        <w:rPr>
          <w:color w:val="221F1F"/>
        </w:rPr>
        <w:t>55,</w:t>
      </w:r>
      <w:r>
        <w:rPr>
          <w:color w:val="221F1F"/>
          <w:spacing w:val="-6"/>
        </w:rPr>
        <w:t> </w:t>
      </w:r>
      <w:r>
        <w:rPr>
          <w:color w:val="221F1F"/>
        </w:rPr>
        <w:t>Alameda</w:t>
      </w:r>
      <w:r>
        <w:rPr>
          <w:color w:val="221F1F"/>
          <w:spacing w:val="-6"/>
        </w:rPr>
        <w:t> </w:t>
      </w:r>
      <w:r>
        <w:rPr>
          <w:color w:val="221F1F"/>
        </w:rPr>
        <w:t>CA</w:t>
      </w:r>
      <w:r>
        <w:rPr>
          <w:color w:val="221F1F"/>
          <w:spacing w:val="-6"/>
        </w:rPr>
        <w:t> </w:t>
      </w:r>
      <w:r>
        <w:rPr>
          <w:color w:val="221F1F"/>
        </w:rPr>
        <w:t>94501</w:t>
      </w:r>
      <w:r>
        <w:rPr>
          <w:color w:val="221F1F"/>
          <w:spacing w:val="-8"/>
        </w:rPr>
        <w:t> </w:t>
      </w:r>
      <w:r>
        <w:rPr>
          <w:color w:val="221F1F"/>
        </w:rPr>
        <w:t>is</w:t>
      </w:r>
      <w:r>
        <w:rPr>
          <w:color w:val="221F1F"/>
          <w:spacing w:val="-6"/>
        </w:rPr>
        <w:t> </w:t>
      </w:r>
      <w:r>
        <w:rPr>
          <w:color w:val="221F1F"/>
        </w:rPr>
        <w:t>issuing</w:t>
      </w:r>
      <w:r>
        <w:rPr>
          <w:color w:val="221F1F"/>
          <w:spacing w:val="-7"/>
        </w:rPr>
        <w:t> </w:t>
      </w:r>
      <w:r>
        <w:rPr>
          <w:color w:val="221F1F"/>
        </w:rPr>
        <w:t>this</w:t>
      </w:r>
      <w:r>
        <w:rPr>
          <w:color w:val="221F1F"/>
          <w:spacing w:val="-7"/>
        </w:rPr>
        <w:t> </w:t>
      </w:r>
      <w:r>
        <w:rPr>
          <w:color w:val="221F1F"/>
        </w:rPr>
        <w:t>Notice</w:t>
      </w:r>
      <w:r>
        <w:rPr>
          <w:color w:val="221F1F"/>
          <w:spacing w:val="-6"/>
        </w:rPr>
        <w:t> </w:t>
      </w:r>
      <w:r>
        <w:rPr>
          <w:color w:val="221F1F"/>
        </w:rPr>
        <w:t>of</w:t>
      </w:r>
      <w:r>
        <w:rPr>
          <w:color w:val="221F1F"/>
          <w:spacing w:val="-6"/>
        </w:rPr>
        <w:t> </w:t>
      </w:r>
      <w:r>
        <w:rPr>
          <w:color w:val="221F1F"/>
        </w:rPr>
        <w:t>Intent</w:t>
      </w:r>
      <w:r>
        <w:rPr>
          <w:color w:val="221F1F"/>
          <w:spacing w:val="-7"/>
        </w:rPr>
        <w:t> </w:t>
      </w:r>
      <w:r>
        <w:rPr>
          <w:color w:val="221F1F"/>
        </w:rPr>
        <w:t>{NOI}</w:t>
      </w:r>
      <w:r>
        <w:rPr>
          <w:color w:val="221F1F"/>
          <w:spacing w:val="-5"/>
        </w:rPr>
        <w:t> </w:t>
      </w:r>
      <w:r>
        <w:rPr>
          <w:color w:val="221F1F"/>
        </w:rPr>
        <w:t>to inform industry contractors of the Government's intent to Award a Sole Source Firm Fixed Price {FFP} Contract IAW Federal Acquisition Regulation {FAR} Part 12 and 13 procedures.</w:t>
      </w:r>
    </w:p>
    <w:p>
      <w:pPr>
        <w:pStyle w:val="BodyText"/>
        <w:spacing w:line="403" w:lineRule="auto" w:before="156"/>
        <w:ind w:left="347" w:right="631" w:hanging="1"/>
      </w:pPr>
      <w:r>
        <w:rPr>
          <w:color w:val="221F1F"/>
        </w:rPr>
        <w:t>The</w:t>
      </w:r>
      <w:r>
        <w:rPr>
          <w:color w:val="221F1F"/>
          <w:spacing w:val="-1"/>
        </w:rPr>
        <w:t> </w:t>
      </w:r>
      <w:r>
        <w:rPr>
          <w:color w:val="221F1F"/>
        </w:rPr>
        <w:t>intended</w:t>
      </w:r>
      <w:r>
        <w:rPr>
          <w:color w:val="221F1F"/>
          <w:spacing w:val="-2"/>
        </w:rPr>
        <w:t> </w:t>
      </w:r>
      <w:r>
        <w:rPr>
          <w:color w:val="221F1F"/>
        </w:rPr>
        <w:t>Contractor</w:t>
      </w:r>
      <w:r>
        <w:rPr>
          <w:color w:val="221F1F"/>
          <w:spacing w:val="-5"/>
        </w:rPr>
        <w:t> </w:t>
      </w:r>
      <w:r>
        <w:rPr>
          <w:color w:val="221F1F"/>
        </w:rPr>
        <w:t>ALLIED SYSTEMS CO, 21433 SW Oregon ST,</w:t>
      </w:r>
      <w:r>
        <w:rPr>
          <w:color w:val="221F1F"/>
          <w:spacing w:val="-12"/>
        </w:rPr>
        <w:t> </w:t>
      </w:r>
      <w:r>
        <w:rPr>
          <w:color w:val="221F1F"/>
        </w:rPr>
        <w:t>OR</w:t>
      </w:r>
      <w:r>
        <w:rPr>
          <w:color w:val="221F1F"/>
          <w:spacing w:val="-13"/>
        </w:rPr>
        <w:t> </w:t>
      </w:r>
      <w:r>
        <w:rPr>
          <w:color w:val="221F1F"/>
        </w:rPr>
        <w:t>97140</w:t>
      </w:r>
      <w:r>
        <w:rPr>
          <w:color w:val="221F1F"/>
          <w:spacing w:val="-11"/>
        </w:rPr>
        <w:t> </w:t>
      </w:r>
      <w:r>
        <w:rPr>
          <w:color w:val="221F1F"/>
        </w:rPr>
        <w:t>United States. USCG</w:t>
      </w:r>
      <w:r>
        <w:rPr>
          <w:color w:val="221F1F"/>
          <w:spacing w:val="-11"/>
        </w:rPr>
        <w:t> </w:t>
      </w:r>
      <w:r>
        <w:rPr>
          <w:color w:val="221F1F"/>
        </w:rPr>
        <w:t>SFLC</w:t>
      </w:r>
      <w:r>
        <w:rPr>
          <w:color w:val="221F1F"/>
          <w:spacing w:val="-11"/>
        </w:rPr>
        <w:t> </w:t>
      </w:r>
      <w:r>
        <w:rPr>
          <w:color w:val="221F1F"/>
        </w:rPr>
        <w:t>requires:</w:t>
      </w:r>
      <w:r>
        <w:rPr>
          <w:color w:val="221F1F"/>
          <w:spacing w:val="-9"/>
        </w:rPr>
        <w:t> </w:t>
      </w:r>
      <w:r>
        <w:rPr>
          <w:color w:val="221F1F"/>
        </w:rPr>
        <w:t>USCG</w:t>
      </w:r>
      <w:r>
        <w:rPr>
          <w:color w:val="221F1F"/>
          <w:spacing w:val="-2"/>
        </w:rPr>
        <w:t> </w:t>
      </w:r>
      <w:r>
        <w:rPr>
          <w:color w:val="221F1F"/>
        </w:rPr>
        <w:t>YARD</w:t>
      </w:r>
      <w:r>
        <w:rPr>
          <w:color w:val="221F1F"/>
          <w:spacing w:val="-4"/>
        </w:rPr>
        <w:t> </w:t>
      </w:r>
      <w:r>
        <w:rPr>
          <w:color w:val="221F1F"/>
        </w:rPr>
        <w:t>SFLC</w:t>
      </w:r>
      <w:r>
        <w:rPr>
          <w:color w:val="221F1F"/>
          <w:spacing w:val="-4"/>
        </w:rPr>
        <w:t> </w:t>
      </w:r>
      <w:r>
        <w:rPr>
          <w:color w:val="221F1F"/>
        </w:rPr>
        <w:t>LRE</w:t>
      </w:r>
      <w:r>
        <w:rPr>
          <w:color w:val="221F1F"/>
          <w:spacing w:val="-4"/>
        </w:rPr>
        <w:t> </w:t>
      </w:r>
      <w:r>
        <w:rPr>
          <w:color w:val="221F1F"/>
        </w:rPr>
        <w:t>BALTIMORE,</w:t>
      </w:r>
      <w:r>
        <w:rPr>
          <w:color w:val="221F1F"/>
          <w:spacing w:val="-4"/>
        </w:rPr>
        <w:t> </w:t>
      </w:r>
      <w:r>
        <w:rPr>
          <w:color w:val="221F1F"/>
        </w:rPr>
        <w:t>procurement</w:t>
      </w:r>
      <w:r>
        <w:rPr>
          <w:color w:val="221F1F"/>
          <w:spacing w:val="-4"/>
        </w:rPr>
        <w:t> </w:t>
      </w:r>
      <w:r>
        <w:rPr>
          <w:color w:val="221F1F"/>
        </w:rPr>
        <w:t>of</w:t>
      </w:r>
      <w:r>
        <w:rPr>
          <w:color w:val="221F1F"/>
          <w:spacing w:val="-4"/>
        </w:rPr>
        <w:t> </w:t>
      </w:r>
      <w:r>
        <w:rPr>
          <w:color w:val="221F1F"/>
        </w:rPr>
        <w:t>dual</w:t>
      </w:r>
      <w:r>
        <w:rPr>
          <w:color w:val="221F1F"/>
          <w:spacing w:val="-4"/>
        </w:rPr>
        <w:t> </w:t>
      </w:r>
      <w:r>
        <w:rPr>
          <w:color w:val="221F1F"/>
        </w:rPr>
        <w:t>point</w:t>
      </w:r>
      <w:r>
        <w:rPr>
          <w:color w:val="221F1F"/>
          <w:spacing w:val="-4"/>
        </w:rPr>
        <w:t> </w:t>
      </w:r>
      <w:r>
        <w:rPr>
          <w:color w:val="221F1F"/>
        </w:rPr>
        <w:t>flood</w:t>
      </w:r>
      <w:r>
        <w:rPr>
          <w:color w:val="221F1F"/>
          <w:spacing w:val="-4"/>
        </w:rPr>
        <w:t> </w:t>
      </w:r>
      <w:r>
        <w:rPr>
          <w:color w:val="221F1F"/>
        </w:rPr>
        <w:t>lights.</w:t>
      </w:r>
    </w:p>
    <w:p>
      <w:pPr>
        <w:pStyle w:val="BodyText"/>
        <w:spacing w:line="259" w:lineRule="auto"/>
        <w:ind w:left="357" w:hanging="10"/>
      </w:pPr>
      <w:r>
        <w:rPr>
          <w:color w:val="221F1F"/>
        </w:rPr>
        <w:t>This</w:t>
      </w:r>
      <w:r>
        <w:rPr>
          <w:color w:val="221F1F"/>
          <w:spacing w:val="-4"/>
        </w:rPr>
        <w:t> </w:t>
      </w:r>
      <w:r>
        <w:rPr>
          <w:color w:val="221F1F"/>
        </w:rPr>
        <w:t>procurement</w:t>
      </w:r>
      <w:r>
        <w:rPr>
          <w:color w:val="221F1F"/>
          <w:spacing w:val="-3"/>
        </w:rPr>
        <w:t> </w:t>
      </w:r>
      <w:r>
        <w:rPr>
          <w:color w:val="221F1F"/>
        </w:rPr>
        <w:t>is</w:t>
      </w:r>
      <w:r>
        <w:rPr>
          <w:color w:val="221F1F"/>
          <w:spacing w:val="-4"/>
        </w:rPr>
        <w:t> </w:t>
      </w:r>
      <w:r>
        <w:rPr>
          <w:color w:val="221F1F"/>
        </w:rPr>
        <w:t>being</w:t>
      </w:r>
      <w:r>
        <w:rPr>
          <w:color w:val="221F1F"/>
          <w:spacing w:val="-3"/>
        </w:rPr>
        <w:t> </w:t>
      </w:r>
      <w:r>
        <w:rPr>
          <w:color w:val="221F1F"/>
        </w:rPr>
        <w:t>conducted</w:t>
      </w:r>
      <w:r>
        <w:rPr>
          <w:color w:val="221F1F"/>
          <w:spacing w:val="-3"/>
        </w:rPr>
        <w:t> </w:t>
      </w:r>
      <w:r>
        <w:rPr>
          <w:color w:val="221F1F"/>
        </w:rPr>
        <w:t>using</w:t>
      </w:r>
      <w:r>
        <w:rPr>
          <w:color w:val="221F1F"/>
          <w:spacing w:val="-4"/>
        </w:rPr>
        <w:t> </w:t>
      </w:r>
      <w:r>
        <w:rPr>
          <w:color w:val="221F1F"/>
        </w:rPr>
        <w:t>commercial</w:t>
      </w:r>
      <w:r>
        <w:rPr>
          <w:color w:val="221F1F"/>
          <w:spacing w:val="-4"/>
        </w:rPr>
        <w:t> </w:t>
      </w:r>
      <w:r>
        <w:rPr>
          <w:color w:val="221F1F"/>
        </w:rPr>
        <w:t>item</w:t>
      </w:r>
      <w:r>
        <w:rPr>
          <w:color w:val="221F1F"/>
          <w:spacing w:val="-3"/>
        </w:rPr>
        <w:t> </w:t>
      </w:r>
      <w:r>
        <w:rPr>
          <w:color w:val="221F1F"/>
        </w:rPr>
        <w:t>procedures</w:t>
      </w:r>
      <w:r>
        <w:rPr>
          <w:color w:val="221F1F"/>
          <w:spacing w:val="-4"/>
        </w:rPr>
        <w:t> </w:t>
      </w:r>
      <w:r>
        <w:rPr>
          <w:color w:val="221F1F"/>
        </w:rPr>
        <w:t>pursuant</w:t>
      </w:r>
      <w:r>
        <w:rPr>
          <w:color w:val="221F1F"/>
          <w:spacing w:val="-4"/>
        </w:rPr>
        <w:t> </w:t>
      </w:r>
      <w:r>
        <w:rPr>
          <w:color w:val="221F1F"/>
        </w:rPr>
        <w:t>to</w:t>
      </w:r>
      <w:r>
        <w:rPr>
          <w:color w:val="221F1F"/>
          <w:spacing w:val="-2"/>
        </w:rPr>
        <w:t> </w:t>
      </w:r>
      <w:r>
        <w:rPr>
          <w:color w:val="221F1F"/>
        </w:rPr>
        <w:t>Federal</w:t>
      </w:r>
      <w:r>
        <w:rPr>
          <w:color w:val="221F1F"/>
          <w:spacing w:val="-4"/>
        </w:rPr>
        <w:t> </w:t>
      </w:r>
      <w:r>
        <w:rPr>
          <w:color w:val="221F1F"/>
        </w:rPr>
        <w:t>Acquisition </w:t>
      </w:r>
      <w:r>
        <w:rPr>
          <w:color w:val="221F1F"/>
          <w:spacing w:val="-2"/>
        </w:rPr>
        <w:t>Regulation</w:t>
      </w:r>
      <w:r>
        <w:rPr>
          <w:color w:val="221F1F"/>
          <w:spacing w:val="-5"/>
        </w:rPr>
        <w:t> </w:t>
      </w:r>
      <w:r>
        <w:rPr>
          <w:color w:val="221F1F"/>
          <w:spacing w:val="-2"/>
        </w:rPr>
        <w:t>{FAR}</w:t>
      </w:r>
      <w:r>
        <w:rPr>
          <w:color w:val="221F1F"/>
          <w:spacing w:val="-5"/>
        </w:rPr>
        <w:t> </w:t>
      </w:r>
      <w:r>
        <w:rPr>
          <w:color w:val="221F1F"/>
          <w:spacing w:val="-2"/>
        </w:rPr>
        <w:t>Part</w:t>
      </w:r>
      <w:r>
        <w:rPr>
          <w:color w:val="221F1F"/>
          <w:spacing w:val="-4"/>
        </w:rPr>
        <w:t> </w:t>
      </w:r>
      <w:r>
        <w:rPr>
          <w:color w:val="221F1F"/>
          <w:spacing w:val="-2"/>
        </w:rPr>
        <w:t>12</w:t>
      </w:r>
      <w:r>
        <w:rPr>
          <w:color w:val="221F1F"/>
          <w:spacing w:val="-4"/>
        </w:rPr>
        <w:t> </w:t>
      </w:r>
      <w:r>
        <w:rPr>
          <w:color w:val="221F1F"/>
          <w:spacing w:val="-2"/>
        </w:rPr>
        <w:t>and</w:t>
      </w:r>
      <w:r>
        <w:rPr>
          <w:color w:val="221F1F"/>
          <w:spacing w:val="-4"/>
        </w:rPr>
        <w:t> </w:t>
      </w:r>
      <w:r>
        <w:rPr>
          <w:color w:val="221F1F"/>
          <w:spacing w:val="-2"/>
        </w:rPr>
        <w:t>FAR</w:t>
      </w:r>
      <w:r>
        <w:rPr>
          <w:color w:val="221F1F"/>
          <w:spacing w:val="-5"/>
        </w:rPr>
        <w:t> </w:t>
      </w:r>
      <w:r>
        <w:rPr>
          <w:color w:val="221F1F"/>
          <w:spacing w:val="-2"/>
        </w:rPr>
        <w:t>Part</w:t>
      </w:r>
      <w:r>
        <w:rPr>
          <w:color w:val="221F1F"/>
          <w:spacing w:val="-5"/>
        </w:rPr>
        <w:t> </w:t>
      </w:r>
      <w:r>
        <w:rPr>
          <w:color w:val="221F1F"/>
          <w:spacing w:val="-2"/>
        </w:rPr>
        <w:t>13,</w:t>
      </w:r>
      <w:r>
        <w:rPr>
          <w:color w:val="221F1F"/>
          <w:spacing w:val="-4"/>
        </w:rPr>
        <w:t> </w:t>
      </w:r>
      <w:r>
        <w:rPr>
          <w:color w:val="221F1F"/>
          <w:spacing w:val="-2"/>
        </w:rPr>
        <w:t>specifically</w:t>
      </w:r>
      <w:r>
        <w:rPr>
          <w:color w:val="221F1F"/>
          <w:spacing w:val="-3"/>
        </w:rPr>
        <w:t> </w:t>
      </w:r>
      <w:r>
        <w:rPr>
          <w:color w:val="221F1F"/>
          <w:spacing w:val="-2"/>
        </w:rPr>
        <w:t>FAR</w:t>
      </w:r>
      <w:r>
        <w:rPr>
          <w:color w:val="221F1F"/>
          <w:spacing w:val="-5"/>
        </w:rPr>
        <w:t> </w:t>
      </w:r>
      <w:r>
        <w:rPr>
          <w:color w:val="221F1F"/>
          <w:spacing w:val="-2"/>
        </w:rPr>
        <w:t>13.106-1{b}{1},</w:t>
      </w:r>
      <w:r>
        <w:rPr>
          <w:color w:val="221F1F"/>
          <w:spacing w:val="-5"/>
        </w:rPr>
        <w:t> </w:t>
      </w:r>
      <w:r>
        <w:rPr>
          <w:color w:val="221F1F"/>
          <w:spacing w:val="-2"/>
        </w:rPr>
        <w:t>allowing</w:t>
      </w:r>
      <w:r>
        <w:rPr>
          <w:color w:val="221F1F"/>
          <w:spacing w:val="-6"/>
        </w:rPr>
        <w:t> </w:t>
      </w:r>
      <w:r>
        <w:rPr>
          <w:color w:val="221F1F"/>
          <w:spacing w:val="-2"/>
        </w:rPr>
        <w:t>the</w:t>
      </w:r>
      <w:r>
        <w:rPr>
          <w:color w:val="221F1F"/>
          <w:spacing w:val="-3"/>
        </w:rPr>
        <w:t> </w:t>
      </w:r>
      <w:r>
        <w:rPr>
          <w:color w:val="221F1F"/>
          <w:spacing w:val="-2"/>
        </w:rPr>
        <w:t>Contracting</w:t>
      </w:r>
      <w:r>
        <w:rPr>
          <w:color w:val="221F1F"/>
          <w:spacing w:val="-4"/>
        </w:rPr>
        <w:t> </w:t>
      </w:r>
      <w:r>
        <w:rPr>
          <w:color w:val="221F1F"/>
          <w:spacing w:val="-2"/>
        </w:rPr>
        <w:t>Officer</w:t>
      </w:r>
    </w:p>
    <w:p>
      <w:pPr>
        <w:pStyle w:val="BodyText"/>
        <w:spacing w:line="268" w:lineRule="exact"/>
        <w:ind w:left="356"/>
      </w:pPr>
      <w:r>
        <w:rPr>
          <w:color w:val="221F1F"/>
        </w:rPr>
        <w:t>{KO}</w:t>
      </w:r>
      <w:r>
        <w:rPr>
          <w:color w:val="221F1F"/>
          <w:spacing w:val="-12"/>
        </w:rPr>
        <w:t> </w:t>
      </w:r>
      <w:r>
        <w:rPr>
          <w:color w:val="221F1F"/>
        </w:rPr>
        <w:t>to</w:t>
      </w:r>
      <w:r>
        <w:rPr>
          <w:color w:val="221F1F"/>
          <w:spacing w:val="-10"/>
        </w:rPr>
        <w:t> </w:t>
      </w:r>
      <w:r>
        <w:rPr>
          <w:color w:val="221F1F"/>
        </w:rPr>
        <w:t>solicit</w:t>
      </w:r>
      <w:r>
        <w:rPr>
          <w:color w:val="221F1F"/>
          <w:spacing w:val="-11"/>
        </w:rPr>
        <w:t> </w:t>
      </w:r>
      <w:r>
        <w:rPr>
          <w:color w:val="221F1F"/>
        </w:rPr>
        <w:t>from</w:t>
      </w:r>
      <w:r>
        <w:rPr>
          <w:color w:val="221F1F"/>
          <w:spacing w:val="-13"/>
        </w:rPr>
        <w:t> </w:t>
      </w:r>
      <w:r>
        <w:rPr>
          <w:color w:val="221F1F"/>
        </w:rPr>
        <w:t>one</w:t>
      </w:r>
      <w:r>
        <w:rPr>
          <w:color w:val="221F1F"/>
          <w:spacing w:val="-11"/>
        </w:rPr>
        <w:t> </w:t>
      </w:r>
      <w:r>
        <w:rPr>
          <w:color w:val="221F1F"/>
          <w:spacing w:val="-2"/>
        </w:rPr>
        <w:t>source.</w:t>
      </w:r>
    </w:p>
    <w:p>
      <w:pPr>
        <w:pStyle w:val="BodyText"/>
        <w:spacing w:line="259" w:lineRule="auto" w:before="177"/>
        <w:ind w:left="364" w:right="9" w:hanging="8"/>
        <w:jc w:val="both"/>
      </w:pPr>
      <w:r>
        <w:rPr>
          <w:color w:val="221F1F"/>
        </w:rPr>
        <w:t>The</w:t>
      </w:r>
      <w:r>
        <w:rPr>
          <w:color w:val="221F1F"/>
          <w:spacing w:val="-6"/>
        </w:rPr>
        <w:t> </w:t>
      </w:r>
      <w:r>
        <w:rPr>
          <w:color w:val="221F1F"/>
        </w:rPr>
        <w:t>North</w:t>
      </w:r>
      <w:r>
        <w:rPr>
          <w:color w:val="221F1F"/>
          <w:spacing w:val="-6"/>
        </w:rPr>
        <w:t> </w:t>
      </w:r>
      <w:r>
        <w:rPr>
          <w:color w:val="221F1F"/>
        </w:rPr>
        <w:t>American</w:t>
      </w:r>
      <w:r>
        <w:rPr>
          <w:color w:val="221F1F"/>
          <w:spacing w:val="-5"/>
        </w:rPr>
        <w:t> </w:t>
      </w:r>
      <w:r>
        <w:rPr>
          <w:color w:val="221F1F"/>
        </w:rPr>
        <w:t>Industry</w:t>
      </w:r>
      <w:r>
        <w:rPr>
          <w:color w:val="221F1F"/>
          <w:spacing w:val="-5"/>
        </w:rPr>
        <w:t> </w:t>
      </w:r>
      <w:r>
        <w:rPr>
          <w:color w:val="221F1F"/>
        </w:rPr>
        <w:t>Classification</w:t>
      </w:r>
      <w:r>
        <w:rPr>
          <w:color w:val="221F1F"/>
          <w:spacing w:val="-6"/>
        </w:rPr>
        <w:t> </w:t>
      </w:r>
      <w:r>
        <w:rPr>
          <w:color w:val="221F1F"/>
        </w:rPr>
        <w:t>System</w:t>
      </w:r>
      <w:r>
        <w:rPr>
          <w:color w:val="221F1F"/>
          <w:spacing w:val="-6"/>
        </w:rPr>
        <w:t> </w:t>
      </w:r>
      <w:r>
        <w:rPr>
          <w:color w:val="221F1F"/>
        </w:rPr>
        <w:t>{NAICS}</w:t>
      </w:r>
      <w:r>
        <w:rPr>
          <w:color w:val="221F1F"/>
          <w:spacing w:val="-5"/>
        </w:rPr>
        <w:t> </w:t>
      </w:r>
      <w:r>
        <w:rPr>
          <w:color w:val="221F1F"/>
        </w:rPr>
        <w:t>for</w:t>
      </w:r>
      <w:r>
        <w:rPr>
          <w:color w:val="221F1F"/>
          <w:spacing w:val="-5"/>
        </w:rPr>
        <w:t> </w:t>
      </w:r>
      <w:r>
        <w:rPr>
          <w:color w:val="221F1F"/>
        </w:rPr>
        <w:t>this</w:t>
      </w:r>
      <w:r>
        <w:rPr>
          <w:color w:val="221F1F"/>
          <w:spacing w:val="-5"/>
        </w:rPr>
        <w:t> </w:t>
      </w:r>
      <w:r>
        <w:rPr>
          <w:color w:val="221F1F"/>
        </w:rPr>
        <w:t>requirement</w:t>
      </w:r>
      <w:r>
        <w:rPr>
          <w:color w:val="221F1F"/>
          <w:spacing w:val="-6"/>
        </w:rPr>
        <w:t> </w:t>
      </w:r>
      <w:r>
        <w:rPr>
          <w:color w:val="221F1F"/>
        </w:rPr>
        <w:t>is</w:t>
      </w:r>
      <w:r>
        <w:rPr>
          <w:color w:val="221F1F"/>
          <w:spacing w:val="-5"/>
        </w:rPr>
        <w:t> </w:t>
      </w:r>
      <w:r>
        <w:rPr>
          <w:color w:val="221F1F"/>
        </w:rPr>
        <w:t>336611</w:t>
      </w:r>
      <w:r>
        <w:rPr>
          <w:color w:val="221F1F"/>
          <w:spacing w:val="-8"/>
        </w:rPr>
        <w:t> </w:t>
      </w:r>
      <w:r>
        <w:rPr>
          <w:color w:val="221F1F"/>
        </w:rPr>
        <w:t>- Ship</w:t>
      </w:r>
      <w:r>
        <w:rPr>
          <w:color w:val="221F1F"/>
          <w:spacing w:val="31"/>
        </w:rPr>
        <w:t> </w:t>
      </w:r>
      <w:r>
        <w:rPr>
          <w:color w:val="221F1F"/>
        </w:rPr>
        <w:t>Building and</w:t>
      </w:r>
      <w:r>
        <w:rPr>
          <w:color w:val="221F1F"/>
          <w:spacing w:val="-2"/>
        </w:rPr>
        <w:t> </w:t>
      </w:r>
      <w:r>
        <w:rPr>
          <w:color w:val="221F1F"/>
        </w:rPr>
        <w:t>Repairing.</w:t>
      </w:r>
      <w:r>
        <w:rPr>
          <w:color w:val="221F1F"/>
          <w:spacing w:val="-3"/>
        </w:rPr>
        <w:t> </w:t>
      </w:r>
      <w:r>
        <w:rPr>
          <w:color w:val="221F1F"/>
        </w:rPr>
        <w:t>The</w:t>
      </w:r>
      <w:r>
        <w:rPr>
          <w:color w:val="221F1F"/>
          <w:spacing w:val="-2"/>
        </w:rPr>
        <w:t> </w:t>
      </w:r>
      <w:r>
        <w:rPr>
          <w:color w:val="221F1F"/>
        </w:rPr>
        <w:t>Product</w:t>
      </w:r>
      <w:r>
        <w:rPr>
          <w:color w:val="221F1F"/>
          <w:spacing w:val="-3"/>
        </w:rPr>
        <w:t> </w:t>
      </w:r>
      <w:r>
        <w:rPr>
          <w:color w:val="221F1F"/>
        </w:rPr>
        <w:t>of</w:t>
      </w:r>
      <w:r>
        <w:rPr>
          <w:color w:val="221F1F"/>
          <w:spacing w:val="-3"/>
        </w:rPr>
        <w:t> </w:t>
      </w:r>
      <w:r>
        <w:rPr>
          <w:color w:val="221F1F"/>
        </w:rPr>
        <w:t>Service</w:t>
      </w:r>
      <w:r>
        <w:rPr>
          <w:color w:val="221F1F"/>
          <w:spacing w:val="-2"/>
        </w:rPr>
        <w:t> </w:t>
      </w:r>
      <w:r>
        <w:rPr>
          <w:color w:val="221F1F"/>
        </w:rPr>
        <w:t>Code</w:t>
      </w:r>
      <w:r>
        <w:rPr>
          <w:color w:val="221F1F"/>
          <w:spacing w:val="-3"/>
        </w:rPr>
        <w:t> </w:t>
      </w:r>
      <w:r>
        <w:rPr>
          <w:color w:val="221F1F"/>
        </w:rPr>
        <w:t>for</w:t>
      </w:r>
      <w:r>
        <w:rPr>
          <w:color w:val="221F1F"/>
          <w:spacing w:val="-3"/>
        </w:rPr>
        <w:t> </w:t>
      </w:r>
      <w:r>
        <w:rPr>
          <w:color w:val="221F1F"/>
        </w:rPr>
        <w:t>this</w:t>
      </w:r>
      <w:r>
        <w:rPr>
          <w:color w:val="221F1F"/>
          <w:spacing w:val="-3"/>
        </w:rPr>
        <w:t> </w:t>
      </w:r>
      <w:r>
        <w:rPr>
          <w:color w:val="221F1F"/>
        </w:rPr>
        <w:t>requirement</w:t>
      </w:r>
      <w:r>
        <w:rPr>
          <w:color w:val="221F1F"/>
          <w:spacing w:val="-2"/>
        </w:rPr>
        <w:t> </w:t>
      </w:r>
      <w:r>
        <w:rPr>
          <w:color w:val="221F1F"/>
        </w:rPr>
        <w:t>is</w:t>
      </w:r>
      <w:r>
        <w:rPr>
          <w:color w:val="221F1F"/>
          <w:spacing w:val="-1"/>
        </w:rPr>
        <w:t> </w:t>
      </w:r>
      <w:r>
        <w:rPr>
          <w:color w:val="221F1F"/>
        </w:rPr>
        <w:t>2090.</w:t>
      </w:r>
      <w:r>
        <w:rPr>
          <w:color w:val="221F1F"/>
          <w:spacing w:val="-3"/>
        </w:rPr>
        <w:t> </w:t>
      </w:r>
      <w:r>
        <w:rPr>
          <w:color w:val="221F1F"/>
        </w:rPr>
        <w:t>This will</w:t>
      </w:r>
      <w:r>
        <w:rPr>
          <w:color w:val="221F1F"/>
          <w:spacing w:val="-3"/>
        </w:rPr>
        <w:t> </w:t>
      </w:r>
      <w:r>
        <w:rPr>
          <w:color w:val="221F1F"/>
        </w:rPr>
        <w:t>not</w:t>
      </w:r>
      <w:r>
        <w:rPr>
          <w:color w:val="221F1F"/>
          <w:spacing w:val="-2"/>
        </w:rPr>
        <w:t> </w:t>
      </w:r>
      <w:r>
        <w:rPr>
          <w:color w:val="221F1F"/>
        </w:rPr>
        <w:t>be</w:t>
      </w:r>
      <w:r>
        <w:rPr>
          <w:color w:val="221F1F"/>
          <w:spacing w:val="-2"/>
        </w:rPr>
        <w:t> </w:t>
      </w:r>
      <w:r>
        <w:rPr>
          <w:color w:val="221F1F"/>
        </w:rPr>
        <w:t>a</w:t>
      </w:r>
      <w:r>
        <w:rPr>
          <w:color w:val="221F1F"/>
          <w:spacing w:val="-1"/>
        </w:rPr>
        <w:t> </w:t>
      </w:r>
      <w:r>
        <w:rPr>
          <w:color w:val="221F1F"/>
        </w:rPr>
        <w:t>small</w:t>
      </w:r>
      <w:r>
        <w:rPr>
          <w:color w:val="221F1F"/>
          <w:spacing w:val="-3"/>
        </w:rPr>
        <w:t> </w:t>
      </w:r>
      <w:r>
        <w:rPr>
          <w:color w:val="221F1F"/>
        </w:rPr>
        <w:t>business under the Small Business Administration {SBA} size standard for this sector.</w:t>
      </w:r>
    </w:p>
    <w:p>
      <w:pPr>
        <w:pStyle w:val="BodyText"/>
        <w:spacing w:line="259" w:lineRule="auto" w:before="157"/>
        <w:ind w:left="354" w:hanging="10"/>
      </w:pPr>
      <w:r>
        <w:rPr>
          <w:color w:val="221F1F"/>
        </w:rPr>
        <w:t>This notice of intent is neither a formal solicitation nor a request for competitive proposals. No solicitation document is available, and telephone requests will not be honored. No award will</w:t>
      </w:r>
      <w:r>
        <w:rPr>
          <w:color w:val="221F1F"/>
          <w:spacing w:val="-1"/>
        </w:rPr>
        <w:t> </w:t>
      </w:r>
      <w:r>
        <w:rPr>
          <w:color w:val="221F1F"/>
        </w:rPr>
        <w:t>be made on</w:t>
      </w:r>
      <w:r>
        <w:rPr>
          <w:color w:val="221F1F"/>
          <w:spacing w:val="-3"/>
        </w:rPr>
        <w:t> </w:t>
      </w:r>
      <w:r>
        <w:rPr>
          <w:color w:val="221F1F"/>
        </w:rPr>
        <w:t>the</w:t>
      </w:r>
      <w:r>
        <w:rPr>
          <w:color w:val="221F1F"/>
          <w:spacing w:val="-3"/>
        </w:rPr>
        <w:t> </w:t>
      </w:r>
      <w:r>
        <w:rPr>
          <w:color w:val="221F1F"/>
        </w:rPr>
        <w:t>basis</w:t>
      </w:r>
      <w:r>
        <w:rPr>
          <w:color w:val="221F1F"/>
          <w:spacing w:val="-3"/>
        </w:rPr>
        <w:t> </w:t>
      </w:r>
      <w:r>
        <w:rPr>
          <w:color w:val="221F1F"/>
        </w:rPr>
        <w:t>of</w:t>
      </w:r>
      <w:r>
        <w:rPr>
          <w:color w:val="221F1F"/>
          <w:spacing w:val="-1"/>
        </w:rPr>
        <w:t> </w:t>
      </w:r>
      <w:r>
        <w:rPr>
          <w:color w:val="221F1F"/>
        </w:rPr>
        <w:t>unsolicited</w:t>
      </w:r>
      <w:r>
        <w:rPr>
          <w:color w:val="221F1F"/>
          <w:spacing w:val="-5"/>
        </w:rPr>
        <w:t> </w:t>
      </w:r>
      <w:r>
        <w:rPr>
          <w:color w:val="221F1F"/>
        </w:rPr>
        <w:t>quotations</w:t>
      </w:r>
      <w:r>
        <w:rPr>
          <w:color w:val="221F1F"/>
          <w:spacing w:val="-2"/>
        </w:rPr>
        <w:t> </w:t>
      </w:r>
      <w:r>
        <w:rPr>
          <w:color w:val="221F1F"/>
        </w:rPr>
        <w:t>or offers</w:t>
      </w:r>
      <w:r>
        <w:rPr>
          <w:color w:val="221F1F"/>
          <w:spacing w:val="-1"/>
        </w:rPr>
        <w:t> </w:t>
      </w:r>
      <w:r>
        <w:rPr>
          <w:color w:val="221F1F"/>
        </w:rPr>
        <w:t>received</w:t>
      </w:r>
      <w:r>
        <w:rPr>
          <w:color w:val="221F1F"/>
          <w:spacing w:val="-3"/>
        </w:rPr>
        <w:t> </w:t>
      </w:r>
      <w:r>
        <w:rPr>
          <w:color w:val="221F1F"/>
        </w:rPr>
        <w:t>in</w:t>
      </w:r>
      <w:r>
        <w:rPr>
          <w:color w:val="221F1F"/>
          <w:spacing w:val="-3"/>
        </w:rPr>
        <w:t> </w:t>
      </w:r>
      <w:r>
        <w:rPr>
          <w:color w:val="221F1F"/>
        </w:rPr>
        <w:t>response</w:t>
      </w:r>
      <w:r>
        <w:rPr>
          <w:color w:val="221F1F"/>
          <w:spacing w:val="-1"/>
        </w:rPr>
        <w:t> </w:t>
      </w:r>
      <w:r>
        <w:rPr>
          <w:color w:val="221F1F"/>
        </w:rPr>
        <w:t>to</w:t>
      </w:r>
      <w:r>
        <w:rPr>
          <w:color w:val="221F1F"/>
          <w:spacing w:val="-1"/>
        </w:rPr>
        <w:t> </w:t>
      </w:r>
      <w:r>
        <w:rPr>
          <w:color w:val="221F1F"/>
        </w:rPr>
        <w:t>this</w:t>
      </w:r>
      <w:r>
        <w:rPr>
          <w:color w:val="221F1F"/>
          <w:spacing w:val="-1"/>
        </w:rPr>
        <w:t> </w:t>
      </w:r>
      <w:r>
        <w:rPr>
          <w:color w:val="221F1F"/>
        </w:rPr>
        <w:t>notice.</w:t>
      </w:r>
      <w:r>
        <w:rPr>
          <w:color w:val="221F1F"/>
          <w:spacing w:val="-3"/>
        </w:rPr>
        <w:t> </w:t>
      </w:r>
      <w:r>
        <w:rPr>
          <w:color w:val="221F1F"/>
        </w:rPr>
        <w:t>Any</w:t>
      </w:r>
      <w:r>
        <w:rPr>
          <w:color w:val="221F1F"/>
          <w:spacing w:val="-1"/>
        </w:rPr>
        <w:t> </w:t>
      </w:r>
      <w:r>
        <w:rPr>
          <w:color w:val="221F1F"/>
        </w:rPr>
        <w:t>response</w:t>
      </w:r>
      <w:r>
        <w:rPr>
          <w:color w:val="221F1F"/>
          <w:spacing w:val="-1"/>
        </w:rPr>
        <w:t> </w:t>
      </w:r>
      <w:r>
        <w:rPr>
          <w:color w:val="221F1F"/>
        </w:rPr>
        <w:t>to</w:t>
      </w:r>
      <w:r>
        <w:rPr>
          <w:color w:val="221F1F"/>
          <w:spacing w:val="-1"/>
        </w:rPr>
        <w:t> </w:t>
      </w:r>
      <w:r>
        <w:rPr>
          <w:color w:val="221F1F"/>
        </w:rPr>
        <w:t>this notice must show clear, compelling and convincing evidence that competition will be advantageous to the</w:t>
      </w:r>
      <w:r>
        <w:rPr>
          <w:color w:val="221F1F"/>
          <w:spacing w:val="-10"/>
        </w:rPr>
        <w:t> </w:t>
      </w:r>
      <w:r>
        <w:rPr>
          <w:color w:val="221F1F"/>
        </w:rPr>
        <w:t>Government.</w:t>
      </w:r>
      <w:r>
        <w:rPr>
          <w:color w:val="221F1F"/>
          <w:spacing w:val="-10"/>
        </w:rPr>
        <w:t> </w:t>
      </w:r>
      <w:r>
        <w:rPr>
          <w:color w:val="221F1F"/>
        </w:rPr>
        <w:t>The</w:t>
      </w:r>
      <w:r>
        <w:rPr>
          <w:color w:val="221F1F"/>
          <w:spacing w:val="-11"/>
        </w:rPr>
        <w:t> </w:t>
      </w:r>
      <w:r>
        <w:rPr>
          <w:color w:val="221F1F"/>
        </w:rPr>
        <w:t>intent</w:t>
      </w:r>
      <w:r>
        <w:rPr>
          <w:color w:val="221F1F"/>
          <w:spacing w:val="-12"/>
        </w:rPr>
        <w:t> </w:t>
      </w:r>
      <w:r>
        <w:rPr>
          <w:color w:val="221F1F"/>
        </w:rPr>
        <w:t>of</w:t>
      </w:r>
      <w:r>
        <w:rPr>
          <w:color w:val="221F1F"/>
          <w:spacing w:val="-12"/>
        </w:rPr>
        <w:t> </w:t>
      </w:r>
      <w:r>
        <w:rPr>
          <w:color w:val="221F1F"/>
        </w:rPr>
        <w:t>this</w:t>
      </w:r>
      <w:r>
        <w:rPr>
          <w:color w:val="221F1F"/>
          <w:spacing w:val="-11"/>
        </w:rPr>
        <w:t> </w:t>
      </w:r>
      <w:r>
        <w:rPr>
          <w:color w:val="221F1F"/>
        </w:rPr>
        <w:t>synopsis</w:t>
      </w:r>
      <w:r>
        <w:rPr>
          <w:color w:val="221F1F"/>
          <w:spacing w:val="-13"/>
        </w:rPr>
        <w:t> </w:t>
      </w:r>
      <w:r>
        <w:rPr>
          <w:color w:val="221F1F"/>
        </w:rPr>
        <w:t>is</w:t>
      </w:r>
      <w:r>
        <w:rPr>
          <w:color w:val="221F1F"/>
          <w:spacing w:val="-10"/>
        </w:rPr>
        <w:t> </w:t>
      </w:r>
      <w:r>
        <w:rPr>
          <w:color w:val="221F1F"/>
        </w:rPr>
        <w:t>for</w:t>
      </w:r>
      <w:r>
        <w:rPr>
          <w:color w:val="221F1F"/>
          <w:spacing w:val="-11"/>
        </w:rPr>
        <w:t> </w:t>
      </w:r>
      <w:r>
        <w:rPr>
          <w:color w:val="221F1F"/>
        </w:rPr>
        <w:t>informational</w:t>
      </w:r>
      <w:r>
        <w:rPr>
          <w:color w:val="221F1F"/>
          <w:spacing w:val="-11"/>
        </w:rPr>
        <w:t> </w:t>
      </w:r>
      <w:r>
        <w:rPr>
          <w:color w:val="221F1F"/>
        </w:rPr>
        <w:t>purposes</w:t>
      </w:r>
      <w:r>
        <w:rPr>
          <w:color w:val="221F1F"/>
          <w:spacing w:val="-12"/>
        </w:rPr>
        <w:t> </w:t>
      </w:r>
      <w:r>
        <w:rPr>
          <w:color w:val="221F1F"/>
        </w:rPr>
        <w:t>only.</w:t>
      </w:r>
      <w:r>
        <w:rPr>
          <w:color w:val="221F1F"/>
          <w:spacing w:val="-10"/>
        </w:rPr>
        <w:t> </w:t>
      </w:r>
      <w:r>
        <w:rPr>
          <w:color w:val="221F1F"/>
        </w:rPr>
        <w:t>Information</w:t>
      </w:r>
      <w:r>
        <w:rPr>
          <w:color w:val="221F1F"/>
          <w:spacing w:val="-11"/>
        </w:rPr>
        <w:t> </w:t>
      </w:r>
      <w:r>
        <w:rPr>
          <w:color w:val="221F1F"/>
        </w:rPr>
        <w:t>received</w:t>
      </w:r>
      <w:r>
        <w:rPr>
          <w:color w:val="221F1F"/>
          <w:spacing w:val="-11"/>
        </w:rPr>
        <w:t> </w:t>
      </w:r>
      <w:r>
        <w:rPr>
          <w:color w:val="221F1F"/>
        </w:rPr>
        <w:t>will normally be considered solely for the purpose of determining whether to conduct competitive procurement. A determination by the Government not to complete this action based on this notice is solely within the discretion of the Government.</w:t>
      </w:r>
    </w:p>
    <w:p>
      <w:pPr>
        <w:pStyle w:val="BodyText"/>
        <w:spacing w:line="259" w:lineRule="auto" w:before="155"/>
        <w:ind w:left="354" w:right="72" w:hanging="10"/>
      </w:pPr>
      <w:r>
        <w:rPr>
          <w:color w:val="221F1F"/>
        </w:rPr>
        <w:t>All inquiries and concerns must be addressed in writing via e-mail to Mr. Sean McTague at </w:t>
      </w:r>
      <w:hyperlink r:id="rId5">
        <w:r>
          <w:rPr/>
          <w:t>Sean.P.McTague@uscg.mil</w:t>
        </w:r>
      </w:hyperlink>
      <w:r>
        <w:rPr>
          <w:spacing w:val="-3"/>
        </w:rPr>
        <w:t> </w:t>
      </w:r>
      <w:r>
        <w:rPr>
          <w:color w:val="221F1F"/>
        </w:rPr>
        <w:t>with</w:t>
      </w:r>
      <w:r>
        <w:rPr>
          <w:color w:val="221F1F"/>
          <w:spacing w:val="-3"/>
        </w:rPr>
        <w:t> </w:t>
      </w:r>
      <w:r>
        <w:rPr>
          <w:color w:val="221F1F"/>
        </w:rPr>
        <w:t>the</w:t>
      </w:r>
      <w:r>
        <w:rPr>
          <w:color w:val="221F1F"/>
          <w:spacing w:val="-4"/>
        </w:rPr>
        <w:t> </w:t>
      </w:r>
      <w:r>
        <w:rPr>
          <w:color w:val="221F1F"/>
        </w:rPr>
        <w:t>following</w:t>
      </w:r>
      <w:r>
        <w:rPr>
          <w:color w:val="221F1F"/>
          <w:spacing w:val="-4"/>
        </w:rPr>
        <w:t> </w:t>
      </w:r>
      <w:r>
        <w:rPr>
          <w:color w:val="221F1F"/>
        </w:rPr>
        <w:t>information</w:t>
      </w:r>
      <w:r>
        <w:rPr>
          <w:color w:val="221F1F"/>
          <w:spacing w:val="-4"/>
        </w:rPr>
        <w:t> </w:t>
      </w:r>
      <w:r>
        <w:rPr>
          <w:color w:val="221F1F"/>
        </w:rPr>
        <w:t>referenced</w:t>
      </w:r>
      <w:r>
        <w:rPr>
          <w:color w:val="221F1F"/>
          <w:spacing w:val="-3"/>
        </w:rPr>
        <w:t> </w:t>
      </w:r>
      <w:r>
        <w:rPr>
          <w:color w:val="221F1F"/>
        </w:rPr>
        <w:t>in</w:t>
      </w:r>
      <w:r>
        <w:rPr>
          <w:color w:val="221F1F"/>
          <w:spacing w:val="-3"/>
        </w:rPr>
        <w:t> </w:t>
      </w:r>
      <w:r>
        <w:rPr>
          <w:color w:val="221F1F"/>
        </w:rPr>
        <w:t>the</w:t>
      </w:r>
      <w:r>
        <w:rPr>
          <w:color w:val="221F1F"/>
          <w:spacing w:val="-3"/>
        </w:rPr>
        <w:t> </w:t>
      </w:r>
      <w:r>
        <w:rPr>
          <w:color w:val="221F1F"/>
        </w:rPr>
        <w:t>subject</w:t>
      </w:r>
      <w:r>
        <w:rPr>
          <w:color w:val="221F1F"/>
          <w:spacing w:val="-3"/>
        </w:rPr>
        <w:t> </w:t>
      </w:r>
      <w:r>
        <w:rPr>
          <w:color w:val="221F1F"/>
        </w:rPr>
        <w:t>line,</w:t>
      </w:r>
      <w:r>
        <w:rPr>
          <w:color w:val="221F1F"/>
          <w:spacing w:val="-2"/>
        </w:rPr>
        <w:t> </w:t>
      </w:r>
      <w:r>
        <w:rPr>
          <w:color w:val="221F1F"/>
        </w:rPr>
        <w:t>Solicitation 70Z08536Q023467.</w:t>
      </w:r>
      <w:r>
        <w:rPr>
          <w:color w:val="221F1F"/>
          <w:spacing w:val="-13"/>
        </w:rPr>
        <w:t> </w:t>
      </w:r>
      <w:r>
        <w:rPr>
          <w:color w:val="221F1F"/>
        </w:rPr>
        <w:t>A</w:t>
      </w:r>
      <w:r>
        <w:rPr>
          <w:color w:val="221F1F"/>
          <w:spacing w:val="-12"/>
        </w:rPr>
        <w:t> </w:t>
      </w:r>
      <w:r>
        <w:rPr>
          <w:color w:val="221F1F"/>
        </w:rPr>
        <w:t>determination</w:t>
      </w:r>
      <w:r>
        <w:rPr>
          <w:color w:val="221F1F"/>
          <w:spacing w:val="-13"/>
        </w:rPr>
        <w:t> </w:t>
      </w:r>
      <w:r>
        <w:rPr>
          <w:color w:val="221F1F"/>
        </w:rPr>
        <w:t>by</w:t>
      </w:r>
      <w:r>
        <w:rPr>
          <w:color w:val="221F1F"/>
          <w:spacing w:val="-10"/>
        </w:rPr>
        <w:t> </w:t>
      </w:r>
      <w:r>
        <w:rPr>
          <w:color w:val="221F1F"/>
        </w:rPr>
        <w:t>the</w:t>
      </w:r>
      <w:r>
        <w:rPr>
          <w:color w:val="221F1F"/>
          <w:spacing w:val="-11"/>
        </w:rPr>
        <w:t> </w:t>
      </w:r>
      <w:r>
        <w:rPr>
          <w:color w:val="221F1F"/>
        </w:rPr>
        <w:t>Government</w:t>
      </w:r>
      <w:r>
        <w:rPr>
          <w:color w:val="221F1F"/>
          <w:spacing w:val="-12"/>
        </w:rPr>
        <w:t> </w:t>
      </w:r>
      <w:r>
        <w:rPr>
          <w:color w:val="221F1F"/>
        </w:rPr>
        <w:t>not</w:t>
      </w:r>
      <w:r>
        <w:rPr>
          <w:color w:val="221F1F"/>
          <w:spacing w:val="-13"/>
        </w:rPr>
        <w:t> </w:t>
      </w:r>
      <w:r>
        <w:rPr>
          <w:color w:val="221F1F"/>
        </w:rPr>
        <w:t>to</w:t>
      </w:r>
      <w:r>
        <w:rPr>
          <w:color w:val="221F1F"/>
          <w:spacing w:val="-10"/>
        </w:rPr>
        <w:t> </w:t>
      </w:r>
      <w:r>
        <w:rPr>
          <w:color w:val="221F1F"/>
        </w:rPr>
        <w:t>complete</w:t>
      </w:r>
      <w:r>
        <w:rPr>
          <w:color w:val="221F1F"/>
          <w:spacing w:val="-11"/>
        </w:rPr>
        <w:t> </w:t>
      </w:r>
      <w:r>
        <w:rPr>
          <w:color w:val="221F1F"/>
        </w:rPr>
        <w:t>this</w:t>
      </w:r>
      <w:r>
        <w:rPr>
          <w:color w:val="221F1F"/>
          <w:spacing w:val="-12"/>
        </w:rPr>
        <w:t> </w:t>
      </w:r>
      <w:r>
        <w:rPr>
          <w:color w:val="221F1F"/>
        </w:rPr>
        <w:t>proposed</w:t>
      </w:r>
      <w:r>
        <w:rPr>
          <w:color w:val="221F1F"/>
          <w:spacing w:val="-13"/>
        </w:rPr>
        <w:t> </w:t>
      </w:r>
      <w:r>
        <w:rPr>
          <w:color w:val="221F1F"/>
        </w:rPr>
        <w:t>procurement based on the responses to this notice is solely within the discretion of the Government. Information received will be considered solely for the purpose of determining whether to conduct competitive procurement. All interested parties who are responsible, certified, and capable may identify their interest</w:t>
      </w:r>
      <w:r>
        <w:rPr>
          <w:color w:val="221F1F"/>
          <w:spacing w:val="-1"/>
        </w:rPr>
        <w:t> </w:t>
      </w:r>
      <w:r>
        <w:rPr>
          <w:color w:val="221F1F"/>
        </w:rPr>
        <w:t>and may</w:t>
      </w:r>
      <w:r>
        <w:rPr>
          <w:color w:val="221F1F"/>
          <w:spacing w:val="-2"/>
        </w:rPr>
        <w:t> </w:t>
      </w:r>
      <w:r>
        <w:rPr>
          <w:color w:val="221F1F"/>
        </w:rPr>
        <w:t>submit</w:t>
      </w:r>
      <w:r>
        <w:rPr>
          <w:color w:val="221F1F"/>
          <w:spacing w:val="-2"/>
        </w:rPr>
        <w:t> </w:t>
      </w:r>
      <w:r>
        <w:rPr>
          <w:color w:val="221F1F"/>
        </w:rPr>
        <w:t>an</w:t>
      </w:r>
      <w:r>
        <w:rPr>
          <w:color w:val="221F1F"/>
          <w:spacing w:val="-3"/>
        </w:rPr>
        <w:t> </w:t>
      </w:r>
      <w:r>
        <w:rPr>
          <w:color w:val="221F1F"/>
        </w:rPr>
        <w:t>offer</w:t>
      </w:r>
      <w:r>
        <w:rPr>
          <w:color w:val="221F1F"/>
          <w:spacing w:val="-3"/>
        </w:rPr>
        <w:t> </w:t>
      </w:r>
      <w:r>
        <w:rPr>
          <w:color w:val="221F1F"/>
        </w:rPr>
        <w:t>or</w:t>
      </w:r>
      <w:r>
        <w:rPr>
          <w:color w:val="221F1F"/>
          <w:spacing w:val="-2"/>
        </w:rPr>
        <w:t> </w:t>
      </w:r>
      <w:r>
        <w:rPr>
          <w:color w:val="221F1F"/>
        </w:rPr>
        <w:t>quotation</w:t>
      </w:r>
      <w:r>
        <w:rPr>
          <w:color w:val="221F1F"/>
          <w:spacing w:val="-3"/>
        </w:rPr>
        <w:t> </w:t>
      </w:r>
      <w:r>
        <w:rPr>
          <w:color w:val="221F1F"/>
        </w:rPr>
        <w:t>which</w:t>
      </w:r>
      <w:r>
        <w:rPr>
          <w:color w:val="221F1F"/>
          <w:spacing w:val="-3"/>
        </w:rPr>
        <w:t> </w:t>
      </w:r>
      <w:r>
        <w:rPr>
          <w:color w:val="221F1F"/>
        </w:rPr>
        <w:t>shall</w:t>
      </w:r>
      <w:r>
        <w:rPr>
          <w:color w:val="221F1F"/>
          <w:spacing w:val="-2"/>
        </w:rPr>
        <w:t> </w:t>
      </w:r>
      <w:r>
        <w:rPr>
          <w:color w:val="221F1F"/>
        </w:rPr>
        <w:t>be</w:t>
      </w:r>
      <w:r>
        <w:rPr>
          <w:color w:val="221F1F"/>
          <w:spacing w:val="-2"/>
        </w:rPr>
        <w:t> </w:t>
      </w:r>
      <w:r>
        <w:rPr>
          <w:color w:val="221F1F"/>
        </w:rPr>
        <w:t>considered</w:t>
      </w:r>
      <w:r>
        <w:rPr>
          <w:color w:val="221F1F"/>
          <w:spacing w:val="-3"/>
        </w:rPr>
        <w:t> </w:t>
      </w:r>
      <w:r>
        <w:rPr>
          <w:color w:val="221F1F"/>
        </w:rPr>
        <w:t>by</w:t>
      </w:r>
      <w:r>
        <w:rPr>
          <w:color w:val="221F1F"/>
          <w:spacing w:val="-2"/>
        </w:rPr>
        <w:t> </w:t>
      </w:r>
      <w:r>
        <w:rPr>
          <w:color w:val="221F1F"/>
        </w:rPr>
        <w:t>the</w:t>
      </w:r>
      <w:r>
        <w:rPr>
          <w:color w:val="221F1F"/>
          <w:spacing w:val="-3"/>
        </w:rPr>
        <w:t> </w:t>
      </w:r>
      <w:r>
        <w:rPr>
          <w:color w:val="221F1F"/>
        </w:rPr>
        <w:t>agency</w:t>
      </w:r>
      <w:r>
        <w:rPr>
          <w:color w:val="221F1F"/>
          <w:spacing w:val="-2"/>
        </w:rPr>
        <w:t> </w:t>
      </w:r>
      <w:r>
        <w:rPr>
          <w:color w:val="221F1F"/>
        </w:rPr>
        <w:t>no</w:t>
      </w:r>
      <w:r>
        <w:rPr>
          <w:color w:val="221F1F"/>
          <w:spacing w:val="-2"/>
        </w:rPr>
        <w:t> </w:t>
      </w:r>
      <w:r>
        <w:rPr>
          <w:color w:val="221F1F"/>
        </w:rPr>
        <w:t>later</w:t>
      </w:r>
      <w:r>
        <w:rPr>
          <w:color w:val="221F1F"/>
          <w:spacing w:val="-3"/>
        </w:rPr>
        <w:t> </w:t>
      </w:r>
      <w:r>
        <w:rPr>
          <w:color w:val="221F1F"/>
        </w:rPr>
        <w:t>than 8:00 AM Pacific Time</w:t>
      </w:r>
    </w:p>
    <w:p>
      <w:pPr>
        <w:pStyle w:val="BodyText"/>
        <w:spacing w:line="267" w:lineRule="exact"/>
        <w:ind w:left="355"/>
      </w:pPr>
      <w:r>
        <w:rPr>
          <w:color w:val="221F1F"/>
          <w:spacing w:val="-2"/>
        </w:rPr>
        <w:t>{PST}</w:t>
      </w:r>
      <w:r>
        <w:rPr>
          <w:color w:val="221F1F"/>
          <w:spacing w:val="-11"/>
        </w:rPr>
        <w:t> </w:t>
      </w:r>
      <w:r>
        <w:rPr>
          <w:color w:val="221F1F"/>
          <w:spacing w:val="-2"/>
        </w:rPr>
        <w:t>on</w:t>
      </w:r>
      <w:r>
        <w:rPr>
          <w:color w:val="221F1F"/>
          <w:spacing w:val="-10"/>
        </w:rPr>
        <w:t> </w:t>
      </w:r>
      <w:r>
        <w:rPr>
          <w:color w:val="221F1F"/>
          <w:spacing w:val="-2"/>
        </w:rPr>
        <w:t>April</w:t>
      </w:r>
      <w:r>
        <w:rPr>
          <w:color w:val="221F1F"/>
          <w:spacing w:val="-10"/>
        </w:rPr>
        <w:t> </w:t>
      </w:r>
      <w:r>
        <w:rPr>
          <w:color w:val="221F1F"/>
          <w:spacing w:val="-2"/>
        </w:rPr>
        <w:t>14,</w:t>
      </w:r>
      <w:r>
        <w:rPr>
          <w:color w:val="221F1F"/>
          <w:spacing w:val="-11"/>
        </w:rPr>
        <w:t> </w:t>
      </w:r>
      <w:r>
        <w:rPr>
          <w:color w:val="221F1F"/>
          <w:spacing w:val="-2"/>
        </w:rPr>
        <w:t>2026,</w:t>
      </w:r>
      <w:r>
        <w:rPr>
          <w:color w:val="221F1F"/>
          <w:spacing w:val="-8"/>
        </w:rPr>
        <w:t> </w:t>
      </w:r>
      <w:r>
        <w:rPr>
          <w:color w:val="221F1F"/>
          <w:spacing w:val="-2"/>
        </w:rPr>
        <w:t>to</w:t>
      </w:r>
      <w:r>
        <w:rPr>
          <w:color w:val="221F1F"/>
          <w:spacing w:val="-7"/>
        </w:rPr>
        <w:t> </w:t>
      </w:r>
      <w:r>
        <w:rPr>
          <w:color w:val="221F1F"/>
          <w:spacing w:val="-2"/>
        </w:rPr>
        <w:t>Mr. McTague at</w:t>
      </w:r>
      <w:r>
        <w:rPr>
          <w:color w:val="221F1F"/>
          <w:spacing w:val="-3"/>
        </w:rPr>
        <w:t> </w:t>
      </w:r>
      <w:hyperlink r:id="rId5">
        <w:r>
          <w:rPr>
            <w:spacing w:val="-2"/>
          </w:rPr>
          <w:t>Sean.P.McTague@uscg.mil</w:t>
        </w:r>
      </w:hyperlink>
    </w:p>
    <w:p>
      <w:pPr>
        <w:pStyle w:val="BodyText"/>
        <w:spacing w:before="180"/>
        <w:ind w:left="345"/>
        <w:jc w:val="both"/>
      </w:pPr>
      <w:r>
        <w:rPr>
          <w:color w:val="221F1F"/>
          <w:spacing w:val="-2"/>
        </w:rPr>
        <w:t>The</w:t>
      </w:r>
      <w:r>
        <w:rPr>
          <w:color w:val="221F1F"/>
          <w:spacing w:val="-3"/>
        </w:rPr>
        <w:t> </w:t>
      </w:r>
      <w:r>
        <w:rPr>
          <w:color w:val="221F1F"/>
          <w:spacing w:val="-2"/>
        </w:rPr>
        <w:t>interested</w:t>
      </w:r>
      <w:r>
        <w:rPr>
          <w:color w:val="221F1F"/>
          <w:spacing w:val="-5"/>
        </w:rPr>
        <w:t> </w:t>
      </w:r>
      <w:r>
        <w:rPr>
          <w:color w:val="221F1F"/>
          <w:spacing w:val="-2"/>
        </w:rPr>
        <w:t>parties</w:t>
      </w:r>
      <w:r>
        <w:rPr>
          <w:color w:val="221F1F"/>
          <w:spacing w:val="-3"/>
        </w:rPr>
        <w:t> </w:t>
      </w:r>
      <w:r>
        <w:rPr>
          <w:color w:val="221F1F"/>
          <w:spacing w:val="-2"/>
        </w:rPr>
        <w:t>bear</w:t>
      </w:r>
      <w:r>
        <w:rPr>
          <w:color w:val="221F1F"/>
          <w:spacing w:val="-3"/>
        </w:rPr>
        <w:t> </w:t>
      </w:r>
      <w:r>
        <w:rPr>
          <w:color w:val="221F1F"/>
          <w:spacing w:val="-2"/>
        </w:rPr>
        <w:t>full</w:t>
      </w:r>
      <w:r>
        <w:rPr>
          <w:color w:val="221F1F"/>
          <w:spacing w:val="-5"/>
        </w:rPr>
        <w:t> </w:t>
      </w:r>
      <w:r>
        <w:rPr>
          <w:color w:val="221F1F"/>
          <w:spacing w:val="-2"/>
        </w:rPr>
        <w:t>responsibility</w:t>
      </w:r>
      <w:r>
        <w:rPr>
          <w:color w:val="221F1F"/>
          <w:spacing w:val="-3"/>
        </w:rPr>
        <w:t> </w:t>
      </w:r>
      <w:r>
        <w:rPr>
          <w:color w:val="221F1F"/>
          <w:spacing w:val="-2"/>
        </w:rPr>
        <w:t>to</w:t>
      </w:r>
      <w:r>
        <w:rPr>
          <w:color w:val="221F1F"/>
          <w:spacing w:val="-1"/>
        </w:rPr>
        <w:t> </w:t>
      </w:r>
      <w:r>
        <w:rPr>
          <w:color w:val="221F1F"/>
          <w:spacing w:val="-2"/>
        </w:rPr>
        <w:t>ensure</w:t>
      </w:r>
      <w:r>
        <w:rPr>
          <w:color w:val="221F1F"/>
          <w:spacing w:val="-3"/>
        </w:rPr>
        <w:t> </w:t>
      </w:r>
      <w:r>
        <w:rPr>
          <w:color w:val="221F1F"/>
          <w:spacing w:val="-2"/>
        </w:rPr>
        <w:t>complete</w:t>
      </w:r>
      <w:r>
        <w:rPr>
          <w:color w:val="221F1F"/>
          <w:spacing w:val="-3"/>
        </w:rPr>
        <w:t> </w:t>
      </w:r>
      <w:r>
        <w:rPr>
          <w:color w:val="221F1F"/>
          <w:spacing w:val="-2"/>
        </w:rPr>
        <w:t>transmission</w:t>
      </w:r>
      <w:r>
        <w:rPr>
          <w:color w:val="221F1F"/>
          <w:spacing w:val="-5"/>
        </w:rPr>
        <w:t> </w:t>
      </w:r>
      <w:r>
        <w:rPr>
          <w:color w:val="221F1F"/>
          <w:spacing w:val="-2"/>
        </w:rPr>
        <w:t>and</w:t>
      </w:r>
      <w:r>
        <w:rPr>
          <w:color w:val="221F1F"/>
          <w:spacing w:val="-5"/>
        </w:rPr>
        <w:t> </w:t>
      </w:r>
      <w:r>
        <w:rPr>
          <w:color w:val="221F1F"/>
          <w:spacing w:val="-2"/>
        </w:rPr>
        <w:t>timely receipt.</w:t>
      </w:r>
    </w:p>
    <w:sectPr>
      <w:type w:val="continuous"/>
      <w:pgSz w:w="12240" w:h="15840"/>
      <w:pgMar w:top="142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21"/>
      <w:ind w:left="4096" w:right="525" w:hanging="1157"/>
      <w:outlineLvl w:val="1"/>
    </w:pPr>
    <w:rPr>
      <w:rFonts w:ascii="Calibri" w:hAnsi="Calibri" w:eastAsia="Calibri" w:cs="Calibri"/>
      <w:b/>
      <w:bCs/>
      <w:sz w:val="28"/>
      <w:szCs w:val="28"/>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ean.P.McTague@uscg.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United States Coast Guard</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UOBalmaceda</dc:creator>
  <dc:title>NOTICE OF INTENT TO SOLE SOURCE 70Z08525Q0580  (52000PR250020580 CGC Stratton NR2 MDE Governor) 1.pdf</dc:title>
  <dcterms:created xsi:type="dcterms:W3CDTF">2026-03-30T21:49:59Z</dcterms:created>
  <dcterms:modified xsi:type="dcterms:W3CDTF">2026-03-30T21:49:59Z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Acrobat PDFMaker 25 for Word</vt:lpwstr>
  </property>
  <property fmtid="{D5CDD505-2E9C-101B-9397-08002B2CF9AE}" pid="4" name="LastSaved">
    <vt:filetime>2026-03-30T00:00:00Z</vt:filetime>
  </property>
  <property fmtid="{D5CDD505-2E9C-101B-9397-08002B2CF9AE}" pid="5" name="Producer">
    <vt:lpwstr>Adobe PDF Library 25.1.40</vt:lpwstr>
  </property>
  <property fmtid="{D5CDD505-2E9C-101B-9397-08002B2CF9AE}" pid="6" name="SourceModified">
    <vt:lpwstr/>
  </property>
</Properties>
</file>