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5698"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Times New Roman" w:eastAsia="Times New Roman" w:hAnsi="Times New Roman" w:cs="Times New Roman"/>
          <w:b/>
          <w:bCs/>
          <w:kern w:val="0"/>
          <w:sz w:val="32"/>
          <w:szCs w:val="32"/>
          <w14:ligatures w14:val="none"/>
        </w:rPr>
      </w:pPr>
      <w:r w:rsidRPr="00494F2C">
        <w:rPr>
          <w:rFonts w:ascii="Times New Roman" w:eastAsia="Times New Roman" w:hAnsi="Times New Roman" w:cs="Times New Roman"/>
          <w:b/>
          <w:bCs/>
          <w:kern w:val="0"/>
          <w:sz w:val="32"/>
          <w:szCs w:val="32"/>
          <w14:ligatures w14:val="none"/>
        </w:rPr>
        <w:t>STATEMENT OF WORK</w:t>
      </w:r>
    </w:p>
    <w:p w14:paraId="4AEEDBFC"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Times New Roman" w:eastAsia="Times New Roman" w:hAnsi="Times New Roman" w:cs="Times New Roman"/>
          <w:b/>
          <w:bCs/>
          <w:kern w:val="0"/>
          <w:sz w:val="32"/>
          <w:szCs w:val="32"/>
          <w14:ligatures w14:val="none"/>
        </w:rPr>
      </w:pPr>
      <w:r w:rsidRPr="00494F2C">
        <w:rPr>
          <w:rFonts w:ascii="Times New Roman" w:eastAsia="Times New Roman" w:hAnsi="Times New Roman" w:cs="Times New Roman"/>
          <w:b/>
          <w:bCs/>
          <w:kern w:val="0"/>
          <w:sz w:val="32"/>
          <w:szCs w:val="32"/>
          <w14:ligatures w14:val="none"/>
        </w:rPr>
        <w:t>FOR</w:t>
      </w:r>
    </w:p>
    <w:p w14:paraId="487A396C"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Times New Roman" w:eastAsia="Times New Roman" w:hAnsi="Times New Roman" w:cs="Times New Roman"/>
          <w:b/>
          <w:bCs/>
          <w:caps/>
          <w:kern w:val="0"/>
          <w:sz w:val="32"/>
          <w:szCs w:val="32"/>
          <w14:ligatures w14:val="none"/>
        </w:rPr>
      </w:pPr>
      <w:proofErr w:type="gramStart"/>
      <w:r w:rsidRPr="00494F2C">
        <w:rPr>
          <w:rFonts w:ascii="Times New Roman" w:eastAsia="Times New Roman" w:hAnsi="Times New Roman" w:cs="Times New Roman"/>
          <w:b/>
          <w:bCs/>
          <w:caps/>
          <w:kern w:val="0"/>
          <w:sz w:val="32"/>
          <w:szCs w:val="32"/>
          <w14:ligatures w14:val="none"/>
        </w:rPr>
        <w:t xml:space="preserve">CVN  </w:t>
      </w:r>
      <w:r w:rsidRPr="00494F2C">
        <w:rPr>
          <w:rFonts w:ascii="Times New Roman" w:eastAsia="Times New Roman" w:hAnsi="Times New Roman" w:cs="Times New Roman"/>
          <w:b/>
          <w:bCs/>
          <w:kern w:val="0"/>
          <w:sz w:val="32"/>
          <w:szCs w:val="32"/>
          <w14:ligatures w14:val="none"/>
        </w:rPr>
        <w:t>ICCS</w:t>
      </w:r>
      <w:proofErr w:type="gramEnd"/>
      <w:r w:rsidRPr="00494F2C">
        <w:rPr>
          <w:rFonts w:ascii="Times New Roman" w:eastAsia="Times New Roman" w:hAnsi="Times New Roman" w:cs="Times New Roman"/>
          <w:b/>
          <w:bCs/>
          <w:kern w:val="0"/>
          <w:sz w:val="32"/>
          <w:szCs w:val="32"/>
          <w14:ligatures w14:val="none"/>
        </w:rPr>
        <w:t xml:space="preserve"> CAB HATCH SEAL</w:t>
      </w:r>
      <w:r w:rsidRPr="00494F2C">
        <w:rPr>
          <w:rFonts w:ascii="Times New Roman" w:eastAsia="Times New Roman" w:hAnsi="Times New Roman" w:cs="Times New Roman"/>
          <w:b/>
          <w:bCs/>
          <w:caps/>
          <w:kern w:val="0"/>
          <w:sz w:val="32"/>
          <w:szCs w:val="32"/>
          <w14:ligatures w14:val="none"/>
        </w:rPr>
        <w:t xml:space="preserve"> Track Machining</w:t>
      </w:r>
    </w:p>
    <w:p w14:paraId="13F9CD23"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713F7694"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2AB4F4D1"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7B20C2E0"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32E0FA1F"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7BE83CB8"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
          <w:bCs/>
          <w:kern w:val="0"/>
          <w:sz w:val="32"/>
          <w:szCs w:val="32"/>
          <w14:ligatures w14:val="none"/>
        </w:rPr>
      </w:pPr>
    </w:p>
    <w:p w14:paraId="176E474C"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Times New Roman" w:eastAsia="Times New Roman" w:hAnsi="Times New Roman" w:cs="Times New Roman"/>
          <w:b/>
          <w:bCs/>
          <w:kern w:val="0"/>
          <w:sz w:val="32"/>
          <w:szCs w:val="32"/>
          <w14:ligatures w14:val="none"/>
        </w:rPr>
      </w:pPr>
      <w:r w:rsidRPr="00494F2C">
        <w:rPr>
          <w:rFonts w:ascii="Times New Roman" w:eastAsia="Times New Roman" w:hAnsi="Times New Roman" w:cs="Times New Roman"/>
          <w:b/>
          <w:bCs/>
          <w:kern w:val="0"/>
          <w:sz w:val="32"/>
          <w:szCs w:val="32"/>
          <w14:ligatures w14:val="none"/>
        </w:rPr>
        <w:t>Prepared by</w:t>
      </w:r>
    </w:p>
    <w:p w14:paraId="7CB1EA2D"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0" w:line="240" w:lineRule="auto"/>
        <w:ind w:left="360"/>
        <w:jc w:val="center"/>
        <w:rPr>
          <w:rFonts w:ascii="Times New Roman" w:eastAsia="Times New Roman" w:hAnsi="Times New Roman" w:cs="Times New Roman"/>
          <w:b/>
          <w:bCs/>
          <w:kern w:val="0"/>
          <w:sz w:val="32"/>
          <w:szCs w:val="32"/>
          <w14:ligatures w14:val="none"/>
        </w:rPr>
      </w:pPr>
      <w:r w:rsidRPr="00494F2C">
        <w:rPr>
          <w:rFonts w:ascii="Times New Roman" w:eastAsia="Times New Roman" w:hAnsi="Times New Roman" w:cs="Times New Roman"/>
          <w:b/>
          <w:bCs/>
          <w:kern w:val="0"/>
          <w:sz w:val="32"/>
          <w:szCs w:val="32"/>
          <w14:ligatures w14:val="none"/>
        </w:rPr>
        <w:t>NORFOLK NAVAL SHIPYARD</w:t>
      </w:r>
    </w:p>
    <w:p w14:paraId="5071A9B2"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0" w:line="240" w:lineRule="auto"/>
        <w:ind w:left="360"/>
        <w:jc w:val="center"/>
        <w:rPr>
          <w:rFonts w:ascii="Times New Roman" w:eastAsia="Times New Roman" w:hAnsi="Times New Roman" w:cs="Times New Roman"/>
          <w:b/>
          <w:bCs/>
          <w:kern w:val="0"/>
          <w:sz w:val="32"/>
          <w:szCs w:val="32"/>
          <w14:ligatures w14:val="none"/>
        </w:rPr>
      </w:pPr>
      <w:r w:rsidRPr="00494F2C">
        <w:rPr>
          <w:rFonts w:ascii="Times New Roman" w:eastAsia="Times New Roman" w:hAnsi="Times New Roman" w:cs="Times New Roman"/>
          <w:b/>
          <w:bCs/>
          <w:kern w:val="0"/>
          <w:sz w:val="32"/>
          <w:szCs w:val="32"/>
          <w14:ligatures w14:val="none"/>
        </w:rPr>
        <w:t>PORTSMOUTH, VA</w:t>
      </w:r>
    </w:p>
    <w:p w14:paraId="3387FA7D"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Times New Roman" w:eastAsia="Times New Roman" w:hAnsi="Times New Roman" w:cs="Times New Roman"/>
          <w:bCs/>
          <w:kern w:val="0"/>
          <w:sz w:val="32"/>
          <w:szCs w:val="32"/>
          <w14:ligatures w14:val="none"/>
        </w:rPr>
      </w:pPr>
    </w:p>
    <w:p w14:paraId="02A16BAD"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Cs/>
          <w:kern w:val="0"/>
          <w:sz w:val="22"/>
          <w14:ligatures w14:val="none"/>
        </w:rPr>
      </w:pPr>
    </w:p>
    <w:p w14:paraId="05AC6C4C"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Cs/>
          <w:kern w:val="0"/>
          <w:sz w:val="22"/>
          <w14:ligatures w14:val="none"/>
        </w:rPr>
      </w:pPr>
      <w:r w:rsidRPr="00494F2C">
        <w:rPr>
          <w:rFonts w:ascii="Arial" w:eastAsia="Times New Roman" w:hAnsi="Arial" w:cs="Arial"/>
          <w:bCs/>
          <w:kern w:val="0"/>
          <w:sz w:val="22"/>
          <w14:ligatures w14:val="none"/>
        </w:rPr>
        <w:t xml:space="preserve"> </w:t>
      </w:r>
    </w:p>
    <w:p w14:paraId="42C345AD" w14:textId="77777777" w:rsidR="00494F2C" w:rsidRPr="00494F2C" w:rsidRDefault="00494F2C" w:rsidP="00494F2C">
      <w:pPr>
        <w:pBdr>
          <w:top w:val="single" w:sz="4" w:space="1" w:color="auto"/>
          <w:left w:val="single" w:sz="4" w:space="4" w:color="auto"/>
          <w:bottom w:val="single" w:sz="4" w:space="1" w:color="auto"/>
          <w:right w:val="single" w:sz="4" w:space="4" w:color="auto"/>
        </w:pBdr>
        <w:spacing w:after="240" w:line="240" w:lineRule="auto"/>
        <w:ind w:left="360"/>
        <w:jc w:val="center"/>
        <w:rPr>
          <w:rFonts w:ascii="Arial" w:eastAsia="Times New Roman" w:hAnsi="Arial" w:cs="Arial"/>
          <w:bCs/>
          <w:kern w:val="0"/>
          <w:sz w:val="22"/>
          <w14:ligatures w14:val="none"/>
        </w:rPr>
      </w:pPr>
    </w:p>
    <w:p w14:paraId="5854D2CE" w14:textId="77777777" w:rsidR="00494F2C" w:rsidRPr="00494F2C" w:rsidRDefault="00494F2C" w:rsidP="00494F2C">
      <w:pPr>
        <w:numPr>
          <w:ilvl w:val="0"/>
          <w:numId w:val="1"/>
        </w:numPr>
        <w:spacing w:after="120" w:line="240" w:lineRule="auto"/>
        <w:ind w:left="1440" w:hanging="1224"/>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b/>
          <w:kern w:val="0"/>
          <w:sz w:val="20"/>
          <w:szCs w:val="20"/>
          <w:u w:val="single"/>
          <w14:ligatures w14:val="none"/>
        </w:rPr>
        <w:t>Scope of Work:</w:t>
      </w:r>
    </w:p>
    <w:p w14:paraId="49281901"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kern w:val="0"/>
          <w:sz w:val="20"/>
          <w:szCs w:val="20"/>
          <w14:ligatures w14:val="none"/>
        </w:rPr>
        <w:t>Contractor to provide all material and equipment necessary to accomplish machining of Forward ICCS Cab Hatch seal track to include the 2.63-inch horizontal surface, and the upper part of the 0.25-inch INBD radius.</w:t>
      </w:r>
    </w:p>
    <w:p w14:paraId="225411FC"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kern w:val="0"/>
          <w:sz w:val="20"/>
          <w:szCs w:val="20"/>
          <w14:ligatures w14:val="none"/>
        </w:rPr>
      </w:pPr>
      <w:bookmarkStart w:id="0" w:name="_Hlk177124038"/>
      <w:r w:rsidRPr="00494F2C">
        <w:rPr>
          <w:rFonts w:ascii="Times New Roman" w:eastAsia="Times New Roman" w:hAnsi="Times New Roman" w:cs="Times New Roman"/>
          <w:b/>
          <w:kern w:val="0"/>
          <w:sz w:val="20"/>
          <w:szCs w:val="20"/>
          <w:u w:val="single"/>
          <w14:ligatures w14:val="none"/>
        </w:rPr>
        <w:t>Location(s) of Work:</w:t>
      </w:r>
      <w:r w:rsidRPr="00494F2C">
        <w:rPr>
          <w:rFonts w:ascii="Times New Roman" w:eastAsia="Times New Roman" w:hAnsi="Times New Roman" w:cs="Times New Roman"/>
          <w:kern w:val="0"/>
          <w:sz w:val="20"/>
          <w:szCs w:val="20"/>
          <w14:ligatures w14:val="none"/>
        </w:rPr>
        <w:t xml:space="preserve">  </w:t>
      </w:r>
    </w:p>
    <w:p w14:paraId="0E42A320" w14:textId="77777777" w:rsidR="00494F2C" w:rsidRPr="00494F2C" w:rsidRDefault="00494F2C" w:rsidP="00494F2C">
      <w:pPr>
        <w:spacing w:after="120" w:line="240" w:lineRule="auto"/>
        <w:rPr>
          <w:rFonts w:ascii="Times New Roman" w:eastAsia="Times New Roman" w:hAnsi="Times New Roman" w:cs="Times New Roman"/>
          <w:kern w:val="0"/>
          <w:sz w:val="20"/>
          <w14:ligatures w14:val="none"/>
        </w:rPr>
      </w:pPr>
    </w:p>
    <w:bookmarkEnd w:id="0"/>
    <w:p w14:paraId="2D78CD68"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kern w:val="0"/>
          <w:sz w:val="20"/>
          <w14:ligatures w14:val="none"/>
        </w:rPr>
        <w:t>Naval Station Norfolk, 1530 Gilbert St #2000 Norfolk VA 23511 (or)</w:t>
      </w:r>
    </w:p>
    <w:p w14:paraId="0E6CCCE6"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kern w:val="0"/>
          <w:sz w:val="20"/>
          <w14:ligatures w14:val="none"/>
        </w:rPr>
        <w:t>Norfolk Naval Shipyard, Portsmouth Va, 23709</w:t>
      </w:r>
    </w:p>
    <w:p w14:paraId="7EFD5D48"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bCs/>
          <w:kern w:val="0"/>
          <w:sz w:val="20"/>
          <w:szCs w:val="20"/>
          <w14:ligatures w14:val="none"/>
        </w:rPr>
      </w:pPr>
      <w:r w:rsidRPr="00494F2C">
        <w:rPr>
          <w:rFonts w:ascii="Times New Roman" w:eastAsia="Times New Roman" w:hAnsi="Times New Roman" w:cs="Times New Roman"/>
          <w:b/>
          <w:bCs/>
          <w:kern w:val="0"/>
          <w:sz w:val="20"/>
          <w:szCs w:val="20"/>
          <w:u w:val="single"/>
          <w14:ligatures w14:val="none"/>
        </w:rPr>
        <w:t>References:</w:t>
      </w:r>
    </w:p>
    <w:p w14:paraId="58F0892B" w14:textId="77777777" w:rsidR="00494F2C" w:rsidRPr="00494F2C" w:rsidRDefault="00494F2C" w:rsidP="00494F2C">
      <w:pPr>
        <w:numPr>
          <w:ilvl w:val="1"/>
          <w:numId w:val="1"/>
        </w:numPr>
        <w:spacing w:after="120" w:line="240" w:lineRule="auto"/>
        <w:ind w:hanging="936"/>
        <w:jc w:val="both"/>
        <w:rPr>
          <w:rFonts w:ascii="Times New Roman" w:eastAsia="Times New Roman" w:hAnsi="Times New Roman" w:cs="Times New Roman"/>
          <w:kern w:val="0"/>
          <w:sz w:val="20"/>
          <w:szCs w:val="20"/>
          <w14:ligatures w14:val="none"/>
        </w:rPr>
      </w:pPr>
      <w:bookmarkStart w:id="1" w:name="_Ref494349295"/>
      <w:r w:rsidRPr="00494F2C">
        <w:rPr>
          <w:rFonts w:ascii="Times New Roman" w:eastAsia="Times New Roman" w:hAnsi="Times New Roman" w:cs="Times New Roman"/>
          <w:kern w:val="0"/>
          <w:sz w:val="20"/>
          <w:szCs w:val="20"/>
          <w14:ligatures w14:val="none"/>
        </w:rPr>
        <w:t xml:space="preserve">NAVSEA Standard Item 009-32 FY27 </w:t>
      </w:r>
    </w:p>
    <w:bookmarkEnd w:id="1"/>
    <w:p w14:paraId="1ECB13C2" w14:textId="77777777" w:rsidR="00494F2C" w:rsidRPr="00494F2C" w:rsidRDefault="00494F2C" w:rsidP="00494F2C">
      <w:pPr>
        <w:numPr>
          <w:ilvl w:val="1"/>
          <w:numId w:val="1"/>
        </w:numPr>
        <w:spacing w:after="120" w:line="240" w:lineRule="auto"/>
        <w:ind w:left="1742" w:hanging="936"/>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Local Standard Item 042-37-001, General Requirements for Work Within Naval Station Norfolk; Accomplish</w:t>
      </w:r>
    </w:p>
    <w:p w14:paraId="6FC1CAD9"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Arial"/>
          <w:kern w:val="0"/>
          <w:sz w:val="20"/>
          <w:szCs w:val="20"/>
          <w14:ligatures w14:val="none"/>
        </w:rPr>
      </w:pPr>
      <w:r w:rsidRPr="00494F2C">
        <w:rPr>
          <w:rFonts w:ascii="Times New Roman" w:eastAsia="Times New Roman" w:hAnsi="Times New Roman" w:cs="Arial"/>
          <w:kern w:val="0"/>
          <w:sz w:val="20"/>
          <w:szCs w:val="20"/>
          <w14:ligatures w14:val="none"/>
        </w:rPr>
        <w:lastRenderedPageBreak/>
        <w:t>Local Work Template 042-14 Norfolk Naval Shipyard (NNSY) Work Authorization Form (WAF) Requirements; accomplish</w:t>
      </w:r>
    </w:p>
    <w:p w14:paraId="788FCAB5"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b/>
          <w:kern w:val="0"/>
          <w:sz w:val="20"/>
          <w:szCs w:val="20"/>
          <w:u w:val="single"/>
          <w14:ligatures w14:val="none"/>
        </w:rPr>
      </w:pPr>
      <w:r w:rsidRPr="00494F2C">
        <w:rPr>
          <w:rFonts w:ascii="Times New Roman" w:eastAsia="Times New Roman" w:hAnsi="Times New Roman" w:cs="Times New Roman"/>
          <w:b/>
          <w:bCs/>
          <w:kern w:val="0"/>
          <w:sz w:val="20"/>
          <w:szCs w:val="20"/>
          <w:u w:val="single"/>
          <w14:ligatures w14:val="none"/>
        </w:rPr>
        <w:t>Contractor Responsibilities:</w:t>
      </w:r>
    </w:p>
    <w:p w14:paraId="3F6086E7" w14:textId="77777777" w:rsidR="00494F2C" w:rsidRPr="00494F2C" w:rsidRDefault="00494F2C" w:rsidP="00494F2C">
      <w:pPr>
        <w:numPr>
          <w:ilvl w:val="1"/>
          <w:numId w:val="1"/>
        </w:numPr>
        <w:tabs>
          <w:tab w:val="left" w:pos="720"/>
        </w:tabs>
        <w:spacing w:after="120" w:line="240" w:lineRule="auto"/>
        <w:ind w:left="1170" w:hanging="360"/>
        <w:jc w:val="both"/>
        <w:rPr>
          <w:rFonts w:ascii="Times New Roman" w:eastAsia="Times New Roman" w:hAnsi="Times New Roman" w:cs="Times New Roman"/>
          <w:b/>
          <w:kern w:val="0"/>
          <w:sz w:val="20"/>
          <w:szCs w:val="20"/>
          <w:u w:val="single"/>
          <w14:ligatures w14:val="none"/>
        </w:rPr>
      </w:pPr>
      <w:r w:rsidRPr="00494F2C">
        <w:rPr>
          <w:rFonts w:ascii="Times New Roman" w:eastAsia="Times New Roman" w:hAnsi="Times New Roman" w:cs="Times New Roman"/>
          <w:kern w:val="0"/>
          <w:sz w:val="20"/>
          <w:szCs w:val="20"/>
          <w14:ligatures w14:val="none"/>
        </w:rPr>
        <w:t xml:space="preserve">Any request for deviation or waiver of any technical requirement by the Contractor via shall be IAW 009-01 of applicable document </w:t>
      </w:r>
      <w:r w:rsidRPr="00494F2C">
        <w:rPr>
          <w:rFonts w:ascii="Times New Roman" w:eastAsia="Times New Roman" w:hAnsi="Times New Roman" w:cs="Times New Roman"/>
          <w:kern w:val="0"/>
          <w:sz w:val="20"/>
          <w:szCs w:val="20"/>
          <w14:ligatures w14:val="none"/>
        </w:rPr>
        <w:fldChar w:fldCharType="begin"/>
      </w:r>
      <w:r w:rsidRPr="00494F2C">
        <w:rPr>
          <w:rFonts w:ascii="Times New Roman" w:eastAsia="Times New Roman" w:hAnsi="Times New Roman" w:cs="Times New Roman"/>
          <w:kern w:val="0"/>
          <w:sz w:val="20"/>
          <w:szCs w:val="20"/>
          <w14:ligatures w14:val="none"/>
        </w:rPr>
        <w:instrText xml:space="preserve"> REF _Ref494349295 \r \h  \* MERGEFORMAT </w:instrText>
      </w:r>
      <w:r w:rsidRPr="00494F2C">
        <w:rPr>
          <w:rFonts w:ascii="Times New Roman" w:eastAsia="Times New Roman" w:hAnsi="Times New Roman" w:cs="Times New Roman"/>
          <w:kern w:val="0"/>
          <w:sz w:val="20"/>
          <w:szCs w:val="20"/>
          <w14:ligatures w14:val="none"/>
        </w:rPr>
      </w:r>
      <w:r w:rsidRPr="00494F2C">
        <w:rPr>
          <w:rFonts w:ascii="Times New Roman" w:eastAsia="Times New Roman" w:hAnsi="Times New Roman" w:cs="Times New Roman"/>
          <w:kern w:val="0"/>
          <w:sz w:val="20"/>
          <w:szCs w:val="20"/>
          <w14:ligatures w14:val="none"/>
        </w:rPr>
        <w:fldChar w:fldCharType="separate"/>
      </w:r>
      <w:r w:rsidRPr="00494F2C">
        <w:rPr>
          <w:rFonts w:ascii="Times New Roman" w:eastAsia="Times New Roman" w:hAnsi="Times New Roman" w:cs="Times New Roman"/>
          <w:kern w:val="0"/>
          <w:sz w:val="20"/>
          <w:szCs w:val="20"/>
          <w14:ligatures w14:val="none"/>
        </w:rPr>
        <w:t>3.1</w:t>
      </w:r>
      <w:r w:rsidRPr="00494F2C">
        <w:rPr>
          <w:rFonts w:ascii="Times New Roman" w:eastAsia="Times New Roman" w:hAnsi="Times New Roman" w:cs="Times New Roman"/>
          <w:kern w:val="0"/>
          <w:sz w:val="20"/>
          <w:szCs w:val="20"/>
          <w14:ligatures w14:val="none"/>
        </w:rPr>
        <w:fldChar w:fldCharType="end"/>
      </w:r>
    </w:p>
    <w:p w14:paraId="75241D36" w14:textId="77777777" w:rsidR="00494F2C" w:rsidRPr="00494F2C" w:rsidRDefault="00494F2C" w:rsidP="00494F2C">
      <w:pPr>
        <w:numPr>
          <w:ilvl w:val="1"/>
          <w:numId w:val="1"/>
        </w:numPr>
        <w:tabs>
          <w:tab w:val="left" w:pos="720"/>
        </w:tabs>
        <w:spacing w:after="120" w:line="240" w:lineRule="auto"/>
        <w:ind w:left="1170" w:hanging="360"/>
        <w:jc w:val="both"/>
        <w:rPr>
          <w:rFonts w:ascii="Times New Roman" w:eastAsia="Times New Roman" w:hAnsi="Times New Roman" w:cs="Times New Roman"/>
          <w:b/>
          <w:kern w:val="0"/>
          <w:sz w:val="20"/>
          <w:szCs w:val="20"/>
          <w:u w:val="single"/>
          <w14:ligatures w14:val="none"/>
        </w:rPr>
      </w:pPr>
      <w:r w:rsidRPr="00494F2C">
        <w:rPr>
          <w:rFonts w:ascii="Times New Roman" w:eastAsia="Times New Roman" w:hAnsi="Times New Roman" w:cs="Times New Roman"/>
          <w:kern w:val="0"/>
          <w:sz w:val="20"/>
          <w:szCs w:val="20"/>
          <w14:ligatures w14:val="none"/>
        </w:rPr>
        <w:t>Contractor will identify areas of non-skid that will need to be removed to support NNSY tack welding of hold down nuts / plates or similar material used to attach portable milling machine to deck.</w:t>
      </w:r>
    </w:p>
    <w:p w14:paraId="0581A3E5" w14:textId="77777777" w:rsidR="00494F2C" w:rsidRPr="00494F2C" w:rsidRDefault="00494F2C" w:rsidP="00494F2C">
      <w:pPr>
        <w:numPr>
          <w:ilvl w:val="1"/>
          <w:numId w:val="1"/>
        </w:numPr>
        <w:tabs>
          <w:tab w:val="left" w:pos="720"/>
        </w:tabs>
        <w:spacing w:after="120" w:line="240" w:lineRule="auto"/>
        <w:ind w:left="1170" w:hanging="360"/>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Maintain existing installed horizontal flatness (+/- 0.04” over 36 IN) of hatch seal track over the distance you can mill in one set up, total length of seal area is about 26’-0”.</w:t>
      </w:r>
    </w:p>
    <w:p w14:paraId="597944A8" w14:textId="77777777" w:rsidR="00494F2C" w:rsidRPr="00494F2C" w:rsidRDefault="00494F2C" w:rsidP="00494F2C">
      <w:pPr>
        <w:numPr>
          <w:ilvl w:val="1"/>
          <w:numId w:val="1"/>
        </w:numPr>
        <w:tabs>
          <w:tab w:val="left" w:pos="720"/>
        </w:tabs>
        <w:spacing w:after="120" w:line="240" w:lineRule="auto"/>
        <w:ind w:left="1170" w:hanging="360"/>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 xml:space="preserve">On the forward ICCS Cab hatch seal track as shown in Figure 2 machine HSLA-100 track to maximum depth of 0.063” +/- 1/32” on horizonal surface of Figure 2 to a width of 2.63” with a surface finish of 250 rms.  Break all edges to leave no sharp corners as required.  </w:t>
      </w:r>
      <w:r w:rsidRPr="00494F2C">
        <w:rPr>
          <w:rFonts w:ascii="Times New Roman" w:eastAsia="Times New Roman" w:hAnsi="Times New Roman" w:cs="Times New Roman"/>
          <w:b/>
          <w:bCs/>
          <w:kern w:val="0"/>
          <w:sz w:val="20"/>
          <w:szCs w:val="20"/>
          <w14:ligatures w14:val="none"/>
        </w:rPr>
        <w:t>NNSY will positively mark the area(s) to be machined as required post repairs</w:t>
      </w:r>
      <w:r w:rsidRPr="00494F2C">
        <w:rPr>
          <w:rFonts w:ascii="Times New Roman" w:eastAsia="Times New Roman" w:hAnsi="Times New Roman" w:cs="Times New Roman"/>
          <w:kern w:val="0"/>
          <w:sz w:val="20"/>
          <w:szCs w:val="20"/>
          <w14:ligatures w14:val="none"/>
        </w:rPr>
        <w:t>.</w:t>
      </w:r>
    </w:p>
    <w:p w14:paraId="1C4BD147" w14:textId="77777777" w:rsidR="00494F2C" w:rsidRPr="00494F2C" w:rsidRDefault="00494F2C" w:rsidP="00494F2C">
      <w:pPr>
        <w:numPr>
          <w:ilvl w:val="1"/>
          <w:numId w:val="1"/>
        </w:numPr>
        <w:tabs>
          <w:tab w:val="left" w:pos="720"/>
        </w:tabs>
        <w:spacing w:after="120" w:line="240" w:lineRule="auto"/>
        <w:ind w:left="1170" w:hanging="360"/>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 xml:space="preserve">Machine </w:t>
      </w:r>
      <w:proofErr w:type="gramStart"/>
      <w:r w:rsidRPr="00494F2C">
        <w:rPr>
          <w:rFonts w:ascii="Times New Roman" w:eastAsia="Times New Roman" w:hAnsi="Times New Roman" w:cs="Times New Roman"/>
          <w:kern w:val="0"/>
          <w:sz w:val="20"/>
          <w:szCs w:val="20"/>
          <w14:ligatures w14:val="none"/>
        </w:rPr>
        <w:t>smooth</w:t>
      </w:r>
      <w:proofErr w:type="gramEnd"/>
      <w:r w:rsidRPr="00494F2C">
        <w:rPr>
          <w:rFonts w:ascii="Times New Roman" w:eastAsia="Times New Roman" w:hAnsi="Times New Roman" w:cs="Times New Roman"/>
          <w:kern w:val="0"/>
          <w:sz w:val="20"/>
          <w:szCs w:val="20"/>
          <w14:ligatures w14:val="none"/>
        </w:rPr>
        <w:t xml:space="preserve"> the entire seal track, transitioning from vertical to horizonal as required to meet dimensional tolerances of attached FIG. 2. </w:t>
      </w:r>
    </w:p>
    <w:p w14:paraId="23A84804"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b/>
          <w:bCs/>
          <w:kern w:val="0"/>
          <w:sz w:val="20"/>
          <w:szCs w:val="20"/>
          <w:u w:val="single"/>
          <w14:ligatures w14:val="none"/>
        </w:rPr>
        <w:t>RESTORATION:</w:t>
      </w:r>
    </w:p>
    <w:p w14:paraId="09DF9647"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Times New Roman"/>
          <w:kern w:val="0"/>
          <w:sz w:val="20"/>
          <w:szCs w:val="20"/>
          <w:u w:val="single"/>
          <w14:ligatures w14:val="none"/>
        </w:rPr>
      </w:pPr>
      <w:r w:rsidRPr="00494F2C">
        <w:rPr>
          <w:rFonts w:ascii="Times New Roman" w:eastAsia="Times New Roman" w:hAnsi="Times New Roman" w:cs="Times New Roman"/>
          <w:kern w:val="0"/>
          <w:sz w:val="20"/>
          <w:szCs w:val="20"/>
          <w14:ligatures w14:val="none"/>
        </w:rPr>
        <w:t xml:space="preserve">Clean all machining debris from ICCS Cab Hatch Seal Track at the completion of machining operations to allow for normal operations of Cab Hatch sealing. </w:t>
      </w:r>
    </w:p>
    <w:p w14:paraId="6194C695"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Per FAR 22.102-1(a) entitled “Safety”, Contractors are hereby informed that their employees or representatives present on property under Norfolk Naval Shipyard cognizance must follow Federal and State OSHA requirements; Norfolk Naval Shipyard OSHE Program Manual, NAVSHIPYDNORINST P5090.2 requirements; OSHE Control Manual (OSHECM) requirements; or safety requirements for site specific location of the contract</w:t>
      </w:r>
    </w:p>
    <w:p w14:paraId="23932317"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szCs w:val="20"/>
          <w:highlight w:val="yellow"/>
          <w14:ligatures w14:val="none"/>
        </w:rPr>
      </w:pPr>
      <w:r w:rsidRPr="00494F2C">
        <w:rPr>
          <w:rFonts w:ascii="Times New Roman" w:eastAsia="Times New Roman" w:hAnsi="Times New Roman" w:cs="Times New Roman"/>
          <w:kern w:val="0"/>
          <w:sz w:val="20"/>
          <w:szCs w:val="20"/>
          <w14:ligatures w14:val="none"/>
        </w:rPr>
        <w:t xml:space="preserve">Contractors and Non-NNSY Government Agencies (NNGAs) are hereby informed that their employees or representatives present on property under Norfolk Naval Shipyard (NNSY) cognizance must adhere to Federal OSHA requirements for hazardous energy control IAW 29 CFR 1915.89 and must follow Hazardous Energy Control (HEC) procedures as identified in NAVSEA’s Occupational Safety, Health, and Environment Corporate Manual (OSHECM) Chapter 250 (latest revision), when performing work under NNSY contract.  All HEC work to be performed by Contractors and NNGAs requires that NNSY Technical Points of Contact (TPOCs) and/or Contracting Officer’s Representatives (CORs) be notified of the HEC scope of work prior to starting work.  Any changes or deviations in the initial scope of HEC work requires the NNSY TPOCs and/or CORs to be informed of the change/deviation. OSHECM Chapter 250, Section 250.1 – E. Exceptions states examples of when HEC controls for the contractor(s) does not apply due to line #2 in this section, “Uniformed Navy Military personnel stationed shipboard”, due to this contractors and Non-NNSY Government Agencies (NNGAs) are to adhere to the NAVSEA S0400-AD-URN-010/TUM – Tag-out </w:t>
      </w:r>
      <w:proofErr w:type="spellStart"/>
      <w:r w:rsidRPr="00494F2C">
        <w:rPr>
          <w:rFonts w:ascii="Times New Roman" w:eastAsia="Times New Roman" w:hAnsi="Times New Roman" w:cs="Times New Roman"/>
          <w:kern w:val="0"/>
          <w:sz w:val="20"/>
          <w:szCs w:val="20"/>
          <w14:ligatures w14:val="none"/>
        </w:rPr>
        <w:t>Users Manual</w:t>
      </w:r>
      <w:proofErr w:type="spellEnd"/>
      <w:r w:rsidRPr="00494F2C">
        <w:rPr>
          <w:rFonts w:ascii="Times New Roman" w:eastAsia="Times New Roman" w:hAnsi="Times New Roman" w:cs="Times New Roman"/>
          <w:kern w:val="0"/>
          <w:sz w:val="20"/>
          <w:szCs w:val="20"/>
          <w14:ligatures w14:val="none"/>
        </w:rPr>
        <w:t xml:space="preserve"> (TUM). </w:t>
      </w:r>
      <w:r w:rsidRPr="00494F2C">
        <w:rPr>
          <w:rFonts w:ascii="Times New Roman" w:eastAsia="Times New Roman" w:hAnsi="Times New Roman" w:cs="Times New Roman"/>
          <w:kern w:val="0"/>
          <w:sz w:val="20"/>
          <w:szCs w:val="20"/>
          <w14:ligatures w14:val="none"/>
        </w:rPr>
        <w:br/>
      </w:r>
      <w:r w:rsidRPr="00494F2C">
        <w:rPr>
          <w:rFonts w:ascii="Times New Roman" w:eastAsia="Times New Roman" w:hAnsi="Times New Roman" w:cs="Times New Roman"/>
          <w:kern w:val="0"/>
          <w:sz w:val="20"/>
          <w:szCs w:val="20"/>
          <w:highlight w:val="yellow"/>
          <w14:ligatures w14:val="none"/>
        </w:rPr>
        <w:br/>
      </w:r>
    </w:p>
    <w:p w14:paraId="5EB5DE7A"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 xml:space="preserve">Contractor must provide Objective Quality Evidence (OQE) documentation to NNSY Code 256, </w:t>
      </w:r>
      <w:proofErr w:type="gramStart"/>
      <w:r w:rsidRPr="00494F2C">
        <w:rPr>
          <w:rFonts w:ascii="Times New Roman" w:eastAsia="Times New Roman" w:hAnsi="Times New Roman" w:cs="Times New Roman"/>
          <w:kern w:val="0"/>
          <w:sz w:val="20"/>
          <w:szCs w:val="20"/>
          <w14:ligatures w14:val="none"/>
        </w:rPr>
        <w:t>CVN  Code</w:t>
      </w:r>
      <w:proofErr w:type="gramEnd"/>
      <w:r w:rsidRPr="00494F2C">
        <w:rPr>
          <w:rFonts w:ascii="Times New Roman" w:eastAsia="Times New Roman" w:hAnsi="Times New Roman" w:cs="Times New Roman"/>
          <w:kern w:val="0"/>
          <w:sz w:val="20"/>
          <w:szCs w:val="20"/>
          <w14:ligatures w14:val="none"/>
        </w:rPr>
        <w:t xml:space="preserve"> 256 Trouble Desk will review and maintain copies to notify Code 246 Test Engineering.   </w:t>
      </w:r>
    </w:p>
    <w:p w14:paraId="0224E636"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NNSY Code 246 shall perform tightness testing with NNSY Code 256 and Contractors present to ensure ICCS cab hatch seal has a watertight seal prior to release of work controls, if C246 deems the hatch seal a failure, they shall (with Code 256) identify and locate area(s) where the Contractor shall perform rework.</w:t>
      </w:r>
    </w:p>
    <w:p w14:paraId="5CA04AB5"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 xml:space="preserve">Contractors and NNGAs may obtain electronic copies of OSHECM Chapter 250 (latest revision) and access the OSHA 1915.89 web site by using the following link to NNSY’s public access website:  </w:t>
      </w:r>
      <w:hyperlink r:id="rId5" w:history="1">
        <w:r w:rsidRPr="00494F2C">
          <w:rPr>
            <w:rFonts w:ascii="Times New Roman" w:eastAsia="Times New Roman" w:hAnsi="Times New Roman" w:cs="Times New Roman"/>
            <w:color w:val="0000FF"/>
            <w:kern w:val="0"/>
            <w:sz w:val="20"/>
            <w:szCs w:val="20"/>
            <w:u w:val="single"/>
            <w14:ligatures w14:val="none"/>
          </w:rPr>
          <w:t>http://www.navsea.navy.mil/shipyards/norfolk/default.aspx</w:t>
        </w:r>
      </w:hyperlink>
    </w:p>
    <w:p w14:paraId="0C5ED83A" w14:textId="77777777" w:rsidR="00494F2C" w:rsidRPr="00494F2C" w:rsidRDefault="00494F2C" w:rsidP="00494F2C">
      <w:pPr>
        <w:numPr>
          <w:ilvl w:val="0"/>
          <w:numId w:val="1"/>
        </w:numPr>
        <w:tabs>
          <w:tab w:val="left" w:pos="2070"/>
        </w:tabs>
        <w:spacing w:after="120" w:line="240" w:lineRule="auto"/>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b/>
          <w:kern w:val="0"/>
          <w:sz w:val="20"/>
          <w:szCs w:val="20"/>
          <w:u w:val="single"/>
          <w14:ligatures w14:val="none"/>
        </w:rPr>
        <w:t>Government Responsibilities:</w:t>
      </w:r>
    </w:p>
    <w:p w14:paraId="2D99E4B7"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lastRenderedPageBreak/>
        <w:t>NNSY will positively mark the portion of hatch seal track to be machined.</w:t>
      </w:r>
    </w:p>
    <w:p w14:paraId="03E80A70"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Provide pier access for company vehicles to drop off and load tools and equipment at Naval Station Norfolk, on the CVN project.</w:t>
      </w:r>
    </w:p>
    <w:p w14:paraId="77E528E0" w14:textId="77777777" w:rsidR="00494F2C" w:rsidRPr="00494F2C" w:rsidRDefault="00494F2C" w:rsidP="00494F2C">
      <w:pPr>
        <w:numPr>
          <w:ilvl w:val="1"/>
          <w:numId w:val="1"/>
        </w:numPr>
        <w:spacing w:after="120" w:line="240" w:lineRule="auto"/>
        <w:ind w:left="1166" w:hanging="374"/>
        <w:jc w:val="both"/>
        <w:rPr>
          <w:rFonts w:ascii="Times New Roman" w:eastAsia="Times New Roman" w:hAnsi="Times New Roman" w:cs="Arial"/>
          <w:kern w:val="0"/>
          <w:sz w:val="20"/>
          <w:u w:val="single"/>
          <w14:ligatures w14:val="none"/>
        </w:rPr>
      </w:pPr>
      <w:r w:rsidRPr="00494F2C">
        <w:rPr>
          <w:rFonts w:ascii="Times New Roman" w:eastAsia="Times New Roman" w:hAnsi="Times New Roman" w:cs="Arial"/>
          <w:kern w:val="0"/>
          <w:sz w:val="20"/>
          <w14:ligatures w14:val="none"/>
        </w:rPr>
        <w:t>Provide crane/rigging/forklift services as required to load/unload tools, and equipment from vehicles pier side to ship.  Note: Contractor must provide lift requests to NNSY Project Team in accordance with current NNSY Project lift request guidelines.  Contractor to submit request via Onsite Coordination POC</w:t>
      </w:r>
    </w:p>
    <w:p w14:paraId="2D5E1070"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Arial"/>
          <w:kern w:val="0"/>
          <w:sz w:val="20"/>
          <w:u w:val="single"/>
          <w14:ligatures w14:val="none"/>
        </w:rPr>
      </w:pPr>
      <w:bookmarkStart w:id="2" w:name="_Hlk188344123"/>
      <w:r w:rsidRPr="00494F2C">
        <w:rPr>
          <w:rFonts w:ascii="Times New Roman" w:eastAsia="Times New Roman" w:hAnsi="Times New Roman" w:cs="Arial"/>
          <w:kern w:val="0"/>
          <w:sz w:val="20"/>
          <w14:ligatures w14:val="none"/>
        </w:rPr>
        <w:t xml:space="preserve">Provide crane/rigging services as required to handle contractors portable milling machine as required during machining </w:t>
      </w:r>
      <w:bookmarkEnd w:id="2"/>
      <w:r w:rsidRPr="00494F2C">
        <w:rPr>
          <w:rFonts w:ascii="Times New Roman" w:eastAsia="Times New Roman" w:hAnsi="Times New Roman" w:cs="Arial"/>
          <w:kern w:val="0"/>
          <w:sz w:val="20"/>
          <w14:ligatures w14:val="none"/>
        </w:rPr>
        <w:t>operations.</w:t>
      </w:r>
    </w:p>
    <w:p w14:paraId="0CA9644B" w14:textId="77777777" w:rsidR="00494F2C" w:rsidRPr="00494F2C" w:rsidRDefault="00494F2C" w:rsidP="00494F2C">
      <w:pPr>
        <w:numPr>
          <w:ilvl w:val="1"/>
          <w:numId w:val="1"/>
        </w:numPr>
        <w:spacing w:after="120" w:line="240" w:lineRule="auto"/>
        <w:ind w:left="1170" w:hanging="378"/>
        <w:jc w:val="both"/>
        <w:rPr>
          <w:rFonts w:ascii="Times New Roman" w:eastAsia="Times New Roman" w:hAnsi="Times New Roman" w:cs="Arial"/>
          <w:kern w:val="0"/>
          <w:sz w:val="20"/>
          <w14:ligatures w14:val="none"/>
        </w:rPr>
      </w:pPr>
      <w:r w:rsidRPr="00494F2C">
        <w:rPr>
          <w:rFonts w:ascii="Times New Roman" w:eastAsia="Times New Roman" w:hAnsi="Times New Roman" w:cs="Arial"/>
          <w:kern w:val="0"/>
          <w:sz w:val="20"/>
          <w14:ligatures w14:val="none"/>
        </w:rPr>
        <w:t xml:space="preserve">Electrical power </w:t>
      </w:r>
      <w:proofErr w:type="gramStart"/>
      <w:r w:rsidRPr="00494F2C">
        <w:rPr>
          <w:rFonts w:ascii="Times New Roman" w:eastAsia="Times New Roman" w:hAnsi="Times New Roman" w:cs="Arial"/>
          <w:kern w:val="0"/>
          <w:sz w:val="20"/>
          <w14:ligatures w14:val="none"/>
        </w:rPr>
        <w:t>as</w:t>
      </w:r>
      <w:proofErr w:type="gramEnd"/>
      <w:r w:rsidRPr="00494F2C">
        <w:rPr>
          <w:rFonts w:ascii="Times New Roman" w:eastAsia="Times New Roman" w:hAnsi="Times New Roman" w:cs="Arial"/>
          <w:kern w:val="0"/>
          <w:sz w:val="20"/>
          <w14:ligatures w14:val="none"/>
        </w:rPr>
        <w:t xml:space="preserve"> required to operate contractor’s equipment. Contractor to submit request via Onsite Coordination POC</w:t>
      </w:r>
    </w:p>
    <w:p w14:paraId="59794F49"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will remove non-skid/paint in way of milling machine installation as required.</w:t>
      </w:r>
    </w:p>
    <w:p w14:paraId="1DE38CA5"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will repair any non-skid/paint that was removed during installation IAW with REF. 3.1.</w:t>
      </w:r>
    </w:p>
    <w:p w14:paraId="3D9769B6"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will provide welding services for tack welding contractors hold down nuts/plates to deck.</w:t>
      </w:r>
    </w:p>
    <w:p w14:paraId="74BF47CD"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will remove and grind flush all welds when machining is complete.</w:t>
      </w:r>
    </w:p>
    <w:p w14:paraId="693277C2"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will remove/install zipper plates as required.</w:t>
      </w:r>
    </w:p>
    <w:p w14:paraId="50294A15" w14:textId="77777777" w:rsidR="00494F2C" w:rsidRPr="00494F2C" w:rsidRDefault="00494F2C" w:rsidP="00494F2C">
      <w:pPr>
        <w:numPr>
          <w:ilvl w:val="1"/>
          <w:numId w:val="1"/>
        </w:numPr>
        <w:spacing w:after="120" w:line="240" w:lineRule="auto"/>
        <w:ind w:left="1267" w:hanging="475"/>
        <w:jc w:val="both"/>
        <w:rPr>
          <w:rFonts w:ascii="Times New Roman" w:eastAsia="Times New Roman" w:hAnsi="Times New Roman" w:cs="Times New Roman"/>
          <w:kern w:val="0"/>
          <w:sz w:val="20"/>
          <w14:ligatures w14:val="none"/>
        </w:rPr>
      </w:pPr>
      <w:r w:rsidRPr="00494F2C">
        <w:rPr>
          <w:rFonts w:ascii="Times New Roman" w:eastAsia="Times New Roman" w:hAnsi="Times New Roman" w:cs="Times New Roman"/>
          <w:kern w:val="0"/>
          <w:sz w:val="20"/>
          <w14:ligatures w14:val="none"/>
        </w:rPr>
        <w:t>NNSY C246 STEPS</w:t>
      </w:r>
    </w:p>
    <w:p w14:paraId="5B0BE417" w14:textId="77777777" w:rsidR="00494F2C" w:rsidRPr="00494F2C" w:rsidRDefault="00494F2C" w:rsidP="00494F2C">
      <w:pPr>
        <w:numPr>
          <w:ilvl w:val="0"/>
          <w:numId w:val="1"/>
        </w:numPr>
        <w:tabs>
          <w:tab w:val="left" w:pos="2070"/>
        </w:tabs>
        <w:spacing w:after="120" w:line="240" w:lineRule="auto"/>
        <w:jc w:val="both"/>
        <w:rPr>
          <w:rFonts w:ascii="Times New Roman" w:eastAsia="Times New Roman" w:hAnsi="Times New Roman" w:cs="Times New Roman"/>
          <w:b/>
          <w:kern w:val="0"/>
          <w:sz w:val="20"/>
          <w:szCs w:val="20"/>
          <w:u w:val="single"/>
          <w14:ligatures w14:val="none"/>
        </w:rPr>
      </w:pPr>
      <w:bookmarkStart w:id="3" w:name="_Hlk193358564"/>
      <w:r w:rsidRPr="00494F2C">
        <w:rPr>
          <w:rFonts w:ascii="Times New Roman" w:eastAsia="Times New Roman" w:hAnsi="Times New Roman" w:cs="Times New Roman"/>
          <w:b/>
          <w:kern w:val="0"/>
          <w:sz w:val="20"/>
          <w:szCs w:val="20"/>
          <w:u w:val="single"/>
          <w14:ligatures w14:val="none"/>
        </w:rPr>
        <w:t>Defense Biometric Identification System and NAVSEA Badging</w:t>
      </w:r>
    </w:p>
    <w:p w14:paraId="723A25BD" w14:textId="77777777" w:rsidR="00494F2C" w:rsidRPr="00494F2C" w:rsidRDefault="00494F2C" w:rsidP="00494F2C">
      <w:pPr>
        <w:numPr>
          <w:ilvl w:val="1"/>
          <w:numId w:val="1"/>
        </w:numPr>
        <w:tabs>
          <w:tab w:val="left" w:pos="2070"/>
        </w:tabs>
        <w:spacing w:after="120" w:line="240" w:lineRule="auto"/>
        <w:jc w:val="both"/>
        <w:rPr>
          <w:rFonts w:ascii="Times New Roman" w:eastAsia="Times New Roman" w:hAnsi="Times New Roman" w:cs="Times New Roman"/>
          <w:bCs/>
          <w:kern w:val="0"/>
          <w:sz w:val="20"/>
          <w:szCs w:val="20"/>
          <w14:ligatures w14:val="none"/>
        </w:rPr>
      </w:pPr>
      <w:r w:rsidRPr="00494F2C">
        <w:rPr>
          <w:rFonts w:ascii="Times New Roman" w:eastAsia="Times New Roman" w:hAnsi="Times New Roman" w:cs="Times New Roman"/>
          <w:bCs/>
          <w:kern w:val="0"/>
          <w:sz w:val="20"/>
          <w:szCs w:val="20"/>
          <w14:ligatures w14:val="none"/>
        </w:rPr>
        <w:t xml:space="preserve">All contractors, </w:t>
      </w:r>
      <w:proofErr w:type="gramStart"/>
      <w:r w:rsidRPr="00494F2C">
        <w:rPr>
          <w:rFonts w:ascii="Times New Roman" w:eastAsia="Times New Roman" w:hAnsi="Times New Roman" w:cs="Times New Roman"/>
          <w:bCs/>
          <w:kern w:val="0"/>
          <w:sz w:val="20"/>
          <w:szCs w:val="20"/>
          <w14:ligatures w14:val="none"/>
        </w:rPr>
        <w:t>with the exception of</w:t>
      </w:r>
      <w:proofErr w:type="gramEnd"/>
      <w:r w:rsidRPr="00494F2C">
        <w:rPr>
          <w:rFonts w:ascii="Times New Roman" w:eastAsia="Times New Roman" w:hAnsi="Times New Roman" w:cs="Times New Roman"/>
          <w:bCs/>
          <w:kern w:val="0"/>
          <w:sz w:val="20"/>
          <w:szCs w:val="20"/>
          <w14:ligatures w14:val="none"/>
        </w:rPr>
        <w:t xml:space="preserve"> permanent party (or “seated” contractors with Common Access Cards (CACs), will be required to obtain a DBIDS card to gain access to NNSY.</w:t>
      </w:r>
    </w:p>
    <w:p w14:paraId="3BC6A644" w14:textId="77777777" w:rsidR="00494F2C" w:rsidRPr="00494F2C" w:rsidRDefault="00494F2C" w:rsidP="00494F2C">
      <w:pPr>
        <w:numPr>
          <w:ilvl w:val="1"/>
          <w:numId w:val="1"/>
        </w:numPr>
        <w:tabs>
          <w:tab w:val="left" w:pos="2070"/>
        </w:tabs>
        <w:spacing w:after="120" w:line="240" w:lineRule="auto"/>
        <w:jc w:val="both"/>
        <w:rPr>
          <w:rFonts w:ascii="Times New Roman" w:eastAsia="Times New Roman" w:hAnsi="Times New Roman" w:cs="Times New Roman"/>
          <w:bCs/>
          <w:kern w:val="0"/>
          <w:sz w:val="20"/>
          <w:szCs w:val="20"/>
          <w14:ligatures w14:val="none"/>
        </w:rPr>
      </w:pPr>
      <w:r w:rsidRPr="00494F2C">
        <w:rPr>
          <w:rFonts w:ascii="Times New Roman" w:eastAsia="Times New Roman" w:hAnsi="Times New Roman" w:cs="Times New Roman"/>
          <w:bCs/>
          <w:kern w:val="0"/>
          <w:sz w:val="20"/>
          <w:szCs w:val="20"/>
          <w14:ligatures w14:val="none"/>
        </w:rPr>
        <w:t>Procedure for receiving a DBIDS card:</w:t>
      </w:r>
    </w:p>
    <w:p w14:paraId="4EE55A0A"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Contractor will complete the SECNAV 5512 form(s) and forward them to their NNSY Sponsor/Contracting Officer’s Representative (COR).</w:t>
      </w:r>
    </w:p>
    <w:p w14:paraId="4FBC1B95"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The sponsor will complete the CVS spreadsheet utilizing the information on the completed SECNAV5512 forms and forward all documents to Commander Navy region Mid-Atlantic (CNRMA) for vetting.</w:t>
      </w:r>
    </w:p>
    <w:p w14:paraId="7E7AF6D2"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Arial"/>
          <w:bCs/>
          <w:kern w:val="0"/>
          <w:sz w:val="20"/>
          <w14:ligatures w14:val="none"/>
        </w:rPr>
      </w:pPr>
      <w:r w:rsidRPr="00494F2C">
        <w:rPr>
          <w:rFonts w:ascii="Times New Roman" w:eastAsia="Times New Roman" w:hAnsi="Times New Roman" w:cs="Times New Roman"/>
          <w:bCs/>
          <w:kern w:val="0"/>
          <w:sz w:val="20"/>
          <w14:ligatures w14:val="none"/>
        </w:rPr>
        <w:t>CNRMA</w:t>
      </w:r>
      <w:r w:rsidRPr="00494F2C">
        <w:rPr>
          <w:rFonts w:ascii="Times New Roman" w:eastAsia="Times New Roman" w:hAnsi="Times New Roman" w:cs="Arial"/>
          <w:bCs/>
          <w:kern w:val="0"/>
          <w:sz w:val="20"/>
          <w14:ligatures w14:val="none"/>
        </w:rPr>
        <w:t xml:space="preserve"> will add the contractor to the “179-Day List” which is utilized by the Pass and ID office to create the DBIDS card.</w:t>
      </w:r>
    </w:p>
    <w:p w14:paraId="4E5BD25F"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Once on the 179-Day List, the contractor may go to Pass and ID to have their DBIDS card generated.</w:t>
      </w:r>
    </w:p>
    <w:p w14:paraId="33A2588F"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Green NAVSEA access badges can be generated at this point with contractors providing proof of U.S. Citizenship (Birth Certificate/ US Passport).</w:t>
      </w:r>
    </w:p>
    <w:p w14:paraId="762C3BD0"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b/>
          <w:kern w:val="0"/>
          <w:sz w:val="20"/>
          <w:u w:val="single"/>
          <w14:ligatures w14:val="none"/>
        </w:rPr>
      </w:pPr>
      <w:r w:rsidRPr="00494F2C">
        <w:rPr>
          <w:rFonts w:ascii="Times New Roman" w:eastAsia="Times New Roman" w:hAnsi="Times New Roman" w:cs="Times New Roman"/>
          <w:b/>
          <w:kern w:val="0"/>
          <w:sz w:val="20"/>
          <w:u w:val="single"/>
          <w14:ligatures w14:val="none"/>
        </w:rPr>
        <w:t>Portable Electronic Devices (PEDs)</w:t>
      </w:r>
    </w:p>
    <w:p w14:paraId="19FFA0E9" w14:textId="77777777" w:rsidR="00494F2C" w:rsidRPr="00494F2C" w:rsidRDefault="00494F2C" w:rsidP="00494F2C">
      <w:pPr>
        <w:numPr>
          <w:ilvl w:val="1"/>
          <w:numId w:val="1"/>
        </w:numPr>
        <w:spacing w:after="120" w:line="240" w:lineRule="auto"/>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7ECCD857"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Arial"/>
          <w:bCs/>
          <w:kern w:val="0"/>
          <w:sz w:val="20"/>
          <w14:ligatures w14:val="none"/>
        </w:rPr>
      </w:pPr>
      <w:r w:rsidRPr="00494F2C">
        <w:rPr>
          <w:rFonts w:ascii="Times New Roman" w:eastAsia="Times New Roman" w:hAnsi="Times New Roman" w:cs="Times New Roman"/>
          <w:bCs/>
          <w:kern w:val="0"/>
          <w:sz w:val="20"/>
          <w14:ligatures w14:val="none"/>
        </w:rPr>
        <w:t xml:space="preserve">In accordance with Reference 2.10, personally owned camera enabled PEDs will be authorized inside of the Controlled Industrial Area (CIA) and all </w:t>
      </w:r>
      <w:r w:rsidRPr="00494F2C">
        <w:rPr>
          <w:rFonts w:ascii="Times New Roman" w:eastAsia="Times New Roman" w:hAnsi="Times New Roman" w:cs="Arial"/>
          <w:bCs/>
          <w:kern w:val="0"/>
          <w:sz w:val="20"/>
          <w14:ligatures w14:val="none"/>
        </w:rPr>
        <w:t>Security Islands. Camera enabled PEDs will remain unauthorized within Controlled Nuclear Information Areas (CNIAs), Nuclear Work Areas (NWAs) and Open Storage Areas.</w:t>
      </w:r>
    </w:p>
    <w:p w14:paraId="13948FAC"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t>All PEDs, camera enabled or not, are still prohibited within NWAs and Open Storage Areas.</w:t>
      </w:r>
    </w:p>
    <w:p w14:paraId="45587BF2" w14:textId="77777777" w:rsidR="00494F2C" w:rsidRPr="00494F2C" w:rsidRDefault="00494F2C" w:rsidP="00494F2C">
      <w:pPr>
        <w:spacing w:after="120" w:line="240" w:lineRule="auto"/>
        <w:jc w:val="both"/>
        <w:rPr>
          <w:rFonts w:ascii="Times New Roman" w:eastAsia="Times New Roman" w:hAnsi="Times New Roman" w:cs="Times New Roman"/>
          <w:bCs/>
          <w:kern w:val="0"/>
          <w:sz w:val="20"/>
          <w14:ligatures w14:val="none"/>
        </w:rPr>
      </w:pPr>
    </w:p>
    <w:p w14:paraId="6E97D12C" w14:textId="77777777" w:rsidR="00494F2C" w:rsidRPr="00494F2C" w:rsidRDefault="00494F2C" w:rsidP="00494F2C">
      <w:pPr>
        <w:numPr>
          <w:ilvl w:val="2"/>
          <w:numId w:val="1"/>
        </w:numPr>
        <w:spacing w:after="120" w:line="240" w:lineRule="auto"/>
        <w:ind w:left="2160" w:hanging="630"/>
        <w:jc w:val="both"/>
        <w:rPr>
          <w:rFonts w:ascii="Times New Roman" w:eastAsia="Times New Roman" w:hAnsi="Times New Roman" w:cs="Times New Roman"/>
          <w:bCs/>
          <w:kern w:val="0"/>
          <w:sz w:val="20"/>
          <w14:ligatures w14:val="none"/>
        </w:rPr>
      </w:pPr>
      <w:r w:rsidRPr="00494F2C">
        <w:rPr>
          <w:rFonts w:ascii="Times New Roman" w:eastAsia="Times New Roman" w:hAnsi="Times New Roman" w:cs="Times New Roman"/>
          <w:bCs/>
          <w:kern w:val="0"/>
          <w:sz w:val="20"/>
          <w14:ligatures w14:val="none"/>
        </w:rPr>
        <w:lastRenderedPageBreak/>
        <w:t xml:space="preserve">The allowance of camera enabled PEDs inside of the CIA and Security Islands does not negate existing photography policies.  Unofficial photography, filming of video, or live streaming from the camera-enabled PED remains prohibited within the CIA or any NAVSEA controlled space outside of the CIA.  Further, audio recordings (both digitally </w:t>
      </w:r>
      <w:proofErr w:type="gramStart"/>
      <w:r w:rsidRPr="00494F2C">
        <w:rPr>
          <w:rFonts w:ascii="Times New Roman" w:eastAsia="Times New Roman" w:hAnsi="Times New Roman" w:cs="Times New Roman"/>
          <w:bCs/>
          <w:kern w:val="0"/>
          <w:sz w:val="20"/>
          <w14:ligatures w14:val="none"/>
        </w:rPr>
        <w:t>or</w:t>
      </w:r>
      <w:proofErr w:type="gramEnd"/>
      <w:r w:rsidRPr="00494F2C">
        <w:rPr>
          <w:rFonts w:ascii="Times New Roman" w:eastAsia="Times New Roman" w:hAnsi="Times New Roman" w:cs="Times New Roman"/>
          <w:bCs/>
          <w:kern w:val="0"/>
          <w:sz w:val="20"/>
          <w14:ligatures w14:val="none"/>
        </w:rPr>
        <w:t xml:space="preserve"> magnetically) in NAVSEA spaces </w:t>
      </w:r>
      <w:proofErr w:type="gramStart"/>
      <w:r w:rsidRPr="00494F2C">
        <w:rPr>
          <w:rFonts w:ascii="Times New Roman" w:eastAsia="Times New Roman" w:hAnsi="Times New Roman" w:cs="Times New Roman"/>
          <w:bCs/>
          <w:kern w:val="0"/>
          <w:sz w:val="20"/>
          <w14:ligatures w14:val="none"/>
        </w:rPr>
        <w:t>is</w:t>
      </w:r>
      <w:proofErr w:type="gramEnd"/>
      <w:r w:rsidRPr="00494F2C">
        <w:rPr>
          <w:rFonts w:ascii="Times New Roman" w:eastAsia="Times New Roman" w:hAnsi="Times New Roman" w:cs="Times New Roman"/>
          <w:bCs/>
          <w:kern w:val="0"/>
          <w:sz w:val="20"/>
          <w14:ligatures w14:val="none"/>
        </w:rPr>
        <w:t xml:space="preserve"> prohibited without the approval of </w:t>
      </w:r>
      <w:proofErr w:type="gramStart"/>
      <w:r w:rsidRPr="00494F2C">
        <w:rPr>
          <w:rFonts w:ascii="Times New Roman" w:eastAsia="Times New Roman" w:hAnsi="Times New Roman" w:cs="Times New Roman"/>
          <w:bCs/>
          <w:kern w:val="0"/>
          <w:sz w:val="20"/>
          <w14:ligatures w14:val="none"/>
        </w:rPr>
        <w:t>the Code</w:t>
      </w:r>
      <w:proofErr w:type="gramEnd"/>
      <w:r w:rsidRPr="00494F2C">
        <w:rPr>
          <w:rFonts w:ascii="Times New Roman" w:eastAsia="Times New Roman" w:hAnsi="Times New Roman" w:cs="Times New Roman"/>
          <w:bCs/>
          <w:kern w:val="0"/>
          <w:sz w:val="20"/>
          <w14:ligatures w14:val="none"/>
        </w:rPr>
        <w:t xml:space="preserve"> 1120 Security Director.</w:t>
      </w:r>
    </w:p>
    <w:bookmarkEnd w:id="3"/>
    <w:p w14:paraId="51407227" w14:textId="77777777" w:rsidR="00494F2C" w:rsidRPr="00494F2C" w:rsidRDefault="00494F2C" w:rsidP="00494F2C">
      <w:pPr>
        <w:numPr>
          <w:ilvl w:val="0"/>
          <w:numId w:val="1"/>
        </w:numPr>
        <w:tabs>
          <w:tab w:val="left" w:pos="2070"/>
        </w:tabs>
        <w:spacing w:after="120" w:line="240" w:lineRule="auto"/>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b/>
          <w:kern w:val="0"/>
          <w:sz w:val="20"/>
          <w:szCs w:val="20"/>
          <w:u w:val="single"/>
          <w14:ligatures w14:val="none"/>
        </w:rPr>
        <w:t>Government Furnished Material:</w:t>
      </w:r>
    </w:p>
    <w:p w14:paraId="30683509" w14:textId="77777777" w:rsidR="00494F2C" w:rsidRPr="00494F2C" w:rsidRDefault="00494F2C" w:rsidP="00494F2C">
      <w:pPr>
        <w:numPr>
          <w:ilvl w:val="1"/>
          <w:numId w:val="1"/>
        </w:numPr>
        <w:spacing w:after="120" w:line="240" w:lineRule="auto"/>
        <w:ind w:left="1620" w:hanging="454"/>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kern w:val="0"/>
          <w:sz w:val="20"/>
          <w:szCs w:val="20"/>
          <w14:ligatures w14:val="none"/>
        </w:rPr>
        <w:t>Not Applicable</w:t>
      </w:r>
    </w:p>
    <w:p w14:paraId="28C75F35" w14:textId="77777777" w:rsidR="00494F2C" w:rsidRPr="00494F2C" w:rsidRDefault="00494F2C" w:rsidP="00494F2C">
      <w:pPr>
        <w:numPr>
          <w:ilvl w:val="0"/>
          <w:numId w:val="1"/>
        </w:numPr>
        <w:spacing w:after="120" w:line="240" w:lineRule="auto"/>
        <w:jc w:val="both"/>
        <w:rPr>
          <w:rFonts w:ascii="Times New Roman" w:eastAsia="Times New Roman" w:hAnsi="Times New Roman" w:cs="Arial"/>
          <w:kern w:val="0"/>
          <w:sz w:val="20"/>
          <w:szCs w:val="20"/>
          <w14:ligatures w14:val="none"/>
        </w:rPr>
      </w:pPr>
      <w:r w:rsidRPr="00494F2C">
        <w:rPr>
          <w:rFonts w:ascii="Times New Roman" w:eastAsia="Times New Roman" w:hAnsi="Times New Roman" w:cs="Times New Roman"/>
          <w:kern w:val="0"/>
          <w:sz w:val="20"/>
          <w:szCs w:val="20"/>
          <w14:ligatures w14:val="none"/>
        </w:rPr>
        <w:t xml:space="preserve"> </w:t>
      </w:r>
      <w:r w:rsidRPr="00494F2C">
        <w:rPr>
          <w:rFonts w:ascii="Times New Roman" w:eastAsia="Times New Roman" w:hAnsi="Times New Roman" w:cs="Arial"/>
          <w:b/>
          <w:kern w:val="0"/>
          <w:sz w:val="20"/>
          <w:szCs w:val="20"/>
          <w:u w:val="single"/>
          <w14:ligatures w14:val="none"/>
        </w:rPr>
        <w:t>Period of Performance (</w:t>
      </w:r>
      <w:proofErr w:type="spellStart"/>
      <w:r w:rsidRPr="00494F2C">
        <w:rPr>
          <w:rFonts w:ascii="Times New Roman" w:eastAsia="Times New Roman" w:hAnsi="Times New Roman" w:cs="Arial"/>
          <w:b/>
          <w:kern w:val="0"/>
          <w:sz w:val="20"/>
          <w:szCs w:val="20"/>
          <w:u w:val="single"/>
          <w14:ligatures w14:val="none"/>
        </w:rPr>
        <w:t>PoP</w:t>
      </w:r>
      <w:proofErr w:type="spellEnd"/>
      <w:r w:rsidRPr="00494F2C">
        <w:rPr>
          <w:rFonts w:ascii="Times New Roman" w:eastAsia="Times New Roman" w:hAnsi="Times New Roman" w:cs="Arial"/>
          <w:b/>
          <w:kern w:val="0"/>
          <w:sz w:val="20"/>
          <w:szCs w:val="20"/>
          <w:u w:val="single"/>
          <w14:ligatures w14:val="none"/>
        </w:rPr>
        <w:t>)/ Completion Date/ Delivery Date</w:t>
      </w:r>
      <w:proofErr w:type="gramStart"/>
      <w:r w:rsidRPr="00494F2C">
        <w:rPr>
          <w:rFonts w:ascii="Times New Roman" w:eastAsia="Times New Roman" w:hAnsi="Times New Roman" w:cs="Arial"/>
          <w:b/>
          <w:kern w:val="0"/>
          <w:sz w:val="20"/>
          <w:szCs w:val="20"/>
          <w:u w:val="single"/>
          <w14:ligatures w14:val="none"/>
        </w:rPr>
        <w:t>:</w:t>
      </w:r>
      <w:r w:rsidRPr="00494F2C">
        <w:rPr>
          <w:rFonts w:ascii="Times New Roman" w:eastAsia="Times New Roman" w:hAnsi="Times New Roman" w:cs="Arial"/>
          <w:b/>
          <w:kern w:val="0"/>
          <w:sz w:val="20"/>
          <w:szCs w:val="20"/>
          <w14:ligatures w14:val="none"/>
        </w:rPr>
        <w:t xml:space="preserve">  </w:t>
      </w:r>
      <w:r w:rsidRPr="00494F2C">
        <w:rPr>
          <w:rFonts w:ascii="Times New Roman" w:eastAsia="Times New Roman" w:hAnsi="Times New Roman" w:cs="Arial"/>
          <w:bCs/>
          <w:kern w:val="0"/>
          <w:sz w:val="20"/>
          <w:szCs w:val="20"/>
          <w14:ligatures w14:val="none"/>
        </w:rPr>
        <w:t>22</w:t>
      </w:r>
      <w:proofErr w:type="gramEnd"/>
      <w:r w:rsidRPr="00494F2C">
        <w:rPr>
          <w:rFonts w:ascii="Times New Roman" w:eastAsia="Times New Roman" w:hAnsi="Times New Roman" w:cs="Arial"/>
          <w:bCs/>
          <w:kern w:val="0"/>
          <w:sz w:val="20"/>
          <w:szCs w:val="20"/>
          <w14:ligatures w14:val="none"/>
        </w:rPr>
        <w:t>-June-2026 to 22-October-2026 (est)</w:t>
      </w:r>
    </w:p>
    <w:p w14:paraId="039C2BEE" w14:textId="77777777" w:rsidR="00494F2C" w:rsidRPr="00494F2C" w:rsidRDefault="00494F2C" w:rsidP="00494F2C">
      <w:pPr>
        <w:numPr>
          <w:ilvl w:val="0"/>
          <w:numId w:val="1"/>
        </w:numPr>
        <w:spacing w:after="120" w:line="240" w:lineRule="auto"/>
        <w:jc w:val="both"/>
        <w:rPr>
          <w:rFonts w:ascii="Times New Roman" w:eastAsia="Times New Roman" w:hAnsi="Times New Roman" w:cs="Times New Roman"/>
          <w:kern w:val="0"/>
          <w:sz w:val="20"/>
          <w:szCs w:val="20"/>
          <w14:ligatures w14:val="none"/>
        </w:rPr>
      </w:pPr>
      <w:r w:rsidRPr="00494F2C">
        <w:rPr>
          <w:rFonts w:ascii="Times New Roman" w:eastAsia="Times New Roman" w:hAnsi="Times New Roman" w:cs="Times New Roman"/>
          <w:b/>
          <w:kern w:val="0"/>
          <w:sz w:val="20"/>
          <w:szCs w:val="20"/>
          <w:u w:val="single"/>
          <w14:ligatures w14:val="none"/>
        </w:rPr>
        <w:t>Points of Contact</w:t>
      </w:r>
      <w:r w:rsidRPr="00494F2C">
        <w:rPr>
          <w:rFonts w:ascii="Times New Roman" w:eastAsia="Times New Roman" w:hAnsi="Times New Roman" w:cs="Times New Roman"/>
          <w:kern w:val="0"/>
          <w:sz w:val="20"/>
          <w:szCs w:val="20"/>
          <w14:ligatures w14:val="none"/>
        </w:rPr>
        <w:t>:</w:t>
      </w:r>
    </w:p>
    <w:p w14:paraId="194DFB5E" w14:textId="77777777" w:rsidR="00494F2C" w:rsidRPr="00494F2C" w:rsidRDefault="00494F2C" w:rsidP="00494F2C">
      <w:pPr>
        <w:numPr>
          <w:ilvl w:val="1"/>
          <w:numId w:val="1"/>
        </w:numPr>
        <w:spacing w:after="120" w:line="240" w:lineRule="auto"/>
        <w:ind w:left="1742"/>
        <w:jc w:val="both"/>
        <w:rPr>
          <w:rFonts w:ascii="Times New Roman" w:eastAsia="Times New Roman" w:hAnsi="Times New Roman" w:cs="Arial"/>
          <w:b/>
          <w:kern w:val="0"/>
          <w:sz w:val="20"/>
          <w:szCs w:val="20"/>
          <w:u w:val="single"/>
          <w14:ligatures w14:val="none"/>
        </w:rPr>
      </w:pPr>
      <w:r w:rsidRPr="00494F2C">
        <w:rPr>
          <w:rFonts w:ascii="Times New Roman" w:eastAsia="Times New Roman" w:hAnsi="Times New Roman" w:cs="Times New Roman"/>
          <w:b/>
          <w:kern w:val="0"/>
          <w:sz w:val="20"/>
          <w:szCs w:val="20"/>
          <w:u w:val="single"/>
          <w14:ligatures w14:val="none"/>
        </w:rPr>
        <w:t>Technical POC</w:t>
      </w:r>
      <w:proofErr w:type="gramStart"/>
      <w:r w:rsidRPr="00494F2C">
        <w:rPr>
          <w:rFonts w:ascii="Times New Roman" w:eastAsia="Times New Roman" w:hAnsi="Times New Roman" w:cs="Times New Roman"/>
          <w:b/>
          <w:kern w:val="0"/>
          <w:sz w:val="20"/>
          <w:szCs w:val="20"/>
          <w14:ligatures w14:val="none"/>
        </w:rPr>
        <w:t xml:space="preserve">: </w:t>
      </w:r>
      <w:r w:rsidRPr="00494F2C">
        <w:rPr>
          <w:rFonts w:ascii="Arial" w:eastAsia="Times New Roman" w:hAnsi="Arial" w:cs="Arial"/>
          <w:kern w:val="0"/>
          <w:sz w:val="22"/>
          <w:szCs w:val="20"/>
          <w14:ligatures w14:val="none"/>
        </w:rPr>
        <w:t xml:space="preserve"> TBD</w:t>
      </w:r>
      <w:proofErr w:type="gramEnd"/>
    </w:p>
    <w:p w14:paraId="5FB0F793" w14:textId="77777777" w:rsidR="00494F2C" w:rsidRPr="00494F2C" w:rsidRDefault="00494F2C" w:rsidP="00494F2C">
      <w:pPr>
        <w:numPr>
          <w:ilvl w:val="1"/>
          <w:numId w:val="1"/>
        </w:numPr>
        <w:spacing w:after="120" w:line="240" w:lineRule="auto"/>
        <w:ind w:left="1742"/>
        <w:jc w:val="both"/>
        <w:rPr>
          <w:rFonts w:ascii="Times New Roman" w:eastAsia="Times New Roman" w:hAnsi="Times New Roman" w:cs="Arial"/>
          <w:b/>
          <w:kern w:val="0"/>
          <w:sz w:val="20"/>
          <w:szCs w:val="20"/>
          <w:u w:val="single"/>
          <w14:ligatures w14:val="none"/>
        </w:rPr>
      </w:pPr>
      <w:r w:rsidRPr="00494F2C">
        <w:rPr>
          <w:rFonts w:ascii="Times New Roman" w:eastAsia="Times New Roman" w:hAnsi="Times New Roman" w:cs="Arial"/>
          <w:b/>
          <w:kern w:val="0"/>
          <w:sz w:val="20"/>
          <w:szCs w:val="20"/>
          <w:u w:val="single"/>
          <w14:ligatures w14:val="none"/>
        </w:rPr>
        <w:t>Invoice Certifying POC</w:t>
      </w:r>
      <w:proofErr w:type="gramStart"/>
      <w:r w:rsidRPr="00494F2C">
        <w:rPr>
          <w:rFonts w:ascii="Times New Roman" w:eastAsia="Times New Roman" w:hAnsi="Times New Roman" w:cs="Arial"/>
          <w:b/>
          <w:kern w:val="0"/>
          <w:sz w:val="20"/>
          <w:szCs w:val="20"/>
          <w14:ligatures w14:val="none"/>
        </w:rPr>
        <w:t>:  TBD</w:t>
      </w:r>
      <w:proofErr w:type="gramEnd"/>
    </w:p>
    <w:p w14:paraId="2316A59C"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36DC1808"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3492B3E3"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7B0BE227"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11EFF871"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3E1ACDB5"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25527D9C"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68A98FE1"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4C018C25"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726A465F"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721AB008" w14:textId="77777777" w:rsidR="00494F2C" w:rsidRPr="00494F2C" w:rsidRDefault="00494F2C" w:rsidP="00494F2C">
      <w:pPr>
        <w:spacing w:after="120" w:line="240" w:lineRule="auto"/>
        <w:ind w:left="1746"/>
        <w:jc w:val="both"/>
        <w:rPr>
          <w:rFonts w:ascii="Times New Roman" w:eastAsia="Times New Roman" w:hAnsi="Times New Roman" w:cs="Times New Roman"/>
          <w:kern w:val="0"/>
          <w:sz w:val="20"/>
          <w:szCs w:val="20"/>
          <w14:ligatures w14:val="none"/>
        </w:rPr>
      </w:pPr>
    </w:p>
    <w:p w14:paraId="0DBE6013" w14:textId="77777777" w:rsidR="00922C22" w:rsidRDefault="00922C22"/>
    <w:sectPr w:rsidR="00922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C0799"/>
    <w:multiLevelType w:val="multilevel"/>
    <w:tmpl w:val="C798AB1A"/>
    <w:lvl w:ilvl="0">
      <w:start w:val="1"/>
      <w:numFmt w:val="decimal"/>
      <w:suff w:val="space"/>
      <w:lvlText w:val="%1."/>
      <w:lvlJc w:val="left"/>
      <w:pPr>
        <w:ind w:left="792" w:hanging="576"/>
      </w:pPr>
      <w:rPr>
        <w:rFonts w:hint="default"/>
        <w:b/>
      </w:rPr>
    </w:lvl>
    <w:lvl w:ilvl="1">
      <w:start w:val="1"/>
      <w:numFmt w:val="decimal"/>
      <w:suff w:val="space"/>
      <w:lvlText w:val="%1.%2."/>
      <w:lvlJc w:val="left"/>
      <w:pPr>
        <w:ind w:left="1746" w:hanging="576"/>
      </w:pPr>
      <w:rPr>
        <w:rFonts w:hint="default"/>
        <w:b w:val="0"/>
        <w:strike w:val="0"/>
      </w:rPr>
    </w:lvl>
    <w:lvl w:ilvl="2">
      <w:start w:val="1"/>
      <w:numFmt w:val="decimal"/>
      <w:suff w:val="space"/>
      <w:lvlText w:val="%1.%2.%3."/>
      <w:lvlJc w:val="left"/>
      <w:pPr>
        <w:ind w:left="1746" w:hanging="576"/>
      </w:pPr>
      <w:rPr>
        <w:rFonts w:ascii="Times New Roman" w:hAnsi="Times New Roman" w:cs="Times New Roman" w:hint="default"/>
        <w:b w:val="0"/>
        <w:bCs w:val="0"/>
        <w:sz w:val="20"/>
        <w:szCs w:val="20"/>
      </w:rPr>
    </w:lvl>
    <w:lvl w:ilvl="3">
      <w:start w:val="1"/>
      <w:numFmt w:val="decimal"/>
      <w:suff w:val="space"/>
      <w:lvlText w:val="%1.%2.%3.%4."/>
      <w:lvlJc w:val="left"/>
      <w:pPr>
        <w:ind w:left="2646" w:hanging="576"/>
      </w:pPr>
      <w:rPr>
        <w:rFonts w:hint="default"/>
        <w:b w:val="0"/>
        <w:bCs w:val="0"/>
      </w:rPr>
    </w:lvl>
    <w:lvl w:ilvl="4">
      <w:start w:val="1"/>
      <w:numFmt w:val="decimal"/>
      <w:suff w:val="space"/>
      <w:lvlText w:val="%1.%2.%3.%4.%5."/>
      <w:lvlJc w:val="left"/>
      <w:pPr>
        <w:ind w:left="3366" w:hanging="576"/>
      </w:pPr>
      <w:rPr>
        <w:rFonts w:hint="default"/>
      </w:rPr>
    </w:lvl>
    <w:lvl w:ilvl="5">
      <w:start w:val="1"/>
      <w:numFmt w:val="decimal"/>
      <w:suff w:val="space"/>
      <w:lvlText w:val="%1.%2.%3.%4.%5.%6."/>
      <w:lvlJc w:val="left"/>
      <w:pPr>
        <w:ind w:left="3672" w:hanging="576"/>
      </w:pPr>
      <w:rPr>
        <w:rFonts w:hint="default"/>
      </w:rPr>
    </w:lvl>
    <w:lvl w:ilvl="6">
      <w:start w:val="1"/>
      <w:numFmt w:val="decimal"/>
      <w:suff w:val="space"/>
      <w:lvlText w:val="%1.%2.%3.%4.%5.%6.%7."/>
      <w:lvlJc w:val="left"/>
      <w:pPr>
        <w:ind w:left="4248" w:hanging="576"/>
      </w:pPr>
      <w:rPr>
        <w:rFonts w:hint="default"/>
      </w:rPr>
    </w:lvl>
    <w:lvl w:ilvl="7">
      <w:start w:val="1"/>
      <w:numFmt w:val="decimal"/>
      <w:suff w:val="space"/>
      <w:lvlText w:val="%1.%2.%3.%4.%5.%6.%7.%8."/>
      <w:lvlJc w:val="left"/>
      <w:pPr>
        <w:ind w:left="4824" w:hanging="576"/>
      </w:pPr>
      <w:rPr>
        <w:rFonts w:hint="default"/>
      </w:rPr>
    </w:lvl>
    <w:lvl w:ilvl="8">
      <w:start w:val="1"/>
      <w:numFmt w:val="decimal"/>
      <w:suff w:val="space"/>
      <w:lvlText w:val="%1.%2.%3.%4.%5.%6.%7.%8.%9."/>
      <w:lvlJc w:val="left"/>
      <w:pPr>
        <w:ind w:left="5400" w:hanging="576"/>
      </w:pPr>
      <w:rPr>
        <w:rFonts w:hint="default"/>
      </w:rPr>
    </w:lvl>
  </w:abstractNum>
  <w:num w:numId="1" w16cid:durableId="201950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2C"/>
    <w:rsid w:val="002C7AA7"/>
    <w:rsid w:val="0039465B"/>
    <w:rsid w:val="00494F2C"/>
    <w:rsid w:val="0092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13C3"/>
  <w15:chartTrackingRefBased/>
  <w15:docId w15:val="{0D812A79-D693-4B1A-87D1-407A4288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F2C"/>
    <w:rPr>
      <w:rFonts w:eastAsiaTheme="majorEastAsia" w:cstheme="majorBidi"/>
      <w:color w:val="272727" w:themeColor="text1" w:themeTint="D8"/>
    </w:rPr>
  </w:style>
  <w:style w:type="paragraph" w:styleId="Title">
    <w:name w:val="Title"/>
    <w:basedOn w:val="Normal"/>
    <w:next w:val="Normal"/>
    <w:link w:val="TitleChar"/>
    <w:uiPriority w:val="10"/>
    <w:qFormat/>
    <w:rsid w:val="00494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F2C"/>
    <w:pPr>
      <w:spacing w:before="160"/>
      <w:jc w:val="center"/>
    </w:pPr>
    <w:rPr>
      <w:i/>
      <w:iCs/>
      <w:color w:val="404040" w:themeColor="text1" w:themeTint="BF"/>
    </w:rPr>
  </w:style>
  <w:style w:type="character" w:customStyle="1" w:styleId="QuoteChar">
    <w:name w:val="Quote Char"/>
    <w:basedOn w:val="DefaultParagraphFont"/>
    <w:link w:val="Quote"/>
    <w:uiPriority w:val="29"/>
    <w:rsid w:val="00494F2C"/>
    <w:rPr>
      <w:i/>
      <w:iCs/>
      <w:color w:val="404040" w:themeColor="text1" w:themeTint="BF"/>
    </w:rPr>
  </w:style>
  <w:style w:type="paragraph" w:styleId="ListParagraph">
    <w:name w:val="List Paragraph"/>
    <w:basedOn w:val="Normal"/>
    <w:uiPriority w:val="34"/>
    <w:qFormat/>
    <w:rsid w:val="00494F2C"/>
    <w:pPr>
      <w:ind w:left="720"/>
      <w:contextualSpacing/>
    </w:pPr>
  </w:style>
  <w:style w:type="character" w:styleId="IntenseEmphasis">
    <w:name w:val="Intense Emphasis"/>
    <w:basedOn w:val="DefaultParagraphFont"/>
    <w:uiPriority w:val="21"/>
    <w:qFormat/>
    <w:rsid w:val="00494F2C"/>
    <w:rPr>
      <w:i/>
      <w:iCs/>
      <w:color w:val="0F4761" w:themeColor="accent1" w:themeShade="BF"/>
    </w:rPr>
  </w:style>
  <w:style w:type="paragraph" w:styleId="IntenseQuote">
    <w:name w:val="Intense Quote"/>
    <w:basedOn w:val="Normal"/>
    <w:next w:val="Normal"/>
    <w:link w:val="IntenseQuoteChar"/>
    <w:uiPriority w:val="30"/>
    <w:qFormat/>
    <w:rsid w:val="00494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F2C"/>
    <w:rPr>
      <w:i/>
      <w:iCs/>
      <w:color w:val="0F4761" w:themeColor="accent1" w:themeShade="BF"/>
    </w:rPr>
  </w:style>
  <w:style w:type="character" w:styleId="IntenseReference">
    <w:name w:val="Intense Reference"/>
    <w:basedOn w:val="DefaultParagraphFont"/>
    <w:uiPriority w:val="32"/>
    <w:qFormat/>
    <w:rsid w:val="00494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avsea.navy.mil/shipyards/norfolk/default.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1198</Words>
  <Characters>6817</Characters>
  <Application>Microsoft Office Word</Application>
  <DocSecurity>0</DocSecurity>
  <Lines>148</Lines>
  <Paragraphs>67</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Yochem, David A CIV USN NAVSHIPYD NORFOLK VA (USA)</dc:creator>
  <cp:keywords/>
  <dc:description/>
  <cp:lastModifiedBy>Yochem, David A CIV USN NAVSHIPYD NORFOLK VA (USA)</cp:lastModifiedBy>
  <cp:revision>1</cp:revision>
  <dcterms:created xsi:type="dcterms:W3CDTF">2026-03-16T14:43:00Z</dcterms:created>
  <dcterms:modified xsi:type="dcterms:W3CDTF">2026-03-16T14:45:00Z</dcterms:modified>
</cp:coreProperties>
</file>