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C2455" w14:textId="77777777" w:rsidR="00BF0DD0" w:rsidRPr="00485F39" w:rsidRDefault="00BF0DD0" w:rsidP="00BF0DD0">
      <w:pPr>
        <w:rPr>
          <w:sz w:val="24"/>
          <w:szCs w:val="24"/>
        </w:rPr>
      </w:pPr>
      <w:r w:rsidRPr="00485F39">
        <w:rPr>
          <w:sz w:val="24"/>
          <w:szCs w:val="24"/>
        </w:rPr>
        <w:tab/>
      </w:r>
      <w:r w:rsidRPr="00485F39">
        <w:rPr>
          <w:sz w:val="24"/>
          <w:szCs w:val="24"/>
        </w:rPr>
        <w:tab/>
      </w:r>
      <w:r w:rsidRPr="00485F39">
        <w:rPr>
          <w:sz w:val="24"/>
          <w:szCs w:val="24"/>
        </w:rPr>
        <w:tab/>
      </w:r>
    </w:p>
    <w:p w14:paraId="7CBA90A4" w14:textId="77777777" w:rsidR="00BF0DD0" w:rsidRDefault="00BF0DD0" w:rsidP="00BF0DD0"/>
    <w:p w14:paraId="1C4BD386" w14:textId="77777777" w:rsidR="00BF0DD0" w:rsidRPr="00971209" w:rsidRDefault="00BF0DD0" w:rsidP="00BF0DD0"/>
    <w:p w14:paraId="23FE7D8B" w14:textId="77777777" w:rsidR="00BF0DD0" w:rsidRPr="004E71A3" w:rsidRDefault="00BF0DD0" w:rsidP="00BF0DD0">
      <w:pPr>
        <w:pStyle w:val="TOC1"/>
        <w:tabs>
          <w:tab w:val="right" w:leader="dot" w:pos="8640"/>
        </w:tabs>
        <w:rPr>
          <w:rFonts w:ascii="Cambria" w:eastAsia="MS Mincho" w:hAnsi="Cambria"/>
          <w:noProof/>
          <w:sz w:val="24"/>
          <w:szCs w:val="24"/>
        </w:rPr>
      </w:pPr>
      <w:r>
        <w:fldChar w:fldCharType="begin"/>
      </w:r>
      <w:r>
        <w:instrText>TOC \o "1-3" \h \z \u</w:instrText>
      </w:r>
      <w:r>
        <w:fldChar w:fldCharType="separate"/>
      </w:r>
      <w:hyperlink w:anchor="_Toc1385045395">
        <w:r w:rsidRPr="68319FFA">
          <w:rPr>
            <w:rStyle w:val="Hyperlink"/>
            <w:rFonts w:eastAsiaTheme="majorEastAsia"/>
          </w:rPr>
          <w:t>Background</w:t>
        </w:r>
        <w:r>
          <w:tab/>
        </w:r>
        <w:r>
          <w:fldChar w:fldCharType="begin"/>
        </w:r>
        <w:r>
          <w:instrText>PAGEREF _Toc1385045395 \h</w:instrText>
        </w:r>
        <w:r>
          <w:fldChar w:fldCharType="separate"/>
        </w:r>
        <w:r w:rsidRPr="68319FFA">
          <w:rPr>
            <w:rStyle w:val="Hyperlink"/>
            <w:rFonts w:eastAsiaTheme="majorEastAsia"/>
          </w:rPr>
          <w:t>1</w:t>
        </w:r>
        <w:r>
          <w:fldChar w:fldCharType="end"/>
        </w:r>
      </w:hyperlink>
    </w:p>
    <w:p w14:paraId="75230A5F" w14:textId="77777777" w:rsidR="00BF0DD0" w:rsidRPr="004E71A3" w:rsidRDefault="00BF0DD0" w:rsidP="00BF0DD0">
      <w:pPr>
        <w:pStyle w:val="TOC1"/>
        <w:tabs>
          <w:tab w:val="right" w:leader="dot" w:pos="8640"/>
        </w:tabs>
        <w:rPr>
          <w:rFonts w:ascii="Cambria" w:eastAsia="MS Mincho" w:hAnsi="Cambria"/>
          <w:noProof/>
          <w:sz w:val="24"/>
          <w:szCs w:val="24"/>
        </w:rPr>
      </w:pPr>
      <w:hyperlink w:anchor="_Toc336293887">
        <w:r w:rsidRPr="68319FFA">
          <w:rPr>
            <w:rStyle w:val="Hyperlink"/>
            <w:rFonts w:eastAsiaTheme="majorEastAsia"/>
          </w:rPr>
          <w:t>Purpose</w:t>
        </w:r>
        <w:r>
          <w:tab/>
        </w:r>
        <w:r>
          <w:fldChar w:fldCharType="begin"/>
        </w:r>
        <w:r>
          <w:instrText>PAGEREF _Toc336293887 \h</w:instrText>
        </w:r>
        <w:r>
          <w:fldChar w:fldCharType="separate"/>
        </w:r>
        <w:r w:rsidRPr="68319FFA">
          <w:rPr>
            <w:rStyle w:val="Hyperlink"/>
            <w:rFonts w:eastAsiaTheme="majorEastAsia"/>
          </w:rPr>
          <w:t>2</w:t>
        </w:r>
        <w:r>
          <w:fldChar w:fldCharType="end"/>
        </w:r>
      </w:hyperlink>
    </w:p>
    <w:p w14:paraId="5C51C649" w14:textId="77777777" w:rsidR="00BF0DD0" w:rsidRPr="004E71A3" w:rsidRDefault="00BF0DD0" w:rsidP="00BF0DD0">
      <w:pPr>
        <w:pStyle w:val="TOC1"/>
        <w:tabs>
          <w:tab w:val="right" w:leader="dot" w:pos="8640"/>
        </w:tabs>
        <w:rPr>
          <w:rFonts w:ascii="Cambria" w:eastAsia="MS Mincho" w:hAnsi="Cambria"/>
          <w:noProof/>
          <w:sz w:val="24"/>
          <w:szCs w:val="24"/>
        </w:rPr>
      </w:pPr>
      <w:hyperlink w:anchor="_Toc2080364971">
        <w:r w:rsidRPr="68319FFA">
          <w:rPr>
            <w:rStyle w:val="Hyperlink"/>
            <w:rFonts w:eastAsiaTheme="majorEastAsia"/>
          </w:rPr>
          <w:t>Scope</w:t>
        </w:r>
        <w:r>
          <w:tab/>
        </w:r>
        <w:r>
          <w:fldChar w:fldCharType="begin"/>
        </w:r>
        <w:r>
          <w:instrText>PAGEREF _Toc2080364971 \h</w:instrText>
        </w:r>
        <w:r>
          <w:fldChar w:fldCharType="separate"/>
        </w:r>
        <w:r w:rsidRPr="68319FFA">
          <w:rPr>
            <w:rStyle w:val="Hyperlink"/>
            <w:rFonts w:eastAsiaTheme="majorEastAsia"/>
          </w:rPr>
          <w:t>3</w:t>
        </w:r>
        <w:r>
          <w:fldChar w:fldCharType="end"/>
        </w:r>
      </w:hyperlink>
    </w:p>
    <w:p w14:paraId="4830CE63" w14:textId="77777777" w:rsidR="00BF0DD0" w:rsidRPr="004E71A3" w:rsidRDefault="00BF0DD0" w:rsidP="00BF0DD0">
      <w:pPr>
        <w:pStyle w:val="TOC1"/>
        <w:tabs>
          <w:tab w:val="right" w:leader="dot" w:pos="8640"/>
        </w:tabs>
        <w:rPr>
          <w:rFonts w:ascii="Cambria" w:eastAsia="MS Mincho" w:hAnsi="Cambria"/>
          <w:noProof/>
          <w:sz w:val="24"/>
          <w:szCs w:val="24"/>
        </w:rPr>
      </w:pPr>
      <w:hyperlink w:anchor="_Toc429209816">
        <w:r w:rsidRPr="68319FFA">
          <w:rPr>
            <w:rStyle w:val="Hyperlink"/>
            <w:rFonts w:eastAsiaTheme="majorEastAsia"/>
          </w:rPr>
          <w:t>Period of Performance</w:t>
        </w:r>
        <w:r>
          <w:tab/>
        </w:r>
        <w:r>
          <w:fldChar w:fldCharType="begin"/>
        </w:r>
        <w:r>
          <w:instrText>PAGEREF _Toc429209816 \h</w:instrText>
        </w:r>
        <w:r>
          <w:fldChar w:fldCharType="separate"/>
        </w:r>
        <w:r w:rsidRPr="68319FFA">
          <w:rPr>
            <w:rStyle w:val="Hyperlink"/>
            <w:rFonts w:eastAsiaTheme="majorEastAsia"/>
          </w:rPr>
          <w:t>4</w:t>
        </w:r>
        <w:r>
          <w:fldChar w:fldCharType="end"/>
        </w:r>
      </w:hyperlink>
    </w:p>
    <w:p w14:paraId="136A8D13" w14:textId="77777777" w:rsidR="00BF0DD0" w:rsidRPr="004E71A3" w:rsidRDefault="00BF0DD0" w:rsidP="00BF0DD0">
      <w:pPr>
        <w:pStyle w:val="TOC1"/>
        <w:tabs>
          <w:tab w:val="right" w:leader="dot" w:pos="8640"/>
        </w:tabs>
        <w:rPr>
          <w:rFonts w:ascii="Cambria" w:eastAsia="MS Mincho" w:hAnsi="Cambria"/>
          <w:noProof/>
          <w:sz w:val="24"/>
          <w:szCs w:val="24"/>
        </w:rPr>
      </w:pPr>
      <w:hyperlink w:anchor="_Toc1281212784">
        <w:r w:rsidRPr="68319FFA">
          <w:rPr>
            <w:rStyle w:val="Hyperlink"/>
            <w:rFonts w:eastAsiaTheme="majorEastAsia"/>
          </w:rPr>
          <w:t>Delivery Location, Schedule, and Instructions</w:t>
        </w:r>
        <w:r>
          <w:tab/>
        </w:r>
        <w:r>
          <w:fldChar w:fldCharType="begin"/>
        </w:r>
        <w:r>
          <w:instrText>PAGEREF _Toc1281212784 \h</w:instrText>
        </w:r>
        <w:r>
          <w:fldChar w:fldCharType="separate"/>
        </w:r>
        <w:r w:rsidRPr="68319FFA">
          <w:rPr>
            <w:rStyle w:val="Hyperlink"/>
            <w:rFonts w:eastAsiaTheme="majorEastAsia"/>
          </w:rPr>
          <w:t>4</w:t>
        </w:r>
        <w:r>
          <w:fldChar w:fldCharType="end"/>
        </w:r>
      </w:hyperlink>
    </w:p>
    <w:p w14:paraId="79B2D4F6" w14:textId="77777777" w:rsidR="00BF0DD0" w:rsidRPr="004E71A3" w:rsidRDefault="00BF0DD0" w:rsidP="00BF0DD0">
      <w:pPr>
        <w:pStyle w:val="TOC1"/>
        <w:tabs>
          <w:tab w:val="right" w:leader="dot" w:pos="8640"/>
        </w:tabs>
        <w:rPr>
          <w:rFonts w:ascii="Cambria" w:eastAsia="MS Mincho" w:hAnsi="Cambria"/>
          <w:noProof/>
          <w:sz w:val="24"/>
          <w:szCs w:val="24"/>
        </w:rPr>
      </w:pPr>
      <w:hyperlink w:anchor="_Toc1022691464">
        <w:r w:rsidRPr="68319FFA">
          <w:rPr>
            <w:rStyle w:val="Hyperlink"/>
            <w:rFonts w:eastAsiaTheme="majorEastAsia"/>
          </w:rPr>
          <w:t>Government Furnished Equipment (GFE)</w:t>
        </w:r>
        <w:r>
          <w:tab/>
        </w:r>
        <w:r>
          <w:fldChar w:fldCharType="begin"/>
        </w:r>
        <w:r>
          <w:instrText>PAGEREF _Toc1022691464 \h</w:instrText>
        </w:r>
        <w:r>
          <w:fldChar w:fldCharType="separate"/>
        </w:r>
        <w:r w:rsidRPr="68319FFA">
          <w:rPr>
            <w:rStyle w:val="Hyperlink"/>
            <w:rFonts w:eastAsiaTheme="majorEastAsia"/>
          </w:rPr>
          <w:t>4</w:t>
        </w:r>
        <w:r>
          <w:fldChar w:fldCharType="end"/>
        </w:r>
      </w:hyperlink>
    </w:p>
    <w:p w14:paraId="5CA0D102" w14:textId="77777777" w:rsidR="00BF0DD0" w:rsidRPr="004E71A3" w:rsidRDefault="00BF0DD0" w:rsidP="00BF0DD0">
      <w:pPr>
        <w:pStyle w:val="TOC1"/>
        <w:tabs>
          <w:tab w:val="right" w:leader="dot" w:pos="8640"/>
        </w:tabs>
        <w:rPr>
          <w:rFonts w:ascii="Cambria" w:eastAsia="MS Mincho" w:hAnsi="Cambria"/>
          <w:noProof/>
          <w:sz w:val="24"/>
          <w:szCs w:val="24"/>
        </w:rPr>
      </w:pPr>
      <w:hyperlink w:anchor="_Toc329920519">
        <w:r w:rsidRPr="68319FFA">
          <w:rPr>
            <w:rStyle w:val="Hyperlink"/>
            <w:rFonts w:eastAsiaTheme="majorEastAsia"/>
          </w:rPr>
          <w:t>Inspection and Acceptance Criteria</w:t>
        </w:r>
        <w:r>
          <w:tab/>
        </w:r>
        <w:r>
          <w:fldChar w:fldCharType="begin"/>
        </w:r>
        <w:r>
          <w:instrText>PAGEREF _Toc329920519 \h</w:instrText>
        </w:r>
        <w:r>
          <w:fldChar w:fldCharType="separate"/>
        </w:r>
        <w:r w:rsidRPr="68319FFA">
          <w:rPr>
            <w:rStyle w:val="Hyperlink"/>
            <w:rFonts w:eastAsiaTheme="majorEastAsia"/>
          </w:rPr>
          <w:t>5</w:t>
        </w:r>
        <w:r>
          <w:fldChar w:fldCharType="end"/>
        </w:r>
      </w:hyperlink>
      <w:r>
        <w:fldChar w:fldCharType="end"/>
      </w:r>
    </w:p>
    <w:p w14:paraId="207F2C72" w14:textId="77777777" w:rsidR="00BF0DD0" w:rsidRDefault="00BF0DD0" w:rsidP="00BF0DD0"/>
    <w:p w14:paraId="49D8C869" w14:textId="77777777" w:rsidR="00BF0DD0" w:rsidRPr="001967CE" w:rsidRDefault="00BF0DD0" w:rsidP="00BF0DD0">
      <w:pPr>
        <w:pStyle w:val="Heading1"/>
      </w:pPr>
      <w:r>
        <w:br w:type="page"/>
      </w:r>
      <w:bookmarkStart w:id="0" w:name="_Toc231618572"/>
    </w:p>
    <w:p w14:paraId="1C8D4A6D" w14:textId="77777777" w:rsidR="00BF0DD0" w:rsidRPr="00562416" w:rsidRDefault="00BF0DD0" w:rsidP="00BF0DD0">
      <w:pPr>
        <w:pStyle w:val="Heading1"/>
        <w:rPr>
          <w:sz w:val="24"/>
          <w:szCs w:val="24"/>
        </w:rPr>
      </w:pPr>
      <w:bookmarkStart w:id="1" w:name="_Toc235937036"/>
      <w:bookmarkStart w:id="2" w:name="_Toc153850431"/>
      <w:bookmarkStart w:id="3" w:name="_Toc1385045395"/>
      <w:r w:rsidRPr="68319FFA">
        <w:rPr>
          <w:sz w:val="24"/>
          <w:szCs w:val="24"/>
        </w:rPr>
        <w:lastRenderedPageBreak/>
        <w:t>Background</w:t>
      </w:r>
      <w:bookmarkEnd w:id="0"/>
      <w:bookmarkEnd w:id="1"/>
      <w:bookmarkEnd w:id="2"/>
      <w:bookmarkEnd w:id="3"/>
    </w:p>
    <w:p w14:paraId="736CE8BF" w14:textId="77777777" w:rsidR="00BF0DD0" w:rsidRPr="00562416" w:rsidRDefault="00BF0DD0" w:rsidP="00BF0DD0">
      <w:pPr>
        <w:rPr>
          <w:sz w:val="24"/>
          <w:szCs w:val="24"/>
        </w:rPr>
      </w:pPr>
    </w:p>
    <w:p w14:paraId="3429ED96" w14:textId="77777777" w:rsidR="00BF0DD0" w:rsidRPr="00B219A1" w:rsidRDefault="00BF0DD0" w:rsidP="00BF0DD0">
      <w:pPr>
        <w:pStyle w:val="BodyText"/>
        <w:rPr>
          <w:szCs w:val="22"/>
        </w:rPr>
      </w:pPr>
      <w:r w:rsidRPr="00562416">
        <w:rPr>
          <w:sz w:val="24"/>
          <w:szCs w:val="24"/>
        </w:rPr>
        <w:t xml:space="preserve">The mission of the National Institutes of Health (NIH) is to uncover new knowledge that </w:t>
      </w:r>
      <w:r w:rsidRPr="00B219A1">
        <w:rPr>
          <w:szCs w:val="22"/>
        </w:rPr>
        <w:t>will lead to better health for everyone. The NIH accomplishes that mission by conducting research in its own laboratories; supporting the research of non-Federal scientists in universities, medical schools, hospitals, and research institutions throughout the country and abroad; helping in the training of research investigators; and fostering communication of biomedical information.</w:t>
      </w:r>
    </w:p>
    <w:p w14:paraId="478C5342" w14:textId="77777777" w:rsidR="00BF0DD0" w:rsidRPr="00B219A1" w:rsidRDefault="00BF0DD0" w:rsidP="00BF0DD0">
      <w:pPr>
        <w:pStyle w:val="BodyText"/>
        <w:rPr>
          <w:szCs w:val="22"/>
        </w:rPr>
      </w:pPr>
    </w:p>
    <w:p w14:paraId="6D62D48E" w14:textId="77777777" w:rsidR="00BF0DD0" w:rsidRPr="00B219A1" w:rsidRDefault="00BF0DD0" w:rsidP="00BF0DD0">
      <w:pPr>
        <w:pStyle w:val="BodyText"/>
        <w:rPr>
          <w:szCs w:val="22"/>
        </w:rPr>
      </w:pPr>
      <w:r w:rsidRPr="00B219A1">
        <w:rPr>
          <w:szCs w:val="22"/>
        </w:rPr>
        <w:t>The NIH Clinical Center (CC) is a 234-bed federally funded, biomedical research hospital located on the NIH campus in Bethesda, Maryland. The Clinical Center is the delivery setting for all NIH intramural clinical research protocols. The hospital complex consists of two main facilities that are connected to each other by “bridges”. The original 14-story building is 2.5 million square feet and continues to house the clinical laboratories, imaging sciences, surgical suites, and several outpatient clinics.  The new 870,000 square foot facility houses inpatient units and day hospitals.  The Clinical Center accounts for about half of all NIH-funded clinical research beds in the United States and accommodates about 7,000 inpatient and 70,000 outpatient visits a year. Patients are admitted to the NIH Clinical Center from all over the world for the sole purpose of participating in a clinical research protocol.</w:t>
      </w:r>
    </w:p>
    <w:p w14:paraId="038133AA" w14:textId="77777777" w:rsidR="00BF0DD0" w:rsidRPr="00B219A1" w:rsidRDefault="00BF0DD0" w:rsidP="00BF0DD0">
      <w:pPr>
        <w:rPr>
          <w:sz w:val="22"/>
          <w:szCs w:val="22"/>
        </w:rPr>
      </w:pPr>
    </w:p>
    <w:p w14:paraId="0EA7BFC7" w14:textId="77777777" w:rsidR="00BF0DD0" w:rsidRPr="00B219A1" w:rsidRDefault="00BF0DD0" w:rsidP="00BF0DD0">
      <w:pPr>
        <w:pStyle w:val="Default"/>
        <w:spacing w:after="240"/>
        <w:rPr>
          <w:rFonts w:cs="Arial"/>
          <w:sz w:val="22"/>
          <w:szCs w:val="22"/>
        </w:rPr>
      </w:pPr>
      <w:r w:rsidRPr="00B219A1">
        <w:rPr>
          <w:color w:val="auto"/>
          <w:sz w:val="22"/>
          <w:szCs w:val="22"/>
        </w:rPr>
        <w:t xml:space="preserve">The Department of Radiology and Imaging Sciences (RAD&amp;IS) provides imaging services to the CC patients who participate in research protocols conducted by the various NIH institutes.  Imaging services include X-rays, fluoroscopy, ultrasound, magnetic resonance imaging (MRI) scans, computed tomography (CT) scans and interventional radiology (special procedures).  Diagnostic services in ultrasound, digital mammography, positron emission tomography/computed tomography (PET/CT), and nuclear medicine are also provided. All these diagnostic modalities generate clinical diagnostic images that are sent to and archived on the RAD&amp;IS’s Picture Archiving and Communication System (PACS).   The departmental radiologists review the diagnostic images and dictate clinical findings using a </w:t>
      </w:r>
      <w:r w:rsidRPr="00B219A1">
        <w:rPr>
          <w:rFonts w:cs="Arial"/>
          <w:sz w:val="22"/>
          <w:szCs w:val="22"/>
        </w:rPr>
        <w:t xml:space="preserve">Voice Recognition system (VRS).  The finds are saved in reports which are stored in the </w:t>
      </w:r>
      <w:r w:rsidRPr="00B219A1">
        <w:rPr>
          <w:color w:val="auto"/>
          <w:sz w:val="22"/>
          <w:szCs w:val="22"/>
        </w:rPr>
        <w:t xml:space="preserve">RAD&amp;IS’s </w:t>
      </w:r>
      <w:r w:rsidRPr="00B219A1">
        <w:rPr>
          <w:rFonts w:cs="Arial"/>
          <w:sz w:val="22"/>
          <w:szCs w:val="22"/>
        </w:rPr>
        <w:t>Radiology Information System (RIS) and forwarded to the Clinical Research Information System or the Clinical Center’s Hospital Information System (CRIS)</w:t>
      </w:r>
      <w:r>
        <w:rPr>
          <w:rFonts w:cs="Arial"/>
          <w:sz w:val="22"/>
          <w:szCs w:val="22"/>
        </w:rPr>
        <w:t xml:space="preserve"> which is an Altera Digital Health Sunrise Clinical Manager (v20).</w:t>
      </w:r>
    </w:p>
    <w:p w14:paraId="5474DF8D" w14:textId="77777777" w:rsidR="00BF0DD0" w:rsidRDefault="00BF0DD0" w:rsidP="00BF0DD0">
      <w:pPr>
        <w:pStyle w:val="Default"/>
        <w:spacing w:after="240"/>
        <w:rPr>
          <w:sz w:val="22"/>
          <w:szCs w:val="22"/>
        </w:rPr>
      </w:pPr>
      <w:r w:rsidRPr="68319FFA">
        <w:rPr>
          <w:sz w:val="22"/>
          <w:szCs w:val="22"/>
        </w:rPr>
        <w:t>We generate ~40000 imaging examinations (CT, MR, PET, XA, US, NM, etc.) per year, but also intake another 30 to 40,000 exams from outside sources (collaborators, screening, outside acquisitions, etc..).  Our current Philips Vue PACS has ~2.3 million exams, of which ~530,000 are NIH generated, with reports from NIH physicians.</w:t>
      </w:r>
    </w:p>
    <w:p w14:paraId="22B10F26" w14:textId="77777777" w:rsidR="00BF0DD0" w:rsidRDefault="00BF0DD0" w:rsidP="00BF0DD0">
      <w:pPr>
        <w:pStyle w:val="Default"/>
        <w:spacing w:after="240"/>
        <w:rPr>
          <w:color w:val="auto"/>
          <w:sz w:val="22"/>
          <w:szCs w:val="22"/>
        </w:rPr>
      </w:pPr>
      <w:r>
        <w:rPr>
          <w:color w:val="auto"/>
          <w:sz w:val="22"/>
          <w:szCs w:val="22"/>
        </w:rPr>
        <w:t>We have a primary need to provide a method for intake of these exams, and provide a method for screening the examinations for appropriateness for inclusion in a research protocol.  A secondary need to provide an outward-bound sharing platform to go along with our Follow My Health patient portal is also being investigated.</w:t>
      </w:r>
    </w:p>
    <w:p w14:paraId="7D9EDFFF" w14:textId="77777777" w:rsidR="00BF0DD0" w:rsidRPr="00B219A1" w:rsidRDefault="00BF0DD0" w:rsidP="00BF0DD0">
      <w:pPr>
        <w:pStyle w:val="Default"/>
        <w:spacing w:after="240"/>
        <w:rPr>
          <w:color w:val="auto"/>
          <w:sz w:val="22"/>
          <w:szCs w:val="22"/>
        </w:rPr>
      </w:pPr>
      <w:r>
        <w:rPr>
          <w:color w:val="auto"/>
          <w:sz w:val="22"/>
          <w:szCs w:val="22"/>
        </w:rPr>
        <w:t>There may be more than one service selected to support his need, given the breadth of the area(s) NIH Clinical Center services in its research mission.</w:t>
      </w:r>
    </w:p>
    <w:p w14:paraId="53042682" w14:textId="77777777" w:rsidR="00BF0DD0" w:rsidRPr="001967CE" w:rsidRDefault="00BF0DD0" w:rsidP="00BF0DD0">
      <w:pPr>
        <w:rPr>
          <w:sz w:val="24"/>
          <w:szCs w:val="24"/>
        </w:rPr>
      </w:pPr>
      <w:r w:rsidRPr="00562416">
        <w:br w:type="page"/>
      </w:r>
      <w:bookmarkStart w:id="4" w:name="_Toc231618573"/>
    </w:p>
    <w:p w14:paraId="61462037" w14:textId="77777777" w:rsidR="00BF0DD0" w:rsidRPr="00562416" w:rsidRDefault="00BF0DD0" w:rsidP="00BF0DD0">
      <w:pPr>
        <w:pStyle w:val="Heading1"/>
        <w:rPr>
          <w:sz w:val="24"/>
          <w:szCs w:val="24"/>
        </w:rPr>
      </w:pPr>
      <w:bookmarkStart w:id="5" w:name="_Toc235937037"/>
      <w:bookmarkStart w:id="6" w:name="_Toc153850432"/>
      <w:bookmarkStart w:id="7" w:name="_Toc336293887"/>
      <w:r w:rsidRPr="68319FFA">
        <w:rPr>
          <w:sz w:val="24"/>
          <w:szCs w:val="24"/>
        </w:rPr>
        <w:lastRenderedPageBreak/>
        <w:t>Purpose</w:t>
      </w:r>
      <w:bookmarkEnd w:id="4"/>
      <w:bookmarkEnd w:id="5"/>
      <w:bookmarkEnd w:id="6"/>
      <w:bookmarkEnd w:id="7"/>
    </w:p>
    <w:p w14:paraId="1E04EA61" w14:textId="77777777" w:rsidR="00BF0DD0" w:rsidRDefault="00BF0DD0" w:rsidP="00BF0DD0">
      <w:pPr>
        <w:pStyle w:val="BodyText2"/>
        <w:rPr>
          <w:szCs w:val="24"/>
        </w:rPr>
      </w:pPr>
    </w:p>
    <w:p w14:paraId="4972CE8E" w14:textId="74E6AEE8" w:rsidR="00BF0DD0" w:rsidRPr="00CC0107" w:rsidRDefault="00BF0DD0" w:rsidP="00CC0107">
      <w:pPr>
        <w:rPr>
          <w:sz w:val="22"/>
          <w:szCs w:val="24"/>
        </w:rPr>
      </w:pPr>
      <w:bookmarkStart w:id="8" w:name="_Toc231618574"/>
      <w:bookmarkStart w:id="9" w:name="_Toc235937038"/>
      <w:r>
        <w:rPr>
          <w:sz w:val="22"/>
          <w:szCs w:val="24"/>
        </w:rPr>
        <w:t>Provide service to allow uploads and sharing of images to and from patients and their provider/provider networks into the Clinical Center in support of research protocols.</w:t>
      </w:r>
      <w:bookmarkStart w:id="10" w:name="_Toc153850433"/>
    </w:p>
    <w:p w14:paraId="546AF94C" w14:textId="77777777" w:rsidR="00BF0DD0" w:rsidRPr="00562416" w:rsidRDefault="00BF0DD0" w:rsidP="00BF0DD0">
      <w:pPr>
        <w:pStyle w:val="Heading1"/>
        <w:rPr>
          <w:sz w:val="24"/>
          <w:szCs w:val="24"/>
        </w:rPr>
      </w:pPr>
      <w:bookmarkStart w:id="11" w:name="_Toc2080364971"/>
      <w:r w:rsidRPr="68319FFA">
        <w:rPr>
          <w:sz w:val="24"/>
          <w:szCs w:val="24"/>
        </w:rPr>
        <w:t>Scope</w:t>
      </w:r>
      <w:bookmarkEnd w:id="8"/>
      <w:bookmarkEnd w:id="9"/>
      <w:bookmarkEnd w:id="10"/>
      <w:bookmarkEnd w:id="11"/>
    </w:p>
    <w:p w14:paraId="26EABF0A" w14:textId="77777777" w:rsidR="00BF0DD0" w:rsidRDefault="00BF0DD0" w:rsidP="00BF0DD0">
      <w:pPr>
        <w:pStyle w:val="BodyText2"/>
        <w:rPr>
          <w:b/>
          <w:szCs w:val="24"/>
        </w:rPr>
      </w:pPr>
    </w:p>
    <w:p w14:paraId="16AFA1BA" w14:textId="4979C655" w:rsidR="00BF0DD0" w:rsidRDefault="00BF0DD0" w:rsidP="00BF0DD0">
      <w:pPr>
        <w:spacing w:beforeLines="1" w:before="2" w:afterLines="1" w:after="2"/>
        <w:rPr>
          <w:rFonts w:ascii="Arial" w:hAnsi="Arial"/>
        </w:rPr>
      </w:pPr>
      <w:r w:rsidRPr="68319FFA">
        <w:rPr>
          <w:rFonts w:ascii="Arial" w:hAnsi="Arial"/>
        </w:rPr>
        <w:t xml:space="preserve">Purchase of Image Exchange services on a 1-year contract with </w:t>
      </w:r>
      <w:r w:rsidR="00FE4C30">
        <w:rPr>
          <w:rFonts w:ascii="Arial" w:hAnsi="Arial"/>
        </w:rPr>
        <w:t>2</w:t>
      </w:r>
      <w:r w:rsidRPr="68319FFA">
        <w:rPr>
          <w:rFonts w:ascii="Arial" w:hAnsi="Arial"/>
        </w:rPr>
        <w:t xml:space="preserve"> option years.  These services to include the following capabilities/functions:</w:t>
      </w:r>
    </w:p>
    <w:p w14:paraId="6ADC0DCC" w14:textId="77777777" w:rsidR="00BF0DD0" w:rsidRDefault="00BF0DD0" w:rsidP="00BF0DD0">
      <w:pPr>
        <w:spacing w:beforeLines="1" w:before="2" w:afterLines="1" w:after="2"/>
        <w:rPr>
          <w:rFonts w:ascii="Arial" w:hAnsi="Arial"/>
        </w:rPr>
      </w:pPr>
    </w:p>
    <w:p w14:paraId="170A31EA" w14:textId="77777777" w:rsidR="00BF0DD0" w:rsidRDefault="00BF0DD0" w:rsidP="00BF0DD0">
      <w:pPr>
        <w:numPr>
          <w:ilvl w:val="0"/>
          <w:numId w:val="1"/>
        </w:numPr>
        <w:spacing w:beforeLines="1" w:before="2" w:afterLines="1" w:after="2"/>
        <w:rPr>
          <w:rFonts w:ascii="Arial" w:hAnsi="Arial"/>
        </w:rPr>
      </w:pPr>
      <w:r w:rsidRPr="68319FFA">
        <w:rPr>
          <w:rFonts w:ascii="Arial" w:hAnsi="Arial"/>
        </w:rPr>
        <w:t>Cloud based storage and access provision for exams generated within the Clinical Center for use by patients and their designees, using the privacy and access platform provided by the service provider.</w:t>
      </w:r>
    </w:p>
    <w:p w14:paraId="3FF585C0" w14:textId="50A9F53D" w:rsidR="00BF0DD0" w:rsidRPr="00CC0107" w:rsidRDefault="00BF0DD0" w:rsidP="00BF0DD0">
      <w:pPr>
        <w:numPr>
          <w:ilvl w:val="0"/>
          <w:numId w:val="1"/>
        </w:numPr>
        <w:spacing w:beforeLines="1" w:before="2" w:afterLines="1" w:after="2"/>
        <w:rPr>
          <w:rFonts w:ascii="Arial" w:hAnsi="Arial"/>
        </w:rPr>
      </w:pPr>
      <w:r w:rsidRPr="68319FFA">
        <w:rPr>
          <w:rFonts w:ascii="Arial" w:hAnsi="Arial"/>
        </w:rPr>
        <w:t>Cloud based storage and access provision to the Clinical Center for those exams uploaded and shared to NIH Researchers and their staff using the privacy and access platform provided by the service. Please note that many of these exams are not from Clinical Center patients but are submissions for review by investigators to determine the appropriateness of the patient for inclusion in the research protocol. Some of these exams submitted will be from subjects already in a protocol and will be included as part of the continuum of care for the patient/subject.</w:t>
      </w:r>
    </w:p>
    <w:p w14:paraId="4918FF93" w14:textId="77777777" w:rsidR="00BF0DD0" w:rsidRDefault="00BF0DD0" w:rsidP="00BF0DD0">
      <w:pPr>
        <w:numPr>
          <w:ilvl w:val="0"/>
          <w:numId w:val="1"/>
        </w:numPr>
        <w:spacing w:beforeLines="1" w:before="2" w:afterLines="1" w:after="2"/>
        <w:rPr>
          <w:rFonts w:ascii="Arial" w:hAnsi="Arial"/>
        </w:rPr>
      </w:pPr>
      <w:r w:rsidRPr="68319FFA">
        <w:rPr>
          <w:rFonts w:ascii="Arial" w:hAnsi="Arial"/>
        </w:rPr>
        <w:t>Provision of round the clock support/training for on-premises NIH research personnel who will be using the system to review submissions or uploading data from CDs submitted by the patients/subject candidates.</w:t>
      </w:r>
    </w:p>
    <w:p w14:paraId="5F1188A9" w14:textId="77777777" w:rsidR="00BF0DD0" w:rsidRDefault="00BF0DD0" w:rsidP="00BF0DD0">
      <w:pPr>
        <w:numPr>
          <w:ilvl w:val="0"/>
          <w:numId w:val="1"/>
        </w:numPr>
        <w:spacing w:beforeLines="1" w:before="2" w:afterLines="1" w:after="2"/>
        <w:rPr>
          <w:rFonts w:ascii="Arial" w:hAnsi="Arial"/>
        </w:rPr>
      </w:pPr>
      <w:r w:rsidRPr="68319FFA">
        <w:rPr>
          <w:rFonts w:ascii="Arial" w:hAnsi="Arial"/>
        </w:rPr>
        <w:t>Provision of round the clock support for patients who will be loading exams to the system through one-on-one phone and computer-based support methods.</w:t>
      </w:r>
    </w:p>
    <w:p w14:paraId="3EB4A891" w14:textId="77777777" w:rsidR="00BF0DD0" w:rsidRDefault="00BF0DD0" w:rsidP="00BF0DD0">
      <w:pPr>
        <w:numPr>
          <w:ilvl w:val="0"/>
          <w:numId w:val="1"/>
        </w:numPr>
        <w:spacing w:beforeLines="1" w:before="2" w:afterLines="1" w:after="2"/>
        <w:rPr>
          <w:rFonts w:ascii="Arial" w:hAnsi="Arial"/>
        </w:rPr>
      </w:pPr>
      <w:r w:rsidRPr="147D0D10">
        <w:rPr>
          <w:rFonts w:ascii="Arial" w:hAnsi="Arial"/>
        </w:rPr>
        <w:t xml:space="preserve">Support for all user types within the NIH environment.  This includes not only physicians, but technologists, technicians, Research Nurses, Clinical Care Coordinators, Fellows, Trainees, IT Support personnel, and others.  Dependency upon a National Provider Identifier must be optional. </w:t>
      </w:r>
    </w:p>
    <w:p w14:paraId="33B38F1B" w14:textId="77777777" w:rsidR="00BF0DD0" w:rsidRDefault="00BF0DD0" w:rsidP="00BF0DD0">
      <w:pPr>
        <w:numPr>
          <w:ilvl w:val="0"/>
          <w:numId w:val="1"/>
        </w:numPr>
        <w:spacing w:beforeLines="1" w:before="2" w:afterLines="1" w:after="2"/>
        <w:rPr>
          <w:rFonts w:ascii="Arial" w:hAnsi="Arial"/>
        </w:rPr>
      </w:pPr>
      <w:r w:rsidRPr="147D0D10">
        <w:rPr>
          <w:rFonts w:ascii="Arial" w:hAnsi="Arial"/>
        </w:rPr>
        <w:t xml:space="preserve">Vendor support for patients and outside facility access and use of their network 24/7/365 </w:t>
      </w:r>
    </w:p>
    <w:p w14:paraId="0A85BCC7" w14:textId="77777777" w:rsidR="00BF0DD0" w:rsidRDefault="00BF0DD0" w:rsidP="00BF0DD0">
      <w:pPr>
        <w:numPr>
          <w:ilvl w:val="0"/>
          <w:numId w:val="1"/>
        </w:numPr>
        <w:spacing w:beforeLines="1" w:before="2" w:afterLines="1" w:after="2"/>
        <w:rPr>
          <w:rFonts w:ascii="Arial" w:hAnsi="Arial"/>
        </w:rPr>
      </w:pPr>
      <w:r w:rsidRPr="147D0D10">
        <w:rPr>
          <w:rFonts w:ascii="Arial" w:hAnsi="Arial"/>
        </w:rPr>
        <w:t>Readily accessible full audit logs of interactions with the exams, including who interacted, what they saw, when they saw it, what else they did with the exam, etc.  This must be available at the patient level, the exam level, and the user level.</w:t>
      </w:r>
    </w:p>
    <w:p w14:paraId="47A7DA16" w14:textId="77777777" w:rsidR="00BF0DD0" w:rsidRDefault="00BF0DD0" w:rsidP="00BF0DD0">
      <w:pPr>
        <w:numPr>
          <w:ilvl w:val="0"/>
          <w:numId w:val="1"/>
        </w:numPr>
        <w:spacing w:beforeLines="1" w:before="2" w:afterLines="1" w:after="2"/>
        <w:rPr>
          <w:rFonts w:ascii="Arial" w:hAnsi="Arial"/>
        </w:rPr>
      </w:pPr>
      <w:r w:rsidRPr="147D0D10">
        <w:rPr>
          <w:rFonts w:ascii="Arial" w:hAnsi="Arial"/>
        </w:rPr>
        <w:t>Indefinite availability of patient uploaded exams that have been shared to the NIH Researchers and their staff, to account for patient screening(s) that are not yet appropriate to be included in the NIH CCIIP.</w:t>
      </w:r>
    </w:p>
    <w:p w14:paraId="0D6655E3" w14:textId="77777777" w:rsidR="00BF0DD0" w:rsidRDefault="00BF0DD0" w:rsidP="00BF0DD0">
      <w:pPr>
        <w:numPr>
          <w:ilvl w:val="0"/>
          <w:numId w:val="1"/>
        </w:numPr>
        <w:spacing w:beforeLines="1" w:before="2" w:afterLines="1" w:after="2"/>
        <w:rPr>
          <w:rFonts w:ascii="Arial" w:hAnsi="Arial"/>
        </w:rPr>
      </w:pPr>
      <w:r w:rsidRPr="147D0D10">
        <w:rPr>
          <w:rFonts w:ascii="Arial" w:hAnsi="Arial"/>
        </w:rPr>
        <w:t xml:space="preserve">The ability to share cohorts of specific exams to specific collaborators, either anonymized or not.  These collaborators may be part of a multicenter clinical trial where the NIH is not the responsible center. </w:t>
      </w:r>
      <w:commentRangeStart w:id="12"/>
      <w:commentRangeEnd w:id="12"/>
      <w:r>
        <w:rPr>
          <w:rStyle w:val="CommentReference"/>
          <w:rFonts w:eastAsiaTheme="majorEastAsia"/>
        </w:rPr>
        <w:commentReference w:id="12"/>
      </w:r>
    </w:p>
    <w:p w14:paraId="29F99B6A" w14:textId="77777777" w:rsidR="00BF0DD0" w:rsidRDefault="00BF0DD0" w:rsidP="00BF0DD0">
      <w:pPr>
        <w:numPr>
          <w:ilvl w:val="0"/>
          <w:numId w:val="1"/>
        </w:numPr>
        <w:spacing w:beforeLines="1" w:before="2" w:afterLines="1" w:after="2"/>
        <w:rPr>
          <w:rFonts w:ascii="Arial" w:hAnsi="Arial"/>
        </w:rPr>
      </w:pPr>
      <w:r w:rsidRPr="147D0D10">
        <w:rPr>
          <w:rFonts w:ascii="Arial" w:hAnsi="Arial"/>
        </w:rPr>
        <w:t>Capability to work with the vendor(s) engineering teams to provide custom services should they arise.</w:t>
      </w:r>
    </w:p>
    <w:p w14:paraId="67CC02F4" w14:textId="77777777" w:rsidR="00BF0DD0" w:rsidRDefault="00BF0DD0" w:rsidP="00BF0DD0">
      <w:pPr>
        <w:numPr>
          <w:ilvl w:val="0"/>
          <w:numId w:val="1"/>
        </w:numPr>
        <w:spacing w:beforeLines="1" w:before="2" w:afterLines="1" w:after="2"/>
        <w:rPr>
          <w:rFonts w:ascii="Arial" w:hAnsi="Arial"/>
        </w:rPr>
      </w:pPr>
      <w:r w:rsidRPr="147D0D10">
        <w:rPr>
          <w:rFonts w:ascii="Arial" w:hAnsi="Arial"/>
        </w:rPr>
        <w:t>Collaborative viewing within the vendors platform for clinical consults and conferences as part of the screening process.</w:t>
      </w:r>
    </w:p>
    <w:p w14:paraId="189A357E" w14:textId="77777777" w:rsidR="00BF0DD0" w:rsidRDefault="00BF0DD0" w:rsidP="00BF0DD0">
      <w:pPr>
        <w:numPr>
          <w:ilvl w:val="0"/>
          <w:numId w:val="1"/>
        </w:numPr>
        <w:spacing w:beforeLines="1" w:before="2" w:afterLines="1" w:after="2"/>
        <w:rPr>
          <w:rFonts w:ascii="Arial" w:hAnsi="Arial"/>
        </w:rPr>
      </w:pPr>
      <w:r w:rsidRPr="147D0D10">
        <w:rPr>
          <w:rFonts w:ascii="Arial" w:hAnsi="Arial"/>
        </w:rPr>
        <w:t>Integration with Philips Vue PACS/RIS/Speech as required</w:t>
      </w:r>
    </w:p>
    <w:p w14:paraId="6F02D6FF" w14:textId="77777777" w:rsidR="00BF0DD0" w:rsidRDefault="00BF0DD0" w:rsidP="00BF0DD0">
      <w:pPr>
        <w:numPr>
          <w:ilvl w:val="0"/>
          <w:numId w:val="1"/>
        </w:numPr>
        <w:spacing w:beforeLines="1" w:before="2" w:afterLines="1" w:after="2"/>
        <w:rPr>
          <w:rFonts w:ascii="Arial" w:hAnsi="Arial"/>
        </w:rPr>
      </w:pPr>
      <w:r w:rsidRPr="147D0D10">
        <w:rPr>
          <w:rFonts w:ascii="Arial" w:hAnsi="Arial"/>
        </w:rPr>
        <w:t xml:space="preserve">Ability to support not only our Philips Vue PACS, but our Fuji Synapse VNA, and our Fuji Synapse CV PACS. </w:t>
      </w:r>
    </w:p>
    <w:p w14:paraId="5AFEE5A1" w14:textId="77777777" w:rsidR="00BF0DD0" w:rsidRDefault="00BF0DD0" w:rsidP="00BF0DD0">
      <w:pPr>
        <w:numPr>
          <w:ilvl w:val="0"/>
          <w:numId w:val="1"/>
        </w:numPr>
        <w:spacing w:beforeLines="1" w:before="2" w:afterLines="1" w:after="2"/>
        <w:rPr>
          <w:rFonts w:ascii="Arial" w:hAnsi="Arial"/>
        </w:rPr>
      </w:pPr>
      <w:r w:rsidRPr="147D0D10">
        <w:rPr>
          <w:rFonts w:ascii="Arial" w:hAnsi="Arial"/>
        </w:rPr>
        <w:t xml:space="preserve">Import and coercion capability of appropriate exams into the Clinical Center Imaging Informatics Platform(s) (CCIIP) via DICOM and non-DICOM methods.  Coercion to include the modification of Patient Identifiers and Exam Identifiers should be available and automation of this process would be optimal. </w:t>
      </w:r>
    </w:p>
    <w:p w14:paraId="7FBC2807" w14:textId="77777777" w:rsidR="00BF0DD0" w:rsidRDefault="00BF0DD0" w:rsidP="00BF0DD0">
      <w:pPr>
        <w:numPr>
          <w:ilvl w:val="0"/>
          <w:numId w:val="1"/>
        </w:numPr>
        <w:spacing w:beforeLines="1" w:before="2" w:afterLines="1" w:after="2"/>
        <w:rPr>
          <w:rFonts w:ascii="Arial" w:hAnsi="Arial"/>
        </w:rPr>
      </w:pPr>
      <w:r w:rsidRPr="147D0D10">
        <w:rPr>
          <w:rFonts w:ascii="Arial" w:hAnsi="Arial"/>
        </w:rPr>
        <w:t>Integration with Altera Sunrise Clinical Manager and, as a phase 2 implementation integration with our Follow My Health Patient Portal.</w:t>
      </w:r>
    </w:p>
    <w:p w14:paraId="70588CE0" w14:textId="77777777" w:rsidR="00BF0DD0" w:rsidRDefault="00BF0DD0" w:rsidP="00BF0DD0">
      <w:pPr>
        <w:numPr>
          <w:ilvl w:val="0"/>
          <w:numId w:val="1"/>
        </w:numPr>
        <w:spacing w:beforeLines="1" w:before="2" w:afterLines="1" w:after="2"/>
        <w:rPr>
          <w:rFonts w:ascii="Arial" w:hAnsi="Arial"/>
        </w:rPr>
      </w:pPr>
      <w:r w:rsidRPr="147D0D10">
        <w:rPr>
          <w:rFonts w:ascii="Arial" w:hAnsi="Arial"/>
        </w:rPr>
        <w:t>Conformance with NIH Security guidelines as implementation requires</w:t>
      </w:r>
    </w:p>
    <w:p w14:paraId="102162CA" w14:textId="77777777" w:rsidR="00BF0DD0" w:rsidRDefault="00BF0DD0" w:rsidP="00BF0DD0">
      <w:pPr>
        <w:numPr>
          <w:ilvl w:val="0"/>
          <w:numId w:val="1"/>
        </w:numPr>
        <w:spacing w:beforeLines="1" w:before="2" w:afterLines="1" w:after="2"/>
        <w:rPr>
          <w:rFonts w:ascii="Arial" w:hAnsi="Arial"/>
        </w:rPr>
      </w:pPr>
      <w:r w:rsidRPr="147D0D10">
        <w:rPr>
          <w:rFonts w:ascii="Arial" w:hAnsi="Arial"/>
        </w:rPr>
        <w:lastRenderedPageBreak/>
        <w:t>Capability for NIH administrator management of archive and caches through web-based application</w:t>
      </w:r>
    </w:p>
    <w:p w14:paraId="6BD7AB22" w14:textId="77777777" w:rsidR="00BF0DD0" w:rsidRDefault="00BF0DD0" w:rsidP="00BF0DD0">
      <w:pPr>
        <w:numPr>
          <w:ilvl w:val="0"/>
          <w:numId w:val="1"/>
        </w:numPr>
        <w:spacing w:beforeLines="1" w:before="2" w:afterLines="1" w:after="2" w:line="259" w:lineRule="auto"/>
        <w:rPr>
          <w:rFonts w:ascii="Arial" w:hAnsi="Arial"/>
        </w:rPr>
      </w:pPr>
      <w:r w:rsidRPr="147D0D10">
        <w:rPr>
          <w:rFonts w:ascii="Arial" w:hAnsi="Arial"/>
        </w:rPr>
        <w:t>Administrator tools and training for relevant NIH CC PACS/RIS IT support personnel where shared responsibility can assist in issue resolution and reduce issue resolution time.</w:t>
      </w:r>
    </w:p>
    <w:p w14:paraId="4BCD29B1" w14:textId="77777777" w:rsidR="00BF0DD0" w:rsidRDefault="00BF0DD0" w:rsidP="00BF0DD0">
      <w:pPr>
        <w:numPr>
          <w:ilvl w:val="0"/>
          <w:numId w:val="1"/>
        </w:numPr>
        <w:spacing w:beforeLines="1" w:before="2" w:afterLines="1" w:after="2" w:line="259" w:lineRule="auto"/>
        <w:rPr>
          <w:rFonts w:ascii="Arial" w:hAnsi="Arial"/>
        </w:rPr>
      </w:pPr>
      <w:r w:rsidRPr="147D0D10">
        <w:rPr>
          <w:rFonts w:ascii="Arial" w:hAnsi="Arial"/>
        </w:rPr>
        <w:t>Vendor administrator support with super-user tools and training for appropriate members of Film Library and other departments involved in the import of outside films.</w:t>
      </w:r>
    </w:p>
    <w:p w14:paraId="18C54C56" w14:textId="77777777" w:rsidR="00BF0DD0" w:rsidRDefault="00BF0DD0" w:rsidP="00BF0DD0">
      <w:pPr>
        <w:numPr>
          <w:ilvl w:val="0"/>
          <w:numId w:val="1"/>
        </w:numPr>
        <w:spacing w:beforeLines="1" w:before="2" w:afterLines="1" w:after="2"/>
        <w:rPr>
          <w:rFonts w:ascii="Arial" w:hAnsi="Arial"/>
        </w:rPr>
      </w:pPr>
      <w:r w:rsidRPr="147D0D10">
        <w:rPr>
          <w:rFonts w:ascii="Arial" w:hAnsi="Arial"/>
        </w:rPr>
        <w:t>Ability to upload to and download from the Vendor’s cloud-based archive.</w:t>
      </w:r>
    </w:p>
    <w:p w14:paraId="640E3B55" w14:textId="77777777" w:rsidR="00BF0DD0" w:rsidRDefault="00BF0DD0" w:rsidP="00BF0DD0">
      <w:pPr>
        <w:numPr>
          <w:ilvl w:val="0"/>
          <w:numId w:val="1"/>
        </w:numPr>
        <w:spacing w:beforeLines="1" w:before="2" w:afterLines="1" w:after="2"/>
        <w:rPr>
          <w:rFonts w:ascii="Arial" w:hAnsi="Arial"/>
        </w:rPr>
      </w:pPr>
      <w:r w:rsidRPr="147D0D10">
        <w:rPr>
          <w:rFonts w:ascii="Arial" w:hAnsi="Arial"/>
        </w:rPr>
        <w:t>Project Management will work with NIH CC Project Management office</w:t>
      </w:r>
    </w:p>
    <w:p w14:paraId="11071FA5" w14:textId="77777777" w:rsidR="00BF0DD0" w:rsidRDefault="00BF0DD0" w:rsidP="00BF0DD0">
      <w:pPr>
        <w:numPr>
          <w:ilvl w:val="1"/>
          <w:numId w:val="1"/>
        </w:numPr>
        <w:spacing w:beforeLines="1" w:before="2" w:afterLines="1" w:after="2"/>
        <w:rPr>
          <w:rFonts w:ascii="Arial" w:hAnsi="Arial"/>
        </w:rPr>
      </w:pPr>
      <w:r>
        <w:rPr>
          <w:rFonts w:ascii="Arial" w:hAnsi="Arial"/>
        </w:rPr>
        <w:t>Vendor will provide the following upon award:</w:t>
      </w:r>
    </w:p>
    <w:p w14:paraId="5955C8C5" w14:textId="77777777" w:rsidR="00BF0DD0" w:rsidRDefault="00BF0DD0" w:rsidP="00BF0DD0">
      <w:pPr>
        <w:numPr>
          <w:ilvl w:val="2"/>
          <w:numId w:val="1"/>
        </w:numPr>
        <w:spacing w:beforeLines="1" w:before="2" w:afterLines="1" w:after="2"/>
        <w:rPr>
          <w:rFonts w:ascii="Arial" w:hAnsi="Arial"/>
        </w:rPr>
      </w:pPr>
      <w:r>
        <w:rPr>
          <w:rFonts w:ascii="Arial" w:hAnsi="Arial"/>
        </w:rPr>
        <w:t>Project Plan</w:t>
      </w:r>
    </w:p>
    <w:p w14:paraId="4B040083" w14:textId="77777777" w:rsidR="00BF0DD0" w:rsidRDefault="00BF0DD0" w:rsidP="00BF0DD0">
      <w:pPr>
        <w:numPr>
          <w:ilvl w:val="2"/>
          <w:numId w:val="1"/>
        </w:numPr>
        <w:spacing w:beforeLines="1" w:before="2" w:afterLines="1" w:after="2"/>
        <w:rPr>
          <w:rFonts w:ascii="Arial" w:hAnsi="Arial"/>
        </w:rPr>
      </w:pPr>
      <w:r>
        <w:rPr>
          <w:rFonts w:ascii="Arial" w:hAnsi="Arial"/>
        </w:rPr>
        <w:t>Contact List</w:t>
      </w:r>
    </w:p>
    <w:p w14:paraId="73947E59" w14:textId="77777777" w:rsidR="00BF0DD0" w:rsidRDefault="00BF0DD0" w:rsidP="00BF0DD0">
      <w:pPr>
        <w:numPr>
          <w:ilvl w:val="2"/>
          <w:numId w:val="1"/>
        </w:numPr>
        <w:spacing w:beforeLines="1" w:before="2" w:afterLines="1" w:after="2"/>
        <w:rPr>
          <w:rFonts w:ascii="Arial" w:hAnsi="Arial"/>
        </w:rPr>
      </w:pPr>
      <w:r>
        <w:rPr>
          <w:rFonts w:ascii="Arial" w:hAnsi="Arial"/>
        </w:rPr>
        <w:t>Provision of Issues Management platform</w:t>
      </w:r>
    </w:p>
    <w:p w14:paraId="22C01797" w14:textId="77777777" w:rsidR="00BF0DD0" w:rsidRDefault="00BF0DD0" w:rsidP="00BF0DD0">
      <w:pPr>
        <w:numPr>
          <w:ilvl w:val="2"/>
          <w:numId w:val="1"/>
        </w:numPr>
        <w:spacing w:beforeLines="1" w:before="2" w:afterLines="1" w:after="2"/>
        <w:rPr>
          <w:rFonts w:ascii="Arial" w:hAnsi="Arial"/>
        </w:rPr>
      </w:pPr>
      <w:r>
        <w:rPr>
          <w:rFonts w:ascii="Arial" w:hAnsi="Arial"/>
        </w:rPr>
        <w:t xml:space="preserve">Work with our Change Control </w:t>
      </w:r>
    </w:p>
    <w:p w14:paraId="3E55CE0D" w14:textId="77777777" w:rsidR="00BF0DD0" w:rsidRDefault="00BF0DD0" w:rsidP="00BF0DD0">
      <w:pPr>
        <w:numPr>
          <w:ilvl w:val="2"/>
          <w:numId w:val="1"/>
        </w:numPr>
        <w:spacing w:beforeLines="1" w:before="2" w:afterLines="1" w:after="2"/>
        <w:rPr>
          <w:rFonts w:ascii="Arial" w:hAnsi="Arial"/>
        </w:rPr>
      </w:pPr>
      <w:r>
        <w:rPr>
          <w:rFonts w:ascii="Arial" w:hAnsi="Arial"/>
        </w:rPr>
        <w:t>Provide an analysis of Risk Management</w:t>
      </w:r>
    </w:p>
    <w:p w14:paraId="7CCEAC86" w14:textId="77777777" w:rsidR="00BF0DD0" w:rsidRDefault="00BF0DD0" w:rsidP="00BF0DD0">
      <w:pPr>
        <w:numPr>
          <w:ilvl w:val="2"/>
          <w:numId w:val="1"/>
        </w:numPr>
        <w:spacing w:beforeLines="1" w:before="2" w:afterLines="1" w:after="2"/>
        <w:rPr>
          <w:rFonts w:ascii="Arial" w:hAnsi="Arial"/>
        </w:rPr>
      </w:pPr>
      <w:r>
        <w:rPr>
          <w:rFonts w:ascii="Arial" w:hAnsi="Arial"/>
        </w:rPr>
        <w:t>Deployment Planning</w:t>
      </w:r>
    </w:p>
    <w:p w14:paraId="1FBD8EC9" w14:textId="77777777" w:rsidR="00BF0DD0" w:rsidRDefault="00BF0DD0" w:rsidP="00BF0DD0">
      <w:pPr>
        <w:numPr>
          <w:ilvl w:val="2"/>
          <w:numId w:val="1"/>
        </w:numPr>
        <w:spacing w:beforeLines="1" w:before="2" w:afterLines="1" w:after="2"/>
        <w:rPr>
          <w:rFonts w:ascii="Arial" w:hAnsi="Arial"/>
        </w:rPr>
      </w:pPr>
      <w:r>
        <w:rPr>
          <w:rFonts w:ascii="Arial" w:hAnsi="Arial"/>
        </w:rPr>
        <w:t>Vendor and Customer Resource management plan</w:t>
      </w:r>
    </w:p>
    <w:p w14:paraId="461B8378" w14:textId="77777777" w:rsidR="00BF0DD0" w:rsidRDefault="00BF0DD0" w:rsidP="00BF0DD0">
      <w:pPr>
        <w:numPr>
          <w:ilvl w:val="2"/>
          <w:numId w:val="1"/>
        </w:numPr>
        <w:spacing w:beforeLines="1" w:before="2" w:afterLines="1" w:after="2"/>
        <w:rPr>
          <w:rFonts w:ascii="Arial" w:hAnsi="Arial"/>
        </w:rPr>
      </w:pPr>
      <w:r>
        <w:rPr>
          <w:rFonts w:ascii="Arial" w:hAnsi="Arial"/>
        </w:rPr>
        <w:t>Support for Interfaces, Integrations, and software (security vulnerability) support</w:t>
      </w:r>
    </w:p>
    <w:p w14:paraId="288F7341" w14:textId="77777777" w:rsidR="00BF0DD0" w:rsidRDefault="00BF0DD0" w:rsidP="00BF0DD0">
      <w:pPr>
        <w:numPr>
          <w:ilvl w:val="3"/>
          <w:numId w:val="1"/>
        </w:numPr>
        <w:spacing w:beforeLines="1" w:before="2" w:afterLines="1" w:after="2"/>
        <w:rPr>
          <w:rFonts w:ascii="Segoe UI" w:eastAsia="Segoe UI" w:hAnsi="Segoe UI" w:cs="Segoe UI"/>
          <w:sz w:val="21"/>
          <w:szCs w:val="21"/>
        </w:rPr>
      </w:pPr>
      <w:commentRangeStart w:id="13"/>
      <w:commentRangeEnd w:id="13"/>
      <w:r>
        <w:rPr>
          <w:rStyle w:val="CommentReference"/>
          <w:rFonts w:eastAsiaTheme="majorEastAsia"/>
        </w:rPr>
        <w:commentReference w:id="13"/>
      </w:r>
      <w:r w:rsidRPr="147D0D10">
        <w:rPr>
          <w:rFonts w:ascii="Segoe UI" w:eastAsia="Segoe UI" w:hAnsi="Segoe UI" w:cs="Segoe UI"/>
          <w:sz w:val="21"/>
          <w:szCs w:val="21"/>
        </w:rPr>
        <w:t xml:space="preserve"> External facing vulnerability remediation timelines as below unless superseded by HHS/CISA/BOD requirements</w:t>
      </w:r>
      <w:r>
        <w:br/>
      </w:r>
      <w:r w:rsidRPr="147D0D10">
        <w:rPr>
          <w:rFonts w:ascii="Segoe UI" w:eastAsia="Segoe UI" w:hAnsi="Segoe UI" w:cs="Segoe UI"/>
          <w:sz w:val="21"/>
          <w:szCs w:val="21"/>
        </w:rPr>
        <w:t xml:space="preserve"> • Critical within 15 days;</w:t>
      </w:r>
      <w:r>
        <w:br/>
      </w:r>
      <w:r w:rsidRPr="147D0D10">
        <w:rPr>
          <w:rFonts w:ascii="Segoe UI" w:eastAsia="Segoe UI" w:hAnsi="Segoe UI" w:cs="Segoe UI"/>
          <w:sz w:val="21"/>
          <w:szCs w:val="21"/>
        </w:rPr>
        <w:t xml:space="preserve"> • High within 30 days;</w:t>
      </w:r>
      <w:r>
        <w:br/>
      </w:r>
      <w:r w:rsidRPr="147D0D10">
        <w:rPr>
          <w:rFonts w:ascii="Segoe UI" w:eastAsia="Segoe UI" w:hAnsi="Segoe UI" w:cs="Segoe UI"/>
          <w:sz w:val="21"/>
          <w:szCs w:val="21"/>
        </w:rPr>
        <w:t xml:space="preserve"> • Medium within 60 days; and</w:t>
      </w:r>
      <w:r>
        <w:br/>
      </w:r>
      <w:r w:rsidRPr="147D0D10">
        <w:rPr>
          <w:rFonts w:ascii="Segoe UI" w:eastAsia="Segoe UI" w:hAnsi="Segoe UI" w:cs="Segoe UI"/>
          <w:sz w:val="21"/>
          <w:szCs w:val="21"/>
        </w:rPr>
        <w:t xml:space="preserve"> • Low within 6 months</w:t>
      </w:r>
    </w:p>
    <w:p w14:paraId="2245443B" w14:textId="77777777" w:rsidR="00BF0DD0" w:rsidRDefault="00BF0DD0" w:rsidP="00BF0DD0">
      <w:pPr>
        <w:pStyle w:val="ListParagraph"/>
        <w:numPr>
          <w:ilvl w:val="3"/>
          <w:numId w:val="1"/>
        </w:numPr>
        <w:spacing w:beforeLines="1" w:before="2" w:afterLines="1" w:after="2"/>
        <w:rPr>
          <w:rFonts w:ascii="Segoe UI" w:eastAsia="Segoe UI" w:hAnsi="Segoe UI" w:cs="Segoe UI"/>
          <w:sz w:val="21"/>
          <w:szCs w:val="21"/>
        </w:rPr>
      </w:pPr>
      <w:r w:rsidRPr="147D0D10">
        <w:rPr>
          <w:rFonts w:ascii="Segoe UI" w:eastAsia="Segoe UI" w:hAnsi="Segoe UI" w:cs="Segoe UI"/>
          <w:sz w:val="21"/>
          <w:szCs w:val="21"/>
        </w:rPr>
        <w:t>Internal Facing vulnerability remediation timelines as below unless superseded by HHS/CISA/BOD requirements-</w:t>
      </w:r>
      <w:r>
        <w:br/>
      </w:r>
      <w:r w:rsidRPr="147D0D10">
        <w:rPr>
          <w:rFonts w:ascii="Segoe UI" w:eastAsia="Segoe UI" w:hAnsi="Segoe UI" w:cs="Segoe UI"/>
          <w:sz w:val="21"/>
          <w:szCs w:val="21"/>
        </w:rPr>
        <w:t xml:space="preserve"> • Critical within 30 days;</w:t>
      </w:r>
      <w:r>
        <w:br/>
      </w:r>
      <w:r w:rsidRPr="147D0D10">
        <w:rPr>
          <w:rFonts w:ascii="Segoe UI" w:eastAsia="Segoe UI" w:hAnsi="Segoe UI" w:cs="Segoe UI"/>
          <w:sz w:val="21"/>
          <w:szCs w:val="21"/>
        </w:rPr>
        <w:t xml:space="preserve"> • High within 60 days;</w:t>
      </w:r>
      <w:r>
        <w:br/>
      </w:r>
      <w:r w:rsidRPr="147D0D10">
        <w:rPr>
          <w:rFonts w:ascii="Segoe UI" w:eastAsia="Segoe UI" w:hAnsi="Segoe UI" w:cs="Segoe UI"/>
          <w:sz w:val="21"/>
          <w:szCs w:val="21"/>
        </w:rPr>
        <w:t xml:space="preserve"> • Medium within  90 days; and</w:t>
      </w:r>
      <w:r>
        <w:br/>
      </w:r>
      <w:r w:rsidRPr="147D0D10">
        <w:rPr>
          <w:rFonts w:ascii="Segoe UI" w:eastAsia="Segoe UI" w:hAnsi="Segoe UI" w:cs="Segoe UI"/>
          <w:sz w:val="21"/>
          <w:szCs w:val="21"/>
        </w:rPr>
        <w:t xml:space="preserve"> • Low within 6 months.</w:t>
      </w:r>
    </w:p>
    <w:p w14:paraId="56574713" w14:textId="77777777" w:rsidR="00BF0DD0" w:rsidRDefault="00BF0DD0" w:rsidP="00BF0DD0">
      <w:pPr>
        <w:numPr>
          <w:ilvl w:val="2"/>
          <w:numId w:val="1"/>
        </w:numPr>
        <w:spacing w:beforeLines="1" w:before="2" w:afterLines="1" w:after="2"/>
        <w:rPr>
          <w:rFonts w:ascii="Arial" w:hAnsi="Arial"/>
        </w:rPr>
      </w:pPr>
      <w:r>
        <w:rPr>
          <w:rFonts w:ascii="Arial" w:hAnsi="Arial"/>
        </w:rPr>
        <w:t xml:space="preserve">Go-Live support </w:t>
      </w:r>
    </w:p>
    <w:p w14:paraId="6D4E9438" w14:textId="77777777" w:rsidR="00BF0DD0" w:rsidRDefault="00BF0DD0" w:rsidP="00BF0DD0">
      <w:pPr>
        <w:numPr>
          <w:ilvl w:val="0"/>
          <w:numId w:val="1"/>
        </w:numPr>
        <w:spacing w:beforeLines="1" w:before="2" w:afterLines="1" w:after="2"/>
        <w:rPr>
          <w:rFonts w:ascii="Arial" w:hAnsi="Arial"/>
        </w:rPr>
      </w:pPr>
      <w:r w:rsidRPr="147D0D10">
        <w:rPr>
          <w:rFonts w:ascii="Arial" w:hAnsi="Arial"/>
        </w:rPr>
        <w:t>Support for integration into our ‘screening’ workflow, including PACS import upon patient inclusion in Research Protocol</w:t>
      </w:r>
    </w:p>
    <w:p w14:paraId="7A990CE5" w14:textId="77777777" w:rsidR="00BF0DD0" w:rsidRDefault="00BF0DD0" w:rsidP="00BF0DD0">
      <w:pPr>
        <w:numPr>
          <w:ilvl w:val="0"/>
          <w:numId w:val="1"/>
        </w:numPr>
        <w:spacing w:beforeLines="1" w:before="2" w:afterLines="1" w:after="2"/>
        <w:rPr>
          <w:rFonts w:ascii="Arial" w:hAnsi="Arial"/>
        </w:rPr>
      </w:pPr>
      <w:r w:rsidRPr="147D0D10">
        <w:rPr>
          <w:rFonts w:ascii="Arial" w:hAnsi="Arial"/>
        </w:rPr>
        <w:t>Anonymization support for export of NIH data shared through the platform</w:t>
      </w:r>
    </w:p>
    <w:p w14:paraId="5C90A467" w14:textId="77777777" w:rsidR="00BF0DD0" w:rsidRDefault="00BF0DD0" w:rsidP="00BF0DD0">
      <w:pPr>
        <w:numPr>
          <w:ilvl w:val="0"/>
          <w:numId w:val="1"/>
        </w:numPr>
        <w:spacing w:beforeLines="1" w:before="2" w:afterLines="1" w:after="2"/>
        <w:rPr>
          <w:rFonts w:ascii="Arial" w:hAnsi="Arial"/>
        </w:rPr>
      </w:pPr>
      <w:r w:rsidRPr="147D0D10">
        <w:rPr>
          <w:rFonts w:ascii="Arial" w:hAnsi="Arial"/>
        </w:rPr>
        <w:t>Routing of exam results back to referring physicians outside of NIH</w:t>
      </w:r>
    </w:p>
    <w:p w14:paraId="33FFDCF5" w14:textId="77777777" w:rsidR="00BF0DD0" w:rsidRDefault="00BF0DD0" w:rsidP="00BF0DD0">
      <w:pPr>
        <w:numPr>
          <w:ilvl w:val="0"/>
          <w:numId w:val="1"/>
        </w:numPr>
        <w:spacing w:beforeLines="1" w:before="2" w:afterLines="1" w:after="2"/>
        <w:rPr>
          <w:rFonts w:ascii="Arial" w:hAnsi="Arial"/>
        </w:rPr>
      </w:pPr>
      <w:commentRangeStart w:id="14"/>
      <w:r w:rsidRPr="147D0D10">
        <w:rPr>
          <w:rFonts w:ascii="Arial" w:hAnsi="Arial"/>
        </w:rPr>
        <w:t>Provision of EMR integration for any viewers associated with the platform, for the duration of the contract. This may mean re-instantiation if there is a change in the underlying EMR system, or different viewers are used within your platform.</w:t>
      </w:r>
      <w:commentRangeEnd w:id="14"/>
      <w:r>
        <w:rPr>
          <w:rStyle w:val="CommentReference"/>
          <w:rFonts w:eastAsiaTheme="majorEastAsia"/>
        </w:rPr>
        <w:commentReference w:id="14"/>
      </w:r>
    </w:p>
    <w:p w14:paraId="79CC7F2A" w14:textId="77777777" w:rsidR="00BF0DD0" w:rsidRDefault="00BF0DD0" w:rsidP="00BF0DD0">
      <w:pPr>
        <w:numPr>
          <w:ilvl w:val="0"/>
          <w:numId w:val="1"/>
        </w:numPr>
        <w:spacing w:beforeLines="1" w:before="2" w:afterLines="1" w:after="2"/>
        <w:rPr>
          <w:rFonts w:ascii="Arial" w:hAnsi="Arial"/>
        </w:rPr>
      </w:pPr>
      <w:r w:rsidRPr="147D0D10">
        <w:rPr>
          <w:rFonts w:ascii="Arial" w:hAnsi="Arial"/>
        </w:rPr>
        <w:t>Support for external viewers to the vendor’s platform.</w:t>
      </w:r>
    </w:p>
    <w:p w14:paraId="35375822" w14:textId="77777777" w:rsidR="00BF0DD0" w:rsidRDefault="00BF0DD0" w:rsidP="00BF0DD0">
      <w:pPr>
        <w:numPr>
          <w:ilvl w:val="0"/>
          <w:numId w:val="1"/>
        </w:numPr>
        <w:spacing w:beforeLines="1" w:before="2" w:afterLines="1" w:after="2"/>
        <w:rPr>
          <w:rFonts w:ascii="Arial" w:hAnsi="Arial"/>
        </w:rPr>
      </w:pPr>
      <w:r w:rsidRPr="147D0D10">
        <w:rPr>
          <w:rFonts w:ascii="Arial" w:hAnsi="Arial"/>
        </w:rPr>
        <w:t>Support of Purging rules in the Vendor’s archive (if deemed required)</w:t>
      </w:r>
    </w:p>
    <w:p w14:paraId="273CDD28" w14:textId="77777777" w:rsidR="00BF0DD0" w:rsidRDefault="00BF0DD0" w:rsidP="00BF0DD0">
      <w:pPr>
        <w:numPr>
          <w:ilvl w:val="0"/>
          <w:numId w:val="1"/>
        </w:numPr>
        <w:spacing w:beforeLines="1" w:before="2" w:afterLines="1" w:after="2"/>
        <w:rPr>
          <w:rFonts w:ascii="Arial" w:hAnsi="Arial"/>
        </w:rPr>
      </w:pPr>
      <w:r w:rsidRPr="147D0D10">
        <w:rPr>
          <w:rFonts w:ascii="Arial" w:hAnsi="Arial"/>
        </w:rPr>
        <w:t>Provide support for periodic Security and Legal review</w:t>
      </w:r>
    </w:p>
    <w:p w14:paraId="64FD01F9" w14:textId="77777777" w:rsidR="00BF0DD0" w:rsidRPr="00AE0D16" w:rsidRDefault="00BF0DD0" w:rsidP="00BF0DD0">
      <w:pPr>
        <w:spacing w:beforeLines="1" w:before="2" w:afterLines="1" w:after="2"/>
        <w:ind w:left="720"/>
        <w:rPr>
          <w:rFonts w:ascii="Arial" w:hAnsi="Arial"/>
        </w:rPr>
      </w:pPr>
    </w:p>
    <w:p w14:paraId="5941A15F" w14:textId="77777777" w:rsidR="00BF0DD0" w:rsidRPr="003B46B0" w:rsidRDefault="00BF0DD0" w:rsidP="00BF0DD0">
      <w:pPr>
        <w:pStyle w:val="Heading1"/>
        <w:rPr>
          <w:sz w:val="24"/>
          <w:szCs w:val="24"/>
        </w:rPr>
      </w:pPr>
      <w:bookmarkStart w:id="15" w:name="_Toc153850434"/>
      <w:bookmarkStart w:id="16" w:name="_Toc429209816"/>
      <w:r>
        <w:br/>
      </w:r>
      <w:r w:rsidRPr="68319FFA">
        <w:rPr>
          <w:sz w:val="24"/>
          <w:szCs w:val="24"/>
        </w:rPr>
        <w:t>Period of Performance</w:t>
      </w:r>
      <w:bookmarkEnd w:id="15"/>
      <w:bookmarkEnd w:id="16"/>
      <w:r w:rsidRPr="68319FFA">
        <w:rPr>
          <w:sz w:val="24"/>
          <w:szCs w:val="24"/>
        </w:rPr>
        <w:t xml:space="preserve"> </w:t>
      </w:r>
    </w:p>
    <w:p w14:paraId="45D89347" w14:textId="77777777" w:rsidR="00BF0DD0" w:rsidRPr="00562416" w:rsidRDefault="00BF0DD0" w:rsidP="00BF0DD0">
      <w:pPr>
        <w:rPr>
          <w:b/>
          <w:bCs/>
          <w:sz w:val="24"/>
          <w:szCs w:val="24"/>
        </w:rPr>
      </w:pPr>
    </w:p>
    <w:p w14:paraId="2096D580" w14:textId="018BDEDB" w:rsidR="00BF0DD0" w:rsidRPr="00653D9A" w:rsidRDefault="00BF0DD0" w:rsidP="00BF0DD0">
      <w:pPr>
        <w:rPr>
          <w:bCs/>
          <w:sz w:val="22"/>
          <w:szCs w:val="22"/>
        </w:rPr>
      </w:pPr>
      <w:r>
        <w:rPr>
          <w:bCs/>
          <w:sz w:val="22"/>
          <w:szCs w:val="22"/>
        </w:rPr>
        <w:t>06/01/2026 to 05/31/2027 for service/support plus 2 option years</w:t>
      </w:r>
    </w:p>
    <w:p w14:paraId="4B0CF9CE" w14:textId="564BF61A" w:rsidR="00BF0DD0" w:rsidRDefault="00BF0DD0" w:rsidP="00BF0DD0">
      <w:pPr>
        <w:rPr>
          <w:sz w:val="24"/>
          <w:szCs w:val="24"/>
        </w:rPr>
      </w:pPr>
      <w:r>
        <w:rPr>
          <w:bCs/>
          <w:sz w:val="24"/>
          <w:szCs w:val="24"/>
        </w:rPr>
        <w:br/>
      </w:r>
      <w:bookmarkStart w:id="17" w:name="_Toc231618579"/>
      <w:bookmarkStart w:id="18" w:name="_Toc235937043"/>
      <w:bookmarkStart w:id="19" w:name="_Toc153850435"/>
      <w:bookmarkStart w:id="20" w:name="_Toc1281212784"/>
      <w:r w:rsidRPr="68319FFA">
        <w:rPr>
          <w:sz w:val="24"/>
          <w:szCs w:val="24"/>
        </w:rPr>
        <w:t>Delivery Location, Schedule, and Instructions</w:t>
      </w:r>
      <w:bookmarkEnd w:id="17"/>
      <w:bookmarkEnd w:id="18"/>
      <w:bookmarkEnd w:id="19"/>
      <w:bookmarkEnd w:id="20"/>
      <w:r w:rsidRPr="68319FFA">
        <w:rPr>
          <w:sz w:val="24"/>
          <w:szCs w:val="24"/>
        </w:rPr>
        <w:t xml:space="preserve"> </w:t>
      </w:r>
    </w:p>
    <w:p w14:paraId="4BD8346B" w14:textId="77777777" w:rsidR="00BF0DD0" w:rsidRPr="0094215C" w:rsidRDefault="00BF0DD0" w:rsidP="00BF0DD0">
      <w:pPr>
        <w:spacing w:after="240"/>
        <w:ind w:left="720"/>
        <w:rPr>
          <w:rFonts w:ascii="Arial" w:hAnsi="Arial"/>
        </w:rPr>
      </w:pPr>
      <w:r w:rsidRPr="00D40CBD">
        <w:rPr>
          <w:rFonts w:ascii="Arial" w:hAnsi="Arial"/>
          <w:b/>
        </w:rPr>
        <w:lastRenderedPageBreak/>
        <w:br/>
      </w:r>
      <w:r w:rsidRPr="00D40CBD">
        <w:rPr>
          <w:rFonts w:ascii="Arial" w:hAnsi="Arial"/>
        </w:rPr>
        <w:t>National Institutes of Health</w:t>
      </w:r>
      <w:r w:rsidRPr="00D40CBD">
        <w:rPr>
          <w:rFonts w:ascii="Arial" w:hAnsi="Arial"/>
        </w:rPr>
        <w:br/>
        <w:t>Clinical Center, Building</w:t>
      </w:r>
      <w:r>
        <w:rPr>
          <w:rFonts w:ascii="Arial" w:hAnsi="Arial"/>
        </w:rPr>
        <w:t xml:space="preserve"> </w:t>
      </w:r>
      <w:r w:rsidRPr="00D40CBD">
        <w:rPr>
          <w:rFonts w:ascii="Arial" w:hAnsi="Arial"/>
        </w:rPr>
        <w:t>10</w:t>
      </w:r>
      <w:r>
        <w:rPr>
          <w:rFonts w:ascii="Arial" w:hAnsi="Arial"/>
        </w:rPr>
        <w:t>/1C357</w:t>
      </w:r>
      <w:r w:rsidRPr="00D40CBD">
        <w:rPr>
          <w:rFonts w:ascii="Arial" w:hAnsi="Arial"/>
        </w:rPr>
        <w:br/>
        <w:t>Radiology &amp; Imaging Sciences</w:t>
      </w:r>
      <w:r w:rsidRPr="00D40CBD">
        <w:rPr>
          <w:rFonts w:ascii="Arial" w:hAnsi="Arial"/>
        </w:rPr>
        <w:br/>
        <w:t>Point of Contact</w:t>
      </w:r>
      <w:r>
        <w:rPr>
          <w:rFonts w:ascii="Arial" w:hAnsi="Arial"/>
        </w:rPr>
        <w:t>: Gregg Cohen (301)827-9679</w:t>
      </w:r>
    </w:p>
    <w:p w14:paraId="405FCBE1" w14:textId="77777777" w:rsidR="00BF0DD0" w:rsidRDefault="00BF0DD0" w:rsidP="00BF0DD0">
      <w:pPr>
        <w:rPr>
          <w:b/>
          <w:sz w:val="24"/>
          <w:szCs w:val="24"/>
        </w:rPr>
      </w:pPr>
      <w:r>
        <w:rPr>
          <w:b/>
          <w:sz w:val="24"/>
          <w:szCs w:val="24"/>
        </w:rPr>
        <w:t>Security Provisions</w:t>
      </w:r>
    </w:p>
    <w:p w14:paraId="361D5CDE" w14:textId="77777777" w:rsidR="00BF0DD0" w:rsidRDefault="00BF0DD0" w:rsidP="00BF0DD0">
      <w:pPr>
        <w:rPr>
          <w:b/>
          <w:sz w:val="24"/>
          <w:szCs w:val="24"/>
        </w:rPr>
      </w:pPr>
    </w:p>
    <w:p w14:paraId="1F807A3B" w14:textId="77777777" w:rsidR="00BF0DD0" w:rsidRPr="0053095C" w:rsidRDefault="00BF0DD0" w:rsidP="00BF0DD0">
      <w:pPr>
        <w:rPr>
          <w:sz w:val="22"/>
          <w:szCs w:val="22"/>
        </w:rPr>
      </w:pPr>
      <w:r w:rsidRPr="0053095C">
        <w:rPr>
          <w:sz w:val="22"/>
          <w:szCs w:val="22"/>
        </w:rPr>
        <w:t xml:space="preserve">There are no </w:t>
      </w:r>
      <w:r>
        <w:rPr>
          <w:sz w:val="22"/>
          <w:szCs w:val="22"/>
        </w:rPr>
        <w:t xml:space="preserve">specific </w:t>
      </w:r>
      <w:r w:rsidRPr="0053095C">
        <w:rPr>
          <w:sz w:val="22"/>
          <w:szCs w:val="22"/>
        </w:rPr>
        <w:t>government security provisions for this purchase.</w:t>
      </w:r>
      <w:r>
        <w:rPr>
          <w:sz w:val="22"/>
          <w:szCs w:val="22"/>
        </w:rPr>
        <w:t xml:space="preserve">  We expect the vendor to work with our Computer Security Teams to validate systems and to provide expedited support for addressing any discovered vulnerabilities in a timely fashion, as defined by Health and Human Services Office of the CIO (HHS), NIH Office of the CIO, Homeland Security (DHS), and the Cybersecurity and Infrastructure Security Agency (CISA).</w:t>
      </w:r>
    </w:p>
    <w:p w14:paraId="1EDDEB26" w14:textId="77777777" w:rsidR="00BF0DD0" w:rsidRPr="00562416" w:rsidRDefault="00BF0DD0" w:rsidP="00BF0DD0">
      <w:pPr>
        <w:rPr>
          <w:sz w:val="24"/>
          <w:szCs w:val="24"/>
        </w:rPr>
      </w:pPr>
    </w:p>
    <w:p w14:paraId="4292CFBF" w14:textId="77777777" w:rsidR="00BF0DD0" w:rsidRPr="00562416" w:rsidRDefault="00BF0DD0" w:rsidP="00BF0DD0">
      <w:pPr>
        <w:pStyle w:val="Heading1"/>
        <w:rPr>
          <w:sz w:val="24"/>
          <w:szCs w:val="24"/>
        </w:rPr>
      </w:pPr>
      <w:bookmarkStart w:id="21" w:name="wp1156607"/>
      <w:bookmarkStart w:id="22" w:name="_Toc231618581"/>
      <w:bookmarkStart w:id="23" w:name="_Toc235937045"/>
      <w:bookmarkStart w:id="24" w:name="_Toc153850436"/>
      <w:bookmarkStart w:id="25" w:name="_Toc1022691464"/>
      <w:bookmarkEnd w:id="21"/>
      <w:r w:rsidRPr="68319FFA">
        <w:rPr>
          <w:sz w:val="24"/>
          <w:szCs w:val="24"/>
        </w:rPr>
        <w:t>Government Furnished Equipment (GFE)</w:t>
      </w:r>
      <w:bookmarkEnd w:id="22"/>
      <w:bookmarkEnd w:id="23"/>
      <w:bookmarkEnd w:id="24"/>
      <w:bookmarkEnd w:id="25"/>
    </w:p>
    <w:p w14:paraId="15389C0B" w14:textId="77777777" w:rsidR="00BF0DD0" w:rsidRPr="00562416" w:rsidRDefault="00BF0DD0" w:rsidP="00BF0DD0">
      <w:pPr>
        <w:rPr>
          <w:sz w:val="24"/>
          <w:szCs w:val="24"/>
        </w:rPr>
      </w:pPr>
    </w:p>
    <w:p w14:paraId="37C71AAD" w14:textId="77777777" w:rsidR="00BF0DD0" w:rsidRDefault="00BF0DD0" w:rsidP="00BF0DD0">
      <w:pPr>
        <w:rPr>
          <w:sz w:val="24"/>
          <w:szCs w:val="24"/>
        </w:rPr>
      </w:pPr>
    </w:p>
    <w:p w14:paraId="6C574007" w14:textId="77777777" w:rsidR="00BF0DD0" w:rsidRDefault="00BF0DD0" w:rsidP="00BF0DD0">
      <w:pPr>
        <w:rPr>
          <w:sz w:val="24"/>
          <w:szCs w:val="24"/>
        </w:rPr>
      </w:pPr>
      <w:r>
        <w:rPr>
          <w:sz w:val="24"/>
          <w:szCs w:val="24"/>
        </w:rPr>
        <w:t>The expectation is that the major services will be provided through a web-based service. Any servers required for communication with the CCIIP need specification</w:t>
      </w:r>
      <w:r w:rsidRPr="00562416">
        <w:rPr>
          <w:sz w:val="24"/>
          <w:szCs w:val="24"/>
        </w:rPr>
        <w:t>.</w:t>
      </w:r>
      <w:r>
        <w:rPr>
          <w:sz w:val="24"/>
          <w:szCs w:val="24"/>
        </w:rPr>
        <w:t xml:space="preserve">  Procurement of these resources are dependent upon the government purchasing process.  Vendor will have to provide specifications and requirements as part of the engagement.</w:t>
      </w:r>
    </w:p>
    <w:p w14:paraId="6A403CEF" w14:textId="77777777" w:rsidR="00BF0DD0" w:rsidRDefault="00BF0DD0" w:rsidP="00BF0DD0">
      <w:pPr>
        <w:rPr>
          <w:sz w:val="24"/>
          <w:szCs w:val="24"/>
        </w:rPr>
      </w:pPr>
    </w:p>
    <w:p w14:paraId="3D6E8859" w14:textId="77777777" w:rsidR="00BF0DD0" w:rsidRDefault="00BF0DD0" w:rsidP="00BF0DD0">
      <w:pPr>
        <w:pStyle w:val="Heading1"/>
        <w:rPr>
          <w:sz w:val="24"/>
          <w:szCs w:val="24"/>
        </w:rPr>
      </w:pPr>
      <w:bookmarkStart w:id="26" w:name="_Toc231618582"/>
      <w:bookmarkStart w:id="27" w:name="_Toc235937046"/>
      <w:bookmarkStart w:id="28" w:name="_Toc153850437"/>
      <w:bookmarkStart w:id="29" w:name="_Toc329920519"/>
      <w:r w:rsidRPr="68319FFA">
        <w:rPr>
          <w:sz w:val="24"/>
          <w:szCs w:val="24"/>
        </w:rPr>
        <w:t>Inspection and Acceptance Criteria</w:t>
      </w:r>
      <w:bookmarkEnd w:id="26"/>
      <w:bookmarkEnd w:id="27"/>
      <w:bookmarkEnd w:id="28"/>
      <w:bookmarkEnd w:id="29"/>
    </w:p>
    <w:p w14:paraId="54718AE8" w14:textId="77777777" w:rsidR="00BF0DD0" w:rsidRDefault="00BF0DD0" w:rsidP="00BF0DD0"/>
    <w:p w14:paraId="22EAD88D" w14:textId="77777777" w:rsidR="00BF0DD0" w:rsidRPr="00033CCB" w:rsidRDefault="00BF0DD0" w:rsidP="00BF0DD0">
      <w:pPr>
        <w:rPr>
          <w:sz w:val="22"/>
          <w:szCs w:val="22"/>
        </w:rPr>
      </w:pPr>
      <w:r w:rsidRPr="0053095C">
        <w:rPr>
          <w:sz w:val="22"/>
          <w:szCs w:val="22"/>
        </w:rPr>
        <w:t>The item</w:t>
      </w:r>
      <w:r>
        <w:rPr>
          <w:sz w:val="22"/>
          <w:szCs w:val="22"/>
        </w:rPr>
        <w:t xml:space="preserve"> </w:t>
      </w:r>
      <w:r w:rsidRPr="0053095C">
        <w:rPr>
          <w:sz w:val="22"/>
          <w:szCs w:val="22"/>
        </w:rPr>
        <w:t xml:space="preserve">listed in the scope of this document must be received and in full working order to be accepted as final by the Clinical Center. </w:t>
      </w:r>
    </w:p>
    <w:p w14:paraId="26824CC6" w14:textId="77777777" w:rsidR="00BF0DD0" w:rsidRDefault="00BF0DD0" w:rsidP="00BF0DD0">
      <w:pPr>
        <w:rPr>
          <w:sz w:val="24"/>
          <w:szCs w:val="24"/>
        </w:rPr>
      </w:pPr>
    </w:p>
    <w:p w14:paraId="0765E917" w14:textId="77777777" w:rsidR="003E54CC" w:rsidRDefault="003E54CC"/>
    <w:sectPr w:rsidR="003E54CC" w:rsidSect="00BF0DD0">
      <w:headerReference w:type="default" r:id="rId11"/>
      <w:footerReference w:type="default" r:id="rId12"/>
      <w:pgSz w:w="12240" w:h="15840"/>
      <w:pgMar w:top="810" w:right="1800" w:bottom="90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ones, Elizabeth (NIH/CC/DRD) [E]" w:date="2023-08-18T12:24:00Z" w:initials="J[">
    <w:p w14:paraId="6FC82091" w14:textId="77777777" w:rsidR="00BF0DD0" w:rsidRDefault="00BF0DD0" w:rsidP="00BF0DD0">
      <w:pPr>
        <w:pStyle w:val="CommentText"/>
      </w:pPr>
      <w:r>
        <w:t>clarify statement</w:t>
      </w:r>
      <w:r>
        <w:rPr>
          <w:rStyle w:val="CommentReference"/>
          <w:rFonts w:eastAsiaTheme="majorEastAsia"/>
        </w:rPr>
        <w:annotationRef/>
      </w:r>
      <w:r>
        <w:rPr>
          <w:rStyle w:val="CommentReference"/>
          <w:rFonts w:eastAsiaTheme="majorEastAsia"/>
        </w:rPr>
        <w:annotationRef/>
      </w:r>
    </w:p>
  </w:comment>
  <w:comment w:id="13" w:author="Jones, Elizabeth (NIH/CC/DRD) [E]" w:date="2023-08-18T12:23:00Z" w:initials="J[">
    <w:p w14:paraId="6B96564E" w14:textId="77777777" w:rsidR="00BF0DD0" w:rsidRDefault="00BF0DD0" w:rsidP="00BF0DD0">
      <w:pPr>
        <w:pStyle w:val="CommentText"/>
      </w:pPr>
      <w:r>
        <w:t>this is listed underly delivery/award but needs to be ongoing</w:t>
      </w:r>
      <w:r>
        <w:rPr>
          <w:rStyle w:val="CommentReference"/>
          <w:rFonts w:eastAsiaTheme="majorEastAsia"/>
        </w:rPr>
        <w:annotationRef/>
      </w:r>
      <w:r>
        <w:rPr>
          <w:rStyle w:val="CommentReference"/>
          <w:rFonts w:eastAsiaTheme="majorEastAsia"/>
        </w:rPr>
        <w:annotationRef/>
      </w:r>
    </w:p>
  </w:comment>
  <w:comment w:id="14" w:author="Jones, Elizabeth (NIH/CC/DRD) [E]" w:date="2023-08-18T12:19:00Z" w:initials="J[">
    <w:p w14:paraId="0179E374" w14:textId="77777777" w:rsidR="00BF0DD0" w:rsidRDefault="00BF0DD0" w:rsidP="00BF0DD0">
      <w:pPr>
        <w:pStyle w:val="CommentText"/>
      </w:pPr>
      <w:r>
        <w:t>clarify statement?</w:t>
      </w:r>
      <w:r>
        <w:rPr>
          <w:rStyle w:val="CommentReference"/>
          <w:rFonts w:eastAsiaTheme="majorEastAsia"/>
        </w:rPr>
        <w:annotationRef/>
      </w:r>
      <w:r>
        <w:rPr>
          <w:rStyle w:val="CommentReference"/>
          <w:rFonts w:eastAsiaTheme="majorEastAsi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C82091" w15:done="1"/>
  <w15:commentEx w15:paraId="6B96564E" w15:done="1"/>
  <w15:commentEx w15:paraId="0179E37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DAF3C0" w16cex:dateUtc="2023-08-18T16:24:00Z"/>
  <w16cex:commentExtensible w16cex:durableId="66681A8A" w16cex:dateUtc="2023-08-18T16:23:00Z"/>
  <w16cex:commentExtensible w16cex:durableId="22383458" w16cex:dateUtc="2023-08-18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C82091" w16cid:durableId="09DAF3C0"/>
  <w16cid:commentId w16cid:paraId="6B96564E" w16cid:durableId="66681A8A"/>
  <w16cid:commentId w16cid:paraId="0179E374" w16cid:durableId="223834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81F4" w14:textId="77777777" w:rsidR="002D29B2" w:rsidRDefault="002D29B2">
      <w:r>
        <w:separator/>
      </w:r>
    </w:p>
  </w:endnote>
  <w:endnote w:type="continuationSeparator" w:id="0">
    <w:p w14:paraId="5FA0A7EB" w14:textId="77777777" w:rsidR="002D29B2" w:rsidRDefault="002D2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54FF" w14:textId="77777777" w:rsidR="00BF0DD0" w:rsidRDefault="00BF0DD0">
    <w:pPr>
      <w:pStyle w:val="Footer"/>
    </w:pPr>
  </w:p>
  <w:p w14:paraId="3DCD6293" w14:textId="77777777" w:rsidR="00BF0DD0" w:rsidRDefault="00BF0DD0">
    <w:pPr>
      <w:pStyle w:val="Footer"/>
    </w:pPr>
    <w:r>
      <w:tab/>
      <w:t xml:space="preserve">- </w:t>
    </w:r>
    <w:r>
      <w:fldChar w:fldCharType="begin"/>
    </w:r>
    <w:r>
      <w:instrText xml:space="preserve"> PAGE </w:instrText>
    </w:r>
    <w:r>
      <w:fldChar w:fldCharType="separate"/>
    </w:r>
    <w:r>
      <w:rPr>
        <w:noProof/>
      </w:rPr>
      <w:t>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D9BA" w14:textId="77777777" w:rsidR="002D29B2" w:rsidRDefault="002D29B2">
      <w:r>
        <w:separator/>
      </w:r>
    </w:p>
  </w:footnote>
  <w:footnote w:type="continuationSeparator" w:id="0">
    <w:p w14:paraId="50ED5597" w14:textId="77777777" w:rsidR="002D29B2" w:rsidRDefault="002D2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8905" w14:textId="77777777" w:rsidR="00BF0DD0" w:rsidRPr="00871351" w:rsidRDefault="00BF0DD0" w:rsidP="000975F7">
    <w:pPr>
      <w:pStyle w:val="Header"/>
      <w:pBdr>
        <w:bottom w:val="single" w:sz="4" w:space="1" w:color="auto"/>
      </w:pBdr>
      <w:tabs>
        <w:tab w:val="clear" w:pos="8640"/>
        <w:tab w:val="right" w:pos="9360"/>
      </w:tabs>
      <w:jc w:val="center"/>
    </w:pPr>
    <w:r w:rsidRPr="00871351">
      <w:t xml:space="preserve">NIH Clinical Center </w:t>
    </w:r>
  </w:p>
  <w:p w14:paraId="6DF06147" w14:textId="77777777" w:rsidR="00BF0DD0" w:rsidRPr="00871351" w:rsidRDefault="00BF0DD0" w:rsidP="000975F7">
    <w:pPr>
      <w:pStyle w:val="Header"/>
      <w:pBdr>
        <w:bottom w:val="single" w:sz="4" w:space="1" w:color="auto"/>
      </w:pBdr>
      <w:tabs>
        <w:tab w:val="clear" w:pos="8640"/>
        <w:tab w:val="right" w:pos="9360"/>
      </w:tabs>
      <w:jc w:val="center"/>
      <w:rPr>
        <w:rFonts w:cs="Arial"/>
        <w:szCs w:val="22"/>
      </w:rPr>
    </w:pPr>
    <w:r w:rsidRPr="00871351">
      <w:rPr>
        <w:rFonts w:cs="Arial"/>
        <w:szCs w:val="22"/>
      </w:rPr>
      <w:t xml:space="preserve">Department of Radiology and Imaging Sciences </w:t>
    </w:r>
  </w:p>
  <w:p w14:paraId="39D0CBA4" w14:textId="77777777" w:rsidR="00BF0DD0" w:rsidRPr="00871351" w:rsidRDefault="00BF0DD0" w:rsidP="000975F7">
    <w:pPr>
      <w:pStyle w:val="Header"/>
      <w:pBdr>
        <w:bottom w:val="single" w:sz="4" w:space="1" w:color="auto"/>
      </w:pBdr>
      <w:tabs>
        <w:tab w:val="clear" w:pos="8640"/>
        <w:tab w:val="right" w:pos="9360"/>
      </w:tabs>
      <w:jc w:val="center"/>
    </w:pPr>
    <w:r w:rsidRPr="00871351">
      <w:t>Statement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6577B"/>
    <w:multiLevelType w:val="hybridMultilevel"/>
    <w:tmpl w:val="B6F2E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6589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es, Elizabeth (NIH/CC/DRD) [E]">
    <w15:presenceInfo w15:providerId="AD" w15:userId="S::ejones@nih.gov::656885aa-0c1d-4aba-9286-bfb6a3efc6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D0"/>
    <w:rsid w:val="000B10FD"/>
    <w:rsid w:val="000E4264"/>
    <w:rsid w:val="002D29B2"/>
    <w:rsid w:val="003E54CC"/>
    <w:rsid w:val="0082346F"/>
    <w:rsid w:val="00966950"/>
    <w:rsid w:val="00A46DB8"/>
    <w:rsid w:val="00BF0DD0"/>
    <w:rsid w:val="00CC0107"/>
    <w:rsid w:val="00DD27CF"/>
    <w:rsid w:val="00FE4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F45D"/>
  <w15:chartTrackingRefBased/>
  <w15:docId w15:val="{9544812D-5BA3-4C8C-A8D5-C3C27F1C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DD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BF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D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DD0"/>
    <w:rPr>
      <w:rFonts w:eastAsiaTheme="majorEastAsia" w:cstheme="majorBidi"/>
      <w:color w:val="272727" w:themeColor="text1" w:themeTint="D8"/>
    </w:rPr>
  </w:style>
  <w:style w:type="paragraph" w:styleId="Title">
    <w:name w:val="Title"/>
    <w:basedOn w:val="Normal"/>
    <w:next w:val="Normal"/>
    <w:link w:val="TitleChar"/>
    <w:uiPriority w:val="10"/>
    <w:qFormat/>
    <w:rsid w:val="00BF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DD0"/>
    <w:pPr>
      <w:spacing w:before="160"/>
      <w:jc w:val="center"/>
    </w:pPr>
    <w:rPr>
      <w:i/>
      <w:iCs/>
      <w:color w:val="404040" w:themeColor="text1" w:themeTint="BF"/>
    </w:rPr>
  </w:style>
  <w:style w:type="character" w:customStyle="1" w:styleId="QuoteChar">
    <w:name w:val="Quote Char"/>
    <w:basedOn w:val="DefaultParagraphFont"/>
    <w:link w:val="Quote"/>
    <w:uiPriority w:val="29"/>
    <w:rsid w:val="00BF0DD0"/>
    <w:rPr>
      <w:i/>
      <w:iCs/>
      <w:color w:val="404040" w:themeColor="text1" w:themeTint="BF"/>
    </w:rPr>
  </w:style>
  <w:style w:type="paragraph" w:styleId="ListParagraph">
    <w:name w:val="List Paragraph"/>
    <w:basedOn w:val="Normal"/>
    <w:uiPriority w:val="34"/>
    <w:qFormat/>
    <w:rsid w:val="00BF0DD0"/>
    <w:pPr>
      <w:ind w:left="720"/>
      <w:contextualSpacing/>
    </w:pPr>
  </w:style>
  <w:style w:type="character" w:styleId="IntenseEmphasis">
    <w:name w:val="Intense Emphasis"/>
    <w:basedOn w:val="DefaultParagraphFont"/>
    <w:uiPriority w:val="21"/>
    <w:qFormat/>
    <w:rsid w:val="00BF0DD0"/>
    <w:rPr>
      <w:i/>
      <w:iCs/>
      <w:color w:val="0F4761" w:themeColor="accent1" w:themeShade="BF"/>
    </w:rPr>
  </w:style>
  <w:style w:type="paragraph" w:styleId="IntenseQuote">
    <w:name w:val="Intense Quote"/>
    <w:basedOn w:val="Normal"/>
    <w:next w:val="Normal"/>
    <w:link w:val="IntenseQuoteChar"/>
    <w:uiPriority w:val="30"/>
    <w:qFormat/>
    <w:rsid w:val="00BF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DD0"/>
    <w:rPr>
      <w:i/>
      <w:iCs/>
      <w:color w:val="0F4761" w:themeColor="accent1" w:themeShade="BF"/>
    </w:rPr>
  </w:style>
  <w:style w:type="character" w:styleId="IntenseReference">
    <w:name w:val="Intense Reference"/>
    <w:basedOn w:val="DefaultParagraphFont"/>
    <w:uiPriority w:val="32"/>
    <w:qFormat/>
    <w:rsid w:val="00BF0DD0"/>
    <w:rPr>
      <w:b/>
      <w:bCs/>
      <w:smallCaps/>
      <w:color w:val="0F4761" w:themeColor="accent1" w:themeShade="BF"/>
      <w:spacing w:val="5"/>
    </w:rPr>
  </w:style>
  <w:style w:type="paragraph" w:styleId="BodyText">
    <w:name w:val="Body Text"/>
    <w:basedOn w:val="Normal"/>
    <w:link w:val="BodyTextChar"/>
    <w:rsid w:val="00BF0DD0"/>
    <w:rPr>
      <w:sz w:val="22"/>
    </w:rPr>
  </w:style>
  <w:style w:type="character" w:customStyle="1" w:styleId="BodyTextChar">
    <w:name w:val="Body Text Char"/>
    <w:basedOn w:val="DefaultParagraphFont"/>
    <w:link w:val="BodyText"/>
    <w:rsid w:val="00BF0DD0"/>
    <w:rPr>
      <w:rFonts w:ascii="Times New Roman" w:eastAsia="Times New Roman" w:hAnsi="Times New Roman" w:cs="Times New Roman"/>
      <w:kern w:val="0"/>
      <w:sz w:val="22"/>
      <w:szCs w:val="20"/>
      <w14:ligatures w14:val="none"/>
    </w:rPr>
  </w:style>
  <w:style w:type="paragraph" w:styleId="BodyText2">
    <w:name w:val="Body Text 2"/>
    <w:basedOn w:val="Normal"/>
    <w:link w:val="BodyText2Char"/>
    <w:rsid w:val="00BF0DD0"/>
    <w:rPr>
      <w:sz w:val="24"/>
    </w:rPr>
  </w:style>
  <w:style w:type="character" w:customStyle="1" w:styleId="BodyText2Char">
    <w:name w:val="Body Text 2 Char"/>
    <w:basedOn w:val="DefaultParagraphFont"/>
    <w:link w:val="BodyText2"/>
    <w:rsid w:val="00BF0DD0"/>
    <w:rPr>
      <w:rFonts w:ascii="Times New Roman" w:eastAsia="Times New Roman" w:hAnsi="Times New Roman" w:cs="Times New Roman"/>
      <w:kern w:val="0"/>
      <w:szCs w:val="20"/>
      <w14:ligatures w14:val="none"/>
    </w:rPr>
  </w:style>
  <w:style w:type="character" w:styleId="CommentReference">
    <w:name w:val="annotation reference"/>
    <w:semiHidden/>
    <w:rsid w:val="00BF0DD0"/>
    <w:rPr>
      <w:sz w:val="16"/>
    </w:rPr>
  </w:style>
  <w:style w:type="paragraph" w:styleId="CommentText">
    <w:name w:val="annotation text"/>
    <w:basedOn w:val="Normal"/>
    <w:link w:val="CommentTextChar"/>
    <w:semiHidden/>
    <w:rsid w:val="00BF0DD0"/>
  </w:style>
  <w:style w:type="character" w:customStyle="1" w:styleId="CommentTextChar">
    <w:name w:val="Comment Text Char"/>
    <w:basedOn w:val="DefaultParagraphFont"/>
    <w:link w:val="CommentText"/>
    <w:semiHidden/>
    <w:rsid w:val="00BF0DD0"/>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BF0DD0"/>
    <w:pPr>
      <w:tabs>
        <w:tab w:val="center" w:pos="4320"/>
        <w:tab w:val="right" w:pos="8640"/>
      </w:tabs>
    </w:pPr>
  </w:style>
  <w:style w:type="character" w:customStyle="1" w:styleId="HeaderChar">
    <w:name w:val="Header Char"/>
    <w:basedOn w:val="DefaultParagraphFont"/>
    <w:link w:val="Header"/>
    <w:rsid w:val="00BF0DD0"/>
    <w:rPr>
      <w:rFonts w:ascii="Times New Roman" w:eastAsia="Times New Roman" w:hAnsi="Times New Roman" w:cs="Times New Roman"/>
      <w:kern w:val="0"/>
      <w:sz w:val="20"/>
      <w:szCs w:val="20"/>
      <w14:ligatures w14:val="none"/>
    </w:rPr>
  </w:style>
  <w:style w:type="paragraph" w:styleId="Footer">
    <w:name w:val="footer"/>
    <w:basedOn w:val="Normal"/>
    <w:link w:val="FooterChar"/>
    <w:rsid w:val="00BF0DD0"/>
    <w:pPr>
      <w:tabs>
        <w:tab w:val="center" w:pos="4320"/>
        <w:tab w:val="right" w:pos="8640"/>
      </w:tabs>
    </w:pPr>
  </w:style>
  <w:style w:type="character" w:customStyle="1" w:styleId="FooterChar">
    <w:name w:val="Footer Char"/>
    <w:basedOn w:val="DefaultParagraphFont"/>
    <w:link w:val="Footer"/>
    <w:rsid w:val="00BF0DD0"/>
    <w:rPr>
      <w:rFonts w:ascii="Times New Roman" w:eastAsia="Times New Roman" w:hAnsi="Times New Roman" w:cs="Times New Roman"/>
      <w:kern w:val="0"/>
      <w:sz w:val="20"/>
      <w:szCs w:val="20"/>
      <w14:ligatures w14:val="none"/>
    </w:rPr>
  </w:style>
  <w:style w:type="character" w:styleId="Hyperlink">
    <w:name w:val="Hyperlink"/>
    <w:uiPriority w:val="99"/>
    <w:rsid w:val="00BF0DD0"/>
    <w:rPr>
      <w:color w:val="0000FF"/>
      <w:u w:val="single"/>
    </w:rPr>
  </w:style>
  <w:style w:type="paragraph" w:styleId="TOC1">
    <w:name w:val="toc 1"/>
    <w:basedOn w:val="Normal"/>
    <w:next w:val="Normal"/>
    <w:autoRedefine/>
    <w:uiPriority w:val="39"/>
    <w:rsid w:val="00BF0DD0"/>
  </w:style>
  <w:style w:type="paragraph" w:customStyle="1" w:styleId="Default">
    <w:name w:val="Default"/>
    <w:rsid w:val="00BF0DD0"/>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1596</Words>
  <Characters>9099</Characters>
  <Application>Microsoft Office Word</Application>
  <DocSecurity>0</DocSecurity>
  <Lines>75</Lines>
  <Paragraphs>21</Paragraphs>
  <ScaleCrop>false</ScaleCrop>
  <Company>NIH Clinical Center</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 Ronald (NIH/CC) [E]</dc:creator>
  <cp:keywords/>
  <dc:description/>
  <cp:lastModifiedBy>Gregorio, Valerie (NIH/OD) [E]</cp:lastModifiedBy>
  <cp:revision>3</cp:revision>
  <dcterms:created xsi:type="dcterms:W3CDTF">2026-03-16T14:50:00Z</dcterms:created>
  <dcterms:modified xsi:type="dcterms:W3CDTF">2026-03-16T15:35:00Z</dcterms:modified>
</cp:coreProperties>
</file>